
<file path=[Content_Types].xml><?xml version="1.0" encoding="utf-8"?>
<Types xmlns="http://schemas.openxmlformats.org/package/2006/content-types">
  <Override PartName="/word/header18.xml" ContentType="application/vnd.openxmlformats-officedocument.wordprocessingml.header+xml"/>
  <Override PartName="/word/theme/themeOverride5.xml" ContentType="application/vnd.openxmlformats-officedocument.themeOverride+xml"/>
  <Override PartName="/customXml/itemProps1.xml" ContentType="application/vnd.openxmlformats-officedocument.customXmlProperties+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theme/themeOverride1.xml" ContentType="application/vnd.openxmlformats-officedocument.themeOverride+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header8.xml" ContentType="application/vnd.openxmlformats-officedocument.wordprocessingml.header+xml"/>
  <Override PartName="/word/header21.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charts/chart5.xml" ContentType="application/vnd.openxmlformats-officedocument.drawingml.chart+xml"/>
  <Override PartName="/word/footer22.xml" ContentType="application/vnd.openxmlformats-officedocument.wordprocessingml.footer+xml"/>
  <Default Extension="xlsx" ContentType="application/vnd.openxmlformats-officedocument.spreadsheetml.sheet"/>
  <Override PartName="/word/header2.xml" ContentType="application/vnd.openxmlformats-officedocument.wordprocessingml.header+xml"/>
  <Override PartName="/word/footer20.xml" ContentType="application/vnd.openxmlformats-officedocument.wordprocessingml.footer+xml"/>
  <Override PartName="/word/charts/chart3.xml" ContentType="application/vnd.openxmlformats-officedocument.drawingml.chart+xml"/>
  <Override PartName="/word/charts/chart1.xml" ContentType="application/vnd.openxmlformats-officedocument.drawingml.chart+xml"/>
  <Override PartName="/customXml/itemProps4.xml" ContentType="application/vnd.openxmlformats-officedocument.customXmlProperties+xml"/>
  <Default Extension="png" ContentType="image/png"/>
  <Override PartName="/word/header19.xml" ContentType="application/vnd.openxmlformats-officedocument.wordprocessingml.header+xml"/>
  <Override PartName="/word/theme/themeOverride4.xml" ContentType="application/vnd.openxmlformats-officedocument.themeOverride+xml"/>
  <Override PartName="/customXml/itemProps2.xml" ContentType="application/vnd.openxmlformats-officedocument.customXmlProperties+xml"/>
  <Override PartName="/word/footer8.xml" ContentType="application/vnd.openxmlformats-officedocument.wordprocessingml.footer+xml"/>
  <Override PartName="/word/header17.xml" ContentType="application/vnd.openxmlformats-officedocument.wordprocessingml.header+xml"/>
  <Override PartName="/word/theme/themeOverride2.xml" ContentType="application/vnd.openxmlformats-officedocument.themeOverride+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customXml/itemProps3.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theme/themeOverride3.xml" ContentType="application/vnd.openxmlformats-officedocument.themeOverride+xml"/>
  <Default Extension="rels" ContentType="application/vnd.openxmlformats-package.relationships+xml"/>
  <Override PartName="/word/footer5.xml" ContentType="application/vnd.openxmlformats-officedocument.wordprocessingml.footer+xml"/>
  <Override PartName="/word/header1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503D" w:rsidRPr="00F23CDB" w:rsidRDefault="0022503D">
      <w:pPr>
        <w:overflowPunct/>
        <w:autoSpaceDE/>
        <w:autoSpaceDN/>
        <w:adjustRightInd/>
        <w:textAlignment w:val="auto"/>
        <w:rPr>
          <w:rFonts w:ascii="Calibri" w:hAnsi="Calibri" w:cs="Calibri"/>
        </w:rPr>
      </w:pPr>
    </w:p>
    <w:p w:rsidR="0022503D" w:rsidRPr="00F23CDB" w:rsidRDefault="0022503D">
      <w:pPr>
        <w:overflowPunct/>
        <w:autoSpaceDE/>
        <w:autoSpaceDN/>
        <w:adjustRightInd/>
        <w:textAlignment w:val="auto"/>
        <w:rPr>
          <w:rFonts w:ascii="Calibri" w:hAnsi="Calibri" w:cs="Calibri"/>
        </w:rPr>
      </w:pPr>
    </w:p>
    <w:p w:rsidR="0022503D" w:rsidRPr="00F23CDB" w:rsidRDefault="0022503D">
      <w:pPr>
        <w:overflowPunct/>
        <w:autoSpaceDE/>
        <w:autoSpaceDN/>
        <w:adjustRightInd/>
        <w:textAlignment w:val="auto"/>
        <w:rPr>
          <w:rFonts w:ascii="Calibri" w:hAnsi="Calibri" w:cs="Calibri"/>
        </w:rPr>
      </w:pPr>
    </w:p>
    <w:p w:rsidR="0022503D" w:rsidRPr="00F23CDB" w:rsidRDefault="0022503D" w:rsidP="009B666C">
      <w:pPr>
        <w:tabs>
          <w:tab w:val="left" w:pos="8505"/>
        </w:tabs>
        <w:overflowPunct/>
        <w:autoSpaceDE/>
        <w:autoSpaceDN/>
        <w:adjustRightInd/>
        <w:textAlignment w:val="auto"/>
        <w:rPr>
          <w:rFonts w:ascii="Calibri" w:hAnsi="Calibri" w:cs="Calibri"/>
        </w:rPr>
      </w:pPr>
    </w:p>
    <w:p w:rsidR="0022503D" w:rsidRPr="00F23CDB" w:rsidRDefault="0022503D">
      <w:pPr>
        <w:overflowPunct/>
        <w:autoSpaceDE/>
        <w:autoSpaceDN/>
        <w:adjustRightInd/>
        <w:textAlignment w:val="auto"/>
        <w:rPr>
          <w:rFonts w:ascii="Calibri" w:hAnsi="Calibri" w:cs="Calibri"/>
        </w:rPr>
      </w:pPr>
    </w:p>
    <w:p w:rsidR="0022503D" w:rsidRPr="00F23CDB" w:rsidRDefault="0022503D">
      <w:pPr>
        <w:overflowPunct/>
        <w:autoSpaceDE/>
        <w:autoSpaceDN/>
        <w:adjustRightInd/>
        <w:textAlignment w:val="auto"/>
        <w:rPr>
          <w:rFonts w:ascii="Calibri" w:hAnsi="Calibri" w:cs="Calibri"/>
        </w:rPr>
      </w:pPr>
    </w:p>
    <w:p w:rsidR="0022503D" w:rsidRPr="00F23CDB" w:rsidRDefault="0022503D">
      <w:pPr>
        <w:overflowPunct/>
        <w:autoSpaceDE/>
        <w:autoSpaceDN/>
        <w:adjustRightInd/>
        <w:textAlignment w:val="auto"/>
        <w:rPr>
          <w:rFonts w:ascii="Calibri" w:hAnsi="Calibri" w:cs="Calibri"/>
        </w:rPr>
      </w:pPr>
    </w:p>
    <w:p w:rsidR="0022503D" w:rsidRPr="00F23CDB" w:rsidRDefault="0022503D">
      <w:pPr>
        <w:overflowPunct/>
        <w:autoSpaceDE/>
        <w:autoSpaceDN/>
        <w:adjustRightInd/>
        <w:textAlignment w:val="auto"/>
        <w:rPr>
          <w:rFonts w:ascii="Calibri" w:hAnsi="Calibri" w:cs="Calibri"/>
        </w:rPr>
      </w:pPr>
    </w:p>
    <w:p w:rsidR="0022503D" w:rsidRPr="008B53A9" w:rsidRDefault="0022503D" w:rsidP="0022503D">
      <w:pPr>
        <w:overflowPunct/>
        <w:autoSpaceDE/>
        <w:autoSpaceDN/>
        <w:adjustRightInd/>
        <w:jc w:val="center"/>
        <w:textAlignment w:val="auto"/>
        <w:rPr>
          <w:rFonts w:ascii="Calibri" w:hAnsi="Calibri" w:cs="Calibri"/>
          <w:b/>
          <w:caps/>
          <w:sz w:val="36"/>
        </w:rPr>
      </w:pPr>
      <w:r w:rsidRPr="008B53A9">
        <w:rPr>
          <w:rFonts w:ascii="Calibri" w:hAnsi="Calibri" w:cs="Calibri"/>
          <w:b/>
          <w:caps/>
          <w:sz w:val="36"/>
        </w:rPr>
        <w:t>Ministerstvo průmyslu a obchodu</w:t>
      </w:r>
    </w:p>
    <w:p w:rsidR="0022503D" w:rsidRPr="008B53A9" w:rsidRDefault="0022503D" w:rsidP="0022503D">
      <w:pPr>
        <w:overflowPunct/>
        <w:autoSpaceDE/>
        <w:autoSpaceDN/>
        <w:adjustRightInd/>
        <w:jc w:val="center"/>
        <w:textAlignment w:val="auto"/>
        <w:rPr>
          <w:rFonts w:ascii="Calibri" w:hAnsi="Calibri" w:cs="Calibri"/>
          <w:b/>
          <w:caps/>
          <w:sz w:val="36"/>
        </w:rPr>
      </w:pPr>
      <w:r w:rsidRPr="008B53A9">
        <w:rPr>
          <w:rFonts w:ascii="Calibri" w:hAnsi="Calibri" w:cs="Calibri"/>
          <w:b/>
          <w:caps/>
          <w:sz w:val="36"/>
        </w:rPr>
        <w:t>České republiky</w:t>
      </w: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495B3E" w:rsidP="0022503D">
      <w:pPr>
        <w:overflowPunct/>
        <w:autoSpaceDE/>
        <w:autoSpaceDN/>
        <w:adjustRightInd/>
        <w:jc w:val="center"/>
        <w:textAlignment w:val="auto"/>
        <w:rPr>
          <w:rFonts w:ascii="Calibri" w:hAnsi="Calibri" w:cs="Calibri"/>
          <w:b/>
          <w:sz w:val="36"/>
        </w:rPr>
      </w:pPr>
      <w:r w:rsidRPr="008B53A9">
        <w:rPr>
          <w:rFonts w:ascii="Calibri" w:hAnsi="Calibri" w:cs="Calibri"/>
          <w:b/>
          <w:sz w:val="36"/>
        </w:rPr>
        <w:t>Operačn</w:t>
      </w:r>
      <w:r w:rsidR="0022503D" w:rsidRPr="008B53A9">
        <w:rPr>
          <w:rFonts w:ascii="Calibri" w:hAnsi="Calibri" w:cs="Calibri"/>
          <w:b/>
          <w:sz w:val="36"/>
        </w:rPr>
        <w:t>í program Podnikání a inovace pro konkurenceschopnost 2014 – 2020</w:t>
      </w:r>
    </w:p>
    <w:p w:rsidR="0022503D" w:rsidRPr="008B53A9" w:rsidRDefault="0022503D" w:rsidP="0022503D">
      <w:pPr>
        <w:overflowPunct/>
        <w:autoSpaceDE/>
        <w:autoSpaceDN/>
        <w:adjustRightInd/>
        <w:jc w:val="center"/>
        <w:textAlignment w:val="auto"/>
        <w:rPr>
          <w:rFonts w:ascii="Calibri" w:hAnsi="Calibri" w:cs="Calibri"/>
          <w:b/>
          <w:sz w:val="36"/>
        </w:rPr>
      </w:pPr>
    </w:p>
    <w:p w:rsidR="00FF1575" w:rsidRPr="008B53A9" w:rsidRDefault="00FF1575" w:rsidP="00FE0012">
      <w:pPr>
        <w:overflowPunct/>
        <w:autoSpaceDE/>
        <w:autoSpaceDN/>
        <w:adjustRightInd/>
        <w:jc w:val="center"/>
        <w:textAlignment w:val="auto"/>
        <w:rPr>
          <w:rFonts w:ascii="Calibri" w:hAnsi="Calibri" w:cs="Calibri"/>
          <w:i/>
          <w:strike/>
          <w:sz w:val="32"/>
          <w:szCs w:val="32"/>
        </w:rPr>
      </w:pPr>
    </w:p>
    <w:p w:rsidR="00896EDF" w:rsidRPr="008B53A9" w:rsidRDefault="00896EDF" w:rsidP="00FE0012">
      <w:pPr>
        <w:overflowPunct/>
        <w:autoSpaceDE/>
        <w:autoSpaceDN/>
        <w:adjustRightInd/>
        <w:jc w:val="center"/>
        <w:textAlignment w:val="auto"/>
        <w:rPr>
          <w:rFonts w:ascii="Calibri" w:hAnsi="Calibri" w:cs="Calibri"/>
          <w:i/>
          <w:sz w:val="32"/>
          <w:szCs w:val="32"/>
        </w:rPr>
      </w:pPr>
    </w:p>
    <w:p w:rsidR="0022503D" w:rsidRPr="008B53A9" w:rsidRDefault="0022503D" w:rsidP="00FE0012">
      <w:pPr>
        <w:overflowPunct/>
        <w:autoSpaceDE/>
        <w:autoSpaceDN/>
        <w:adjustRightInd/>
        <w:jc w:val="center"/>
        <w:textAlignment w:val="auto"/>
        <w:rPr>
          <w:rFonts w:ascii="Calibri" w:hAnsi="Calibri" w:cs="Calibri"/>
          <w:i/>
          <w:sz w:val="32"/>
          <w:szCs w:val="32"/>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874E66" w:rsidP="00874E66">
      <w:pPr>
        <w:overflowPunct/>
        <w:autoSpaceDE/>
        <w:autoSpaceDN/>
        <w:adjustRightInd/>
        <w:jc w:val="center"/>
        <w:textAlignment w:val="auto"/>
        <w:rPr>
          <w:rFonts w:ascii="Calibri" w:hAnsi="Calibri" w:cs="Calibri"/>
          <w:b/>
          <w:sz w:val="28"/>
          <w:szCs w:val="28"/>
        </w:rPr>
      </w:pPr>
      <w:r w:rsidRPr="008B53A9">
        <w:rPr>
          <w:rFonts w:ascii="Calibri" w:hAnsi="Calibri" w:cs="Calibri"/>
          <w:b/>
          <w:sz w:val="28"/>
          <w:szCs w:val="28"/>
        </w:rPr>
        <w:t>Verze programového dokumentu OP PIK pro předložení vládě ČR</w:t>
      </w: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22503D" w:rsidRPr="008B53A9" w:rsidRDefault="0022503D">
      <w:pPr>
        <w:overflowPunct/>
        <w:autoSpaceDE/>
        <w:autoSpaceDN/>
        <w:adjustRightInd/>
        <w:textAlignment w:val="auto"/>
        <w:rPr>
          <w:rFonts w:ascii="Calibri" w:hAnsi="Calibri" w:cs="Calibri"/>
        </w:rPr>
      </w:pPr>
    </w:p>
    <w:p w:rsidR="009B3FA2" w:rsidRPr="008B53A9" w:rsidRDefault="00874E66" w:rsidP="0022503D">
      <w:pPr>
        <w:overflowPunct/>
        <w:autoSpaceDE/>
        <w:autoSpaceDN/>
        <w:adjustRightInd/>
        <w:jc w:val="center"/>
        <w:textAlignment w:val="auto"/>
        <w:rPr>
          <w:rFonts w:ascii="Calibri" w:hAnsi="Calibri" w:cs="Calibri"/>
          <w:b/>
          <w:sz w:val="28"/>
        </w:rPr>
        <w:sectPr w:rsidR="009B3FA2" w:rsidRPr="008B53A9" w:rsidSect="00926525">
          <w:headerReference w:type="default" r:id="rId9"/>
          <w:footerReference w:type="default" r:id="rId10"/>
          <w:headerReference w:type="first" r:id="rId11"/>
          <w:footerReference w:type="first" r:id="rId12"/>
          <w:pgSz w:w="11906" w:h="16838"/>
          <w:pgMar w:top="1418" w:right="1276" w:bottom="1276" w:left="1418" w:header="709" w:footer="709" w:gutter="0"/>
          <w:cols w:space="708"/>
          <w:titlePg/>
          <w:docGrid w:linePitch="272"/>
        </w:sectPr>
      </w:pPr>
      <w:r w:rsidRPr="008B53A9">
        <w:rPr>
          <w:rFonts w:ascii="Calibri" w:hAnsi="Calibri" w:cs="Calibri"/>
          <w:b/>
          <w:sz w:val="28"/>
        </w:rPr>
        <w:t>2</w:t>
      </w:r>
      <w:r w:rsidR="0030421A" w:rsidRPr="008B53A9">
        <w:rPr>
          <w:rFonts w:ascii="Calibri" w:hAnsi="Calibri" w:cs="Calibri"/>
          <w:b/>
          <w:sz w:val="28"/>
        </w:rPr>
        <w:t>5</w:t>
      </w:r>
      <w:r w:rsidRPr="008B53A9">
        <w:rPr>
          <w:rFonts w:ascii="Calibri" w:hAnsi="Calibri" w:cs="Calibri"/>
          <w:b/>
          <w:sz w:val="28"/>
        </w:rPr>
        <w:t xml:space="preserve">. </w:t>
      </w:r>
      <w:r w:rsidR="00F31452" w:rsidRPr="008B53A9">
        <w:rPr>
          <w:rFonts w:ascii="Calibri" w:hAnsi="Calibri" w:cs="Calibri"/>
          <w:b/>
          <w:sz w:val="28"/>
        </w:rPr>
        <w:t>červn</w:t>
      </w:r>
      <w:r w:rsidRPr="008B53A9">
        <w:rPr>
          <w:rFonts w:ascii="Calibri" w:hAnsi="Calibri" w:cs="Calibri"/>
          <w:b/>
          <w:sz w:val="28"/>
        </w:rPr>
        <w:t>a</w:t>
      </w:r>
      <w:r w:rsidR="00F31452" w:rsidRPr="008B53A9">
        <w:rPr>
          <w:rFonts w:ascii="Calibri" w:hAnsi="Calibri" w:cs="Calibri"/>
          <w:b/>
          <w:sz w:val="28"/>
        </w:rPr>
        <w:t xml:space="preserve"> </w:t>
      </w:r>
      <w:r w:rsidR="002A222E" w:rsidRPr="008B53A9">
        <w:rPr>
          <w:rFonts w:ascii="Calibri" w:hAnsi="Calibri" w:cs="Calibri"/>
          <w:b/>
          <w:sz w:val="28"/>
        </w:rPr>
        <w:t>2014</w:t>
      </w:r>
    </w:p>
    <w:p w:rsidR="0022503D" w:rsidRPr="008B53A9" w:rsidRDefault="00CF0F84" w:rsidP="00300283">
      <w:pPr>
        <w:overflowPunct/>
        <w:autoSpaceDE/>
        <w:autoSpaceDN/>
        <w:adjustRightInd/>
        <w:spacing w:before="120" w:after="60"/>
        <w:textAlignment w:val="auto"/>
        <w:rPr>
          <w:rFonts w:ascii="Calibri" w:hAnsi="Calibri" w:cs="Calibri"/>
          <w:b/>
          <w:caps/>
          <w:spacing w:val="20"/>
          <w:sz w:val="28"/>
          <w:szCs w:val="28"/>
        </w:rPr>
      </w:pPr>
      <w:r w:rsidRPr="008B53A9">
        <w:rPr>
          <w:rFonts w:ascii="Calibri" w:hAnsi="Calibri" w:cs="Calibri"/>
          <w:b/>
          <w:caps/>
          <w:spacing w:val="20"/>
          <w:sz w:val="28"/>
          <w:szCs w:val="28"/>
        </w:rPr>
        <w:lastRenderedPageBreak/>
        <w:t>Obsah</w:t>
      </w:r>
    </w:p>
    <w:p w:rsidR="00F23DF3" w:rsidRPr="008B53A9" w:rsidRDefault="00F23DF3" w:rsidP="00300283">
      <w:pPr>
        <w:overflowPunct/>
        <w:autoSpaceDE/>
        <w:autoSpaceDN/>
        <w:adjustRightInd/>
        <w:spacing w:before="120" w:after="60"/>
        <w:textAlignment w:val="auto"/>
        <w:rPr>
          <w:rFonts w:ascii="Calibri" w:hAnsi="Calibri" w:cs="Calibri"/>
          <w:b/>
          <w:caps/>
          <w:sz w:val="28"/>
          <w:szCs w:val="28"/>
        </w:rPr>
      </w:pPr>
    </w:p>
    <w:p w:rsidR="00597751" w:rsidRDefault="002E4CA7">
      <w:pPr>
        <w:pStyle w:val="Obsah1"/>
        <w:tabs>
          <w:tab w:val="left" w:pos="1320"/>
          <w:tab w:val="right" w:leader="dot" w:pos="9202"/>
        </w:tabs>
        <w:rPr>
          <w:rFonts w:asciiTheme="minorHAnsi" w:eastAsiaTheme="minorEastAsia" w:hAnsiTheme="minorHAnsi" w:cstheme="minorBidi"/>
          <w:b w:val="0"/>
          <w:noProof/>
          <w:sz w:val="22"/>
          <w:szCs w:val="22"/>
        </w:rPr>
      </w:pPr>
      <w:r w:rsidRPr="008B53A9">
        <w:rPr>
          <w:rFonts w:cs="Calibri"/>
          <w:b w:val="0"/>
          <w:caps/>
          <w:sz w:val="28"/>
          <w:szCs w:val="28"/>
        </w:rPr>
        <w:fldChar w:fldCharType="begin"/>
      </w:r>
      <w:r w:rsidRPr="008B53A9">
        <w:rPr>
          <w:rFonts w:cs="Calibri"/>
          <w:b w:val="0"/>
          <w:caps/>
          <w:sz w:val="28"/>
          <w:szCs w:val="28"/>
        </w:rPr>
        <w:instrText xml:space="preserve"> TOC \o "1-3" \h \z \u </w:instrText>
      </w:r>
      <w:r w:rsidRPr="008B53A9">
        <w:rPr>
          <w:rFonts w:cs="Calibri"/>
          <w:b w:val="0"/>
          <w:caps/>
          <w:sz w:val="28"/>
          <w:szCs w:val="28"/>
        </w:rPr>
        <w:fldChar w:fldCharType="separate"/>
      </w:r>
      <w:hyperlink w:anchor="_Toc391539593" w:history="1">
        <w:r w:rsidR="00597751" w:rsidRPr="00F30583">
          <w:rPr>
            <w:rStyle w:val="Hypertextovodkaz"/>
            <w:noProof/>
            <w:spacing w:val="20"/>
          </w:rPr>
          <w:t>ODDÍL 1</w:t>
        </w:r>
        <w:r w:rsidR="00597751">
          <w:rPr>
            <w:rFonts w:asciiTheme="minorHAnsi" w:eastAsiaTheme="minorEastAsia" w:hAnsiTheme="minorHAnsi" w:cstheme="minorBidi"/>
            <w:b w:val="0"/>
            <w:noProof/>
            <w:sz w:val="22"/>
            <w:szCs w:val="22"/>
          </w:rPr>
          <w:tab/>
        </w:r>
        <w:r w:rsidR="00597751" w:rsidRPr="00F30583">
          <w:rPr>
            <w:rStyle w:val="Hypertextovodkaz"/>
            <w:noProof/>
          </w:rPr>
          <w:t>Strategie, na jejímž základě bude operační program přispívat ke strategii Unie pro inteligentní a udržitelný růst podporující začlenění a k dosažení hospodářské, sociální a územní soudržnosti</w:t>
        </w:r>
        <w:r w:rsidR="00597751">
          <w:rPr>
            <w:noProof/>
            <w:webHidden/>
          </w:rPr>
          <w:tab/>
        </w:r>
        <w:r w:rsidR="00597751">
          <w:rPr>
            <w:noProof/>
            <w:webHidden/>
          </w:rPr>
          <w:fldChar w:fldCharType="begin"/>
        </w:r>
        <w:r w:rsidR="00597751">
          <w:rPr>
            <w:noProof/>
            <w:webHidden/>
          </w:rPr>
          <w:instrText xml:space="preserve"> PAGEREF _Toc391539593 \h </w:instrText>
        </w:r>
        <w:r w:rsidR="00597751">
          <w:rPr>
            <w:noProof/>
            <w:webHidden/>
          </w:rPr>
        </w:r>
        <w:r w:rsidR="00597751">
          <w:rPr>
            <w:noProof/>
            <w:webHidden/>
          </w:rPr>
          <w:fldChar w:fldCharType="separate"/>
        </w:r>
        <w:r w:rsidR="00597751">
          <w:rPr>
            <w:noProof/>
            <w:webHidden/>
          </w:rPr>
          <w:t>13</w:t>
        </w:r>
        <w:r w:rsidR="00597751">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594" w:history="1">
        <w:r w:rsidRPr="00F30583">
          <w:rPr>
            <w:rStyle w:val="Hypertextovodkaz"/>
            <w:rFonts w:cs="Calibri"/>
            <w:noProof/>
          </w:rPr>
          <w:t>1.1</w:t>
        </w:r>
        <w:r>
          <w:rPr>
            <w:rFonts w:asciiTheme="minorHAnsi" w:eastAsiaTheme="minorEastAsia" w:hAnsiTheme="minorHAnsi" w:cstheme="minorBidi"/>
            <w:noProof/>
            <w:sz w:val="22"/>
            <w:szCs w:val="22"/>
          </w:rPr>
          <w:tab/>
        </w:r>
        <w:r w:rsidRPr="00F30583">
          <w:rPr>
            <w:rStyle w:val="Hypertextovodkaz"/>
            <w:rFonts w:cs="Calibri"/>
            <w:noProof/>
          </w:rPr>
          <w:t>Strategie, na jejímž základě bude operační program přispívat ke strategii Unie pro inteligentní a udržitelný růst podporující začlenění a k dosažení hospodářské, sociální a územní soudržnosti</w:t>
        </w:r>
        <w:r>
          <w:rPr>
            <w:noProof/>
            <w:webHidden/>
          </w:rPr>
          <w:tab/>
        </w:r>
        <w:r>
          <w:rPr>
            <w:noProof/>
            <w:webHidden/>
          </w:rPr>
          <w:fldChar w:fldCharType="begin"/>
        </w:r>
        <w:r>
          <w:rPr>
            <w:noProof/>
            <w:webHidden/>
          </w:rPr>
          <w:instrText xml:space="preserve"> PAGEREF _Toc391539594 \h </w:instrText>
        </w:r>
        <w:r>
          <w:rPr>
            <w:noProof/>
            <w:webHidden/>
          </w:rPr>
        </w:r>
        <w:r>
          <w:rPr>
            <w:noProof/>
            <w:webHidden/>
          </w:rPr>
          <w:fldChar w:fldCharType="separate"/>
        </w:r>
        <w:r>
          <w:rPr>
            <w:noProof/>
            <w:webHidden/>
          </w:rPr>
          <w:t>13</w:t>
        </w:r>
        <w:r>
          <w:rPr>
            <w:noProof/>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595" w:history="1">
        <w:r w:rsidRPr="00F30583">
          <w:rPr>
            <w:rStyle w:val="Hypertextovodkaz"/>
            <w:rFonts w:cs="Calibri"/>
          </w:rPr>
          <w:t>1.1.1</w:t>
        </w:r>
        <w:r>
          <w:rPr>
            <w:rFonts w:asciiTheme="minorHAnsi" w:eastAsiaTheme="minorEastAsia" w:hAnsiTheme="minorHAnsi" w:cstheme="minorBidi"/>
            <w:i w:val="0"/>
            <w:sz w:val="22"/>
            <w:szCs w:val="22"/>
          </w:rPr>
          <w:tab/>
        </w:r>
        <w:r w:rsidRPr="00F30583">
          <w:rPr>
            <w:rStyle w:val="Hypertextovodkaz"/>
            <w:rFonts w:cs="Calibri"/>
          </w:rPr>
          <w:t>Popis strategie programu, pokud jde o jeho příspěvek k plnění strategie Unie pro inteligentní a udržitelný růst podporující začlenění a k dosažení hospodářské, sociální a územní soudržnosti.</w:t>
        </w:r>
        <w:r>
          <w:rPr>
            <w:webHidden/>
          </w:rPr>
          <w:tab/>
        </w:r>
        <w:r>
          <w:rPr>
            <w:webHidden/>
          </w:rPr>
          <w:fldChar w:fldCharType="begin"/>
        </w:r>
        <w:r>
          <w:rPr>
            <w:webHidden/>
          </w:rPr>
          <w:instrText xml:space="preserve"> PAGEREF _Toc391539595 \h </w:instrText>
        </w:r>
        <w:r>
          <w:rPr>
            <w:webHidden/>
          </w:rPr>
        </w:r>
        <w:r>
          <w:rPr>
            <w:webHidden/>
          </w:rPr>
          <w:fldChar w:fldCharType="separate"/>
        </w:r>
        <w:r>
          <w:rPr>
            <w:webHidden/>
          </w:rPr>
          <w:t>13</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596" w:history="1">
        <w:r w:rsidRPr="00F30583">
          <w:rPr>
            <w:rStyle w:val="Hypertextovodkaz"/>
            <w:rFonts w:cs="Calibri"/>
          </w:rPr>
          <w:t>1.1.2</w:t>
        </w:r>
        <w:r>
          <w:rPr>
            <w:rFonts w:asciiTheme="minorHAnsi" w:eastAsiaTheme="minorEastAsia" w:hAnsiTheme="minorHAnsi" w:cstheme="minorBidi"/>
            <w:i w:val="0"/>
            <w:sz w:val="22"/>
            <w:szCs w:val="22"/>
          </w:rPr>
          <w:tab/>
        </w:r>
        <w:r w:rsidRPr="00F30583">
          <w:rPr>
            <w:rStyle w:val="Hypertextovodkaz"/>
            <w:rFonts w:cs="Calibri"/>
          </w:rPr>
          <w:t>Odůvodnění výběru tematických cílů a odpovídajících investičních priorit s ohledem na dohodu o partnerství na základě určení regionálních a případně vnitrostátních potřeb, včetně potřeby řešit výzvy vymezené v příslušných doporučeních pro jednotlivé země, které byly přijaty v souladu s čl. 121 odst. 2 SFEU a příslušnými doporučeními Rady přijatými v souladu s čl. 148 odst. 4 SFEU, s přihlédnutím k hodnocení ex ante.</w:t>
        </w:r>
        <w:r>
          <w:rPr>
            <w:webHidden/>
          </w:rPr>
          <w:tab/>
        </w:r>
        <w:r>
          <w:rPr>
            <w:webHidden/>
          </w:rPr>
          <w:fldChar w:fldCharType="begin"/>
        </w:r>
        <w:r>
          <w:rPr>
            <w:webHidden/>
          </w:rPr>
          <w:instrText xml:space="preserve"> PAGEREF _Toc391539596 \h </w:instrText>
        </w:r>
        <w:r>
          <w:rPr>
            <w:webHidden/>
          </w:rPr>
        </w:r>
        <w:r>
          <w:rPr>
            <w:webHidden/>
          </w:rPr>
          <w:fldChar w:fldCharType="separate"/>
        </w:r>
        <w:r>
          <w:rPr>
            <w:webHidden/>
          </w:rPr>
          <w:t>29</w:t>
        </w:r>
        <w:r>
          <w:rPr>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597" w:history="1">
        <w:r w:rsidRPr="00F30583">
          <w:rPr>
            <w:rStyle w:val="Hypertextovodkaz"/>
            <w:rFonts w:cs="Calibri"/>
            <w:noProof/>
          </w:rPr>
          <w:t>1.2</w:t>
        </w:r>
        <w:r>
          <w:rPr>
            <w:rFonts w:asciiTheme="minorHAnsi" w:eastAsiaTheme="minorEastAsia" w:hAnsiTheme="minorHAnsi" w:cstheme="minorBidi"/>
            <w:noProof/>
            <w:sz w:val="22"/>
            <w:szCs w:val="22"/>
          </w:rPr>
          <w:tab/>
        </w:r>
        <w:r w:rsidRPr="00F30583">
          <w:rPr>
            <w:rStyle w:val="Hypertextovodkaz"/>
            <w:rFonts w:cs="Calibri"/>
            <w:noProof/>
          </w:rPr>
          <w:t>Odůvodnění přidělení finančních alokací</w:t>
        </w:r>
        <w:r>
          <w:rPr>
            <w:noProof/>
            <w:webHidden/>
          </w:rPr>
          <w:tab/>
        </w:r>
        <w:r>
          <w:rPr>
            <w:noProof/>
            <w:webHidden/>
          </w:rPr>
          <w:fldChar w:fldCharType="begin"/>
        </w:r>
        <w:r>
          <w:rPr>
            <w:noProof/>
            <w:webHidden/>
          </w:rPr>
          <w:instrText xml:space="preserve"> PAGEREF _Toc391539597 \h </w:instrText>
        </w:r>
        <w:r>
          <w:rPr>
            <w:noProof/>
            <w:webHidden/>
          </w:rPr>
        </w:r>
        <w:r>
          <w:rPr>
            <w:noProof/>
            <w:webHidden/>
          </w:rPr>
          <w:fldChar w:fldCharType="separate"/>
        </w:r>
        <w:r>
          <w:rPr>
            <w:noProof/>
            <w:webHidden/>
          </w:rPr>
          <w:t>36</w:t>
        </w:r>
        <w:r>
          <w:rPr>
            <w:noProof/>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598" w:history="1">
        <w:r w:rsidRPr="00F30583">
          <w:rPr>
            <w:rStyle w:val="Hypertextovodkaz"/>
            <w:noProof/>
            <w:spacing w:val="20"/>
          </w:rPr>
          <w:t>ODDÍL 2</w:t>
        </w:r>
        <w:r>
          <w:rPr>
            <w:rFonts w:asciiTheme="minorHAnsi" w:eastAsiaTheme="minorEastAsia" w:hAnsiTheme="minorHAnsi" w:cstheme="minorBidi"/>
            <w:b w:val="0"/>
            <w:noProof/>
            <w:sz w:val="22"/>
            <w:szCs w:val="22"/>
          </w:rPr>
          <w:tab/>
        </w:r>
        <w:r w:rsidRPr="00F30583">
          <w:rPr>
            <w:rStyle w:val="Hypertextovodkaz"/>
            <w:noProof/>
          </w:rPr>
          <w:t>Prioritní osy</w:t>
        </w:r>
        <w:r>
          <w:rPr>
            <w:noProof/>
            <w:webHidden/>
          </w:rPr>
          <w:tab/>
        </w:r>
        <w:r>
          <w:rPr>
            <w:noProof/>
            <w:webHidden/>
          </w:rPr>
          <w:fldChar w:fldCharType="begin"/>
        </w:r>
        <w:r>
          <w:rPr>
            <w:noProof/>
            <w:webHidden/>
          </w:rPr>
          <w:instrText xml:space="preserve"> PAGEREF _Toc391539598 \h </w:instrText>
        </w:r>
        <w:r>
          <w:rPr>
            <w:noProof/>
            <w:webHidden/>
          </w:rPr>
        </w:r>
        <w:r>
          <w:rPr>
            <w:noProof/>
            <w:webHidden/>
          </w:rPr>
          <w:fldChar w:fldCharType="separate"/>
        </w:r>
        <w:r>
          <w:rPr>
            <w:noProof/>
            <w:webHidden/>
          </w:rPr>
          <w:t>42</w:t>
        </w:r>
        <w:r>
          <w:rPr>
            <w:noProof/>
            <w:webHidden/>
          </w:rPr>
          <w:fldChar w:fldCharType="end"/>
        </w:r>
      </w:hyperlink>
    </w:p>
    <w:p w:rsidR="00597751" w:rsidRDefault="00597751">
      <w:pPr>
        <w:pStyle w:val="Obsah1"/>
        <w:tabs>
          <w:tab w:val="left" w:pos="600"/>
          <w:tab w:val="right" w:leader="dot" w:pos="9202"/>
        </w:tabs>
        <w:rPr>
          <w:rFonts w:asciiTheme="minorHAnsi" w:eastAsiaTheme="minorEastAsia" w:hAnsiTheme="minorHAnsi" w:cstheme="minorBidi"/>
          <w:b w:val="0"/>
          <w:noProof/>
          <w:sz w:val="22"/>
          <w:szCs w:val="22"/>
        </w:rPr>
      </w:pPr>
      <w:hyperlink w:anchor="_Toc391539599" w:history="1">
        <w:r w:rsidRPr="00F30583">
          <w:rPr>
            <w:rStyle w:val="Hypertextovodkaz"/>
            <w:noProof/>
          </w:rPr>
          <w:t>2.A</w:t>
        </w:r>
        <w:r>
          <w:rPr>
            <w:rFonts w:asciiTheme="minorHAnsi" w:eastAsiaTheme="minorEastAsia" w:hAnsiTheme="minorHAnsi" w:cstheme="minorBidi"/>
            <w:b w:val="0"/>
            <w:noProof/>
            <w:sz w:val="22"/>
            <w:szCs w:val="22"/>
          </w:rPr>
          <w:tab/>
        </w:r>
        <w:r w:rsidRPr="00F30583">
          <w:rPr>
            <w:rStyle w:val="Hypertextovodkaz"/>
            <w:noProof/>
          </w:rPr>
          <w:t>Popis prioritních os jiných než technická pomoc</w:t>
        </w:r>
        <w:r>
          <w:rPr>
            <w:noProof/>
            <w:webHidden/>
          </w:rPr>
          <w:tab/>
        </w:r>
        <w:r>
          <w:rPr>
            <w:noProof/>
            <w:webHidden/>
          </w:rPr>
          <w:fldChar w:fldCharType="begin"/>
        </w:r>
        <w:r>
          <w:rPr>
            <w:noProof/>
            <w:webHidden/>
          </w:rPr>
          <w:instrText xml:space="preserve"> PAGEREF _Toc391539599 \h </w:instrText>
        </w:r>
        <w:r>
          <w:rPr>
            <w:noProof/>
            <w:webHidden/>
          </w:rPr>
        </w:r>
        <w:r>
          <w:rPr>
            <w:noProof/>
            <w:webHidden/>
          </w:rPr>
          <w:fldChar w:fldCharType="separate"/>
        </w:r>
        <w:r>
          <w:rPr>
            <w:noProof/>
            <w:webHidden/>
          </w:rPr>
          <w:t>42</w:t>
        </w:r>
        <w:r>
          <w:rPr>
            <w:noProof/>
            <w:webHidden/>
          </w:rPr>
          <w:fldChar w:fldCharType="end"/>
        </w:r>
      </w:hyperlink>
    </w:p>
    <w:p w:rsidR="00597751" w:rsidRPr="00597751" w:rsidRDefault="00597751">
      <w:pPr>
        <w:pStyle w:val="Obsah3"/>
        <w:rPr>
          <w:rFonts w:asciiTheme="minorHAnsi" w:eastAsiaTheme="minorEastAsia" w:hAnsiTheme="minorHAnsi" w:cstheme="minorBidi"/>
          <w:b/>
          <w:i w:val="0"/>
          <w:sz w:val="22"/>
          <w:szCs w:val="22"/>
        </w:rPr>
      </w:pPr>
      <w:hyperlink w:anchor="_Toc391539600" w:history="1">
        <w:r w:rsidRPr="00597751">
          <w:rPr>
            <w:rStyle w:val="Hypertextovodkaz"/>
            <w:b/>
          </w:rPr>
          <w:t>2.A.1</w:t>
        </w:r>
        <w:r w:rsidRPr="00597751">
          <w:rPr>
            <w:rFonts w:asciiTheme="minorHAnsi" w:eastAsiaTheme="minorEastAsia" w:hAnsiTheme="minorHAnsi" w:cstheme="minorBidi"/>
            <w:b/>
            <w:i w:val="0"/>
            <w:sz w:val="22"/>
            <w:szCs w:val="22"/>
          </w:rPr>
          <w:tab/>
        </w:r>
        <w:r w:rsidRPr="00597751">
          <w:rPr>
            <w:rStyle w:val="Hypertextovodkaz"/>
            <w:b/>
          </w:rPr>
          <w:t>PRIORITNÍ OSA 1: Rozvoj výzkumu a vývoje pro inovace</w:t>
        </w:r>
        <w:r w:rsidRPr="00597751">
          <w:rPr>
            <w:b/>
            <w:webHidden/>
          </w:rPr>
          <w:tab/>
        </w:r>
        <w:r w:rsidRPr="00597751">
          <w:rPr>
            <w:b/>
            <w:webHidden/>
          </w:rPr>
          <w:fldChar w:fldCharType="begin"/>
        </w:r>
        <w:r w:rsidRPr="00597751">
          <w:rPr>
            <w:b/>
            <w:webHidden/>
          </w:rPr>
          <w:instrText xml:space="preserve"> PAGEREF _Toc391539600 \h </w:instrText>
        </w:r>
        <w:r w:rsidRPr="00597751">
          <w:rPr>
            <w:b/>
            <w:webHidden/>
          </w:rPr>
        </w:r>
        <w:r w:rsidRPr="00597751">
          <w:rPr>
            <w:b/>
            <w:webHidden/>
          </w:rPr>
          <w:fldChar w:fldCharType="separate"/>
        </w:r>
        <w:r w:rsidRPr="00597751">
          <w:rPr>
            <w:b/>
            <w:webHidden/>
          </w:rPr>
          <w:t>42</w:t>
        </w:r>
        <w:r w:rsidRPr="00597751">
          <w:rPr>
            <w:b/>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01" w:history="1">
        <w:r w:rsidRPr="00F30583">
          <w:rPr>
            <w:rStyle w:val="Hypertextovodkaz"/>
          </w:rPr>
          <w:t>2.A.2</w:t>
        </w:r>
        <w:r>
          <w:rPr>
            <w:rFonts w:asciiTheme="minorHAnsi" w:eastAsiaTheme="minorEastAsia" w:hAnsiTheme="minorHAnsi" w:cstheme="minorBidi"/>
            <w:i w:val="0"/>
            <w:sz w:val="22"/>
            <w:szCs w:val="22"/>
          </w:rPr>
          <w:tab/>
        </w:r>
        <w:r w:rsidRPr="00F30583">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_Toc391539601 \h </w:instrText>
        </w:r>
        <w:r>
          <w:rPr>
            <w:webHidden/>
          </w:rPr>
        </w:r>
        <w:r>
          <w:rPr>
            <w:webHidden/>
          </w:rPr>
          <w:fldChar w:fldCharType="separate"/>
        </w:r>
        <w:r>
          <w:rPr>
            <w:webHidden/>
          </w:rPr>
          <w:t>42</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02" w:history="1">
        <w:r w:rsidRPr="00F30583">
          <w:rPr>
            <w:rStyle w:val="Hypertextovodkaz"/>
          </w:rPr>
          <w:t>2.A.3</w:t>
        </w:r>
        <w:r>
          <w:rPr>
            <w:rFonts w:asciiTheme="minorHAnsi" w:eastAsiaTheme="minorEastAsia" w:hAnsiTheme="minorHAnsi" w:cstheme="minorBidi"/>
            <w:i w:val="0"/>
            <w:sz w:val="22"/>
            <w:szCs w:val="22"/>
          </w:rPr>
          <w:tab/>
        </w:r>
        <w:r w:rsidRPr="00F30583">
          <w:rPr>
            <w:rStyle w:val="Hypertextovodkaz"/>
          </w:rPr>
          <w:t>Fond, kategorie regionů a základ pro výpočet podpory Unie</w:t>
        </w:r>
        <w:r>
          <w:rPr>
            <w:webHidden/>
          </w:rPr>
          <w:tab/>
        </w:r>
        <w:r>
          <w:rPr>
            <w:webHidden/>
          </w:rPr>
          <w:fldChar w:fldCharType="begin"/>
        </w:r>
        <w:r>
          <w:rPr>
            <w:webHidden/>
          </w:rPr>
          <w:instrText xml:space="preserve"> PAGEREF _Toc391539602 \h </w:instrText>
        </w:r>
        <w:r>
          <w:rPr>
            <w:webHidden/>
          </w:rPr>
        </w:r>
        <w:r>
          <w:rPr>
            <w:webHidden/>
          </w:rPr>
          <w:fldChar w:fldCharType="separate"/>
        </w:r>
        <w:r>
          <w:rPr>
            <w:webHidden/>
          </w:rPr>
          <w:t>42</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03"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1 prioritní osy 1: Podpora podnikových investic do výzkumu a inovací a vytváření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r>
          <w:rPr>
            <w:webHidden/>
          </w:rPr>
          <w:tab/>
        </w:r>
        <w:r>
          <w:rPr>
            <w:webHidden/>
          </w:rPr>
          <w:fldChar w:fldCharType="begin"/>
        </w:r>
        <w:r>
          <w:rPr>
            <w:webHidden/>
          </w:rPr>
          <w:instrText xml:space="preserve"> PAGEREF _Toc391539603 \h </w:instrText>
        </w:r>
        <w:r>
          <w:rPr>
            <w:webHidden/>
          </w:rPr>
        </w:r>
        <w:r>
          <w:rPr>
            <w:webHidden/>
          </w:rPr>
          <w:fldChar w:fldCharType="separate"/>
        </w:r>
        <w:r>
          <w:rPr>
            <w:webHidden/>
          </w:rPr>
          <w:t>42</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04"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_Toc391539604 \h </w:instrText>
        </w:r>
        <w:r>
          <w:rPr>
            <w:webHidden/>
          </w:rPr>
        </w:r>
        <w:r>
          <w:rPr>
            <w:webHidden/>
          </w:rPr>
          <w:fldChar w:fldCharType="separate"/>
        </w:r>
        <w:r>
          <w:rPr>
            <w:webHidden/>
          </w:rPr>
          <w:t>42</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05"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_Toc391539605 \h </w:instrText>
        </w:r>
        <w:r>
          <w:rPr>
            <w:webHidden/>
          </w:rPr>
        </w:r>
        <w:r>
          <w:rPr>
            <w:webHidden/>
          </w:rPr>
          <w:fldChar w:fldCharType="separate"/>
        </w:r>
        <w:r>
          <w:rPr>
            <w:webHidden/>
          </w:rPr>
          <w:t>45</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06" w:history="1">
        <w:r w:rsidRPr="00F30583">
          <w:rPr>
            <w:rStyle w:val="Hypertextovodkaz"/>
          </w:rPr>
          <w:t>2.A.7</w:t>
        </w:r>
        <w:r>
          <w:rPr>
            <w:rFonts w:asciiTheme="minorHAnsi" w:eastAsiaTheme="minorEastAsia" w:hAnsiTheme="minorHAnsi" w:cstheme="minorBidi"/>
            <w:i w:val="0"/>
            <w:sz w:val="22"/>
            <w:szCs w:val="22"/>
          </w:rPr>
          <w:tab/>
        </w:r>
        <w:r w:rsidRPr="00F30583">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_Toc391539606 \h </w:instrText>
        </w:r>
        <w:r>
          <w:rPr>
            <w:webHidden/>
          </w:rPr>
        </w:r>
        <w:r>
          <w:rPr>
            <w:webHidden/>
          </w:rPr>
          <w:fldChar w:fldCharType="separate"/>
        </w:r>
        <w:r>
          <w:rPr>
            <w:webHidden/>
          </w:rPr>
          <w:t>53</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07" w:history="1">
        <w:r w:rsidRPr="00F30583">
          <w:rPr>
            <w:rStyle w:val="Hypertextovodkaz"/>
          </w:rPr>
          <w:t>2.A.8</w:t>
        </w:r>
        <w:r>
          <w:rPr>
            <w:rFonts w:asciiTheme="minorHAnsi" w:eastAsiaTheme="minorEastAsia" w:hAnsiTheme="minorHAnsi" w:cstheme="minorBidi"/>
            <w:i w:val="0"/>
            <w:sz w:val="22"/>
            <w:szCs w:val="22"/>
          </w:rPr>
          <w:tab/>
        </w:r>
        <w:r w:rsidRPr="00F30583">
          <w:rPr>
            <w:rStyle w:val="Hypertextovodkaz"/>
          </w:rPr>
          <w:t>Výkonnostní rámec</w:t>
        </w:r>
        <w:r>
          <w:rPr>
            <w:webHidden/>
          </w:rPr>
          <w:tab/>
        </w:r>
        <w:r>
          <w:rPr>
            <w:webHidden/>
          </w:rPr>
          <w:fldChar w:fldCharType="begin"/>
        </w:r>
        <w:r>
          <w:rPr>
            <w:webHidden/>
          </w:rPr>
          <w:instrText xml:space="preserve"> PAGEREF _Toc391539607 \h </w:instrText>
        </w:r>
        <w:r>
          <w:rPr>
            <w:webHidden/>
          </w:rPr>
        </w:r>
        <w:r>
          <w:rPr>
            <w:webHidden/>
          </w:rPr>
          <w:fldChar w:fldCharType="separate"/>
        </w:r>
        <w:r>
          <w:rPr>
            <w:webHidden/>
          </w:rPr>
          <w:t>54</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08" w:history="1">
        <w:r w:rsidRPr="00F30583">
          <w:rPr>
            <w:rStyle w:val="Hypertextovodkaz"/>
          </w:rPr>
          <w:t>2.A.9</w:t>
        </w:r>
        <w:r>
          <w:rPr>
            <w:rFonts w:asciiTheme="minorHAnsi" w:eastAsiaTheme="minorEastAsia" w:hAnsiTheme="minorHAnsi" w:cstheme="minorBidi"/>
            <w:i w:val="0"/>
            <w:sz w:val="22"/>
            <w:szCs w:val="22"/>
          </w:rPr>
          <w:tab/>
        </w:r>
        <w:r w:rsidRPr="00F30583">
          <w:rPr>
            <w:rStyle w:val="Hypertextovodkaz"/>
          </w:rPr>
          <w:t>Kategorie zásahů</w:t>
        </w:r>
        <w:r>
          <w:rPr>
            <w:webHidden/>
          </w:rPr>
          <w:tab/>
        </w:r>
        <w:r>
          <w:rPr>
            <w:webHidden/>
          </w:rPr>
          <w:fldChar w:fldCharType="begin"/>
        </w:r>
        <w:r>
          <w:rPr>
            <w:webHidden/>
          </w:rPr>
          <w:instrText xml:space="preserve"> PAGEREF _Toc391539608 \h </w:instrText>
        </w:r>
        <w:r>
          <w:rPr>
            <w:webHidden/>
          </w:rPr>
        </w:r>
        <w:r>
          <w:rPr>
            <w:webHidden/>
          </w:rPr>
          <w:fldChar w:fldCharType="separate"/>
        </w:r>
        <w:r>
          <w:rPr>
            <w:webHidden/>
          </w:rPr>
          <w:t>57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09" w:history="1">
        <w:r w:rsidRPr="00F30583">
          <w:rPr>
            <w:rStyle w:val="Hypertextovodkaz"/>
          </w:rPr>
          <w:t>2.A.10</w:t>
        </w:r>
        <w:r>
          <w:rPr>
            <w:rFonts w:asciiTheme="minorHAnsi" w:eastAsiaTheme="minorEastAsia" w:hAnsiTheme="minorHAnsi" w:cstheme="minorBidi"/>
            <w:i w:val="0"/>
            <w:sz w:val="22"/>
            <w:szCs w:val="22"/>
          </w:rPr>
          <w:tab/>
        </w:r>
        <w:r w:rsidRPr="00F30583">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_Toc391539609 \h </w:instrText>
        </w:r>
        <w:r>
          <w:rPr>
            <w:webHidden/>
          </w:rPr>
        </w:r>
        <w:r>
          <w:rPr>
            <w:webHidden/>
          </w:rPr>
          <w:fldChar w:fldCharType="separate"/>
        </w:r>
        <w:r>
          <w:rPr>
            <w:webHidden/>
          </w:rPr>
          <w:t>57</w:t>
        </w:r>
        <w:r>
          <w:rPr>
            <w:webHidden/>
          </w:rPr>
          <w:fldChar w:fldCharType="end"/>
        </w:r>
      </w:hyperlink>
    </w:p>
    <w:p w:rsidR="00597751" w:rsidRPr="00597751" w:rsidRDefault="00597751">
      <w:pPr>
        <w:pStyle w:val="Obsah3"/>
        <w:rPr>
          <w:rFonts w:asciiTheme="minorHAnsi" w:eastAsiaTheme="minorEastAsia" w:hAnsiTheme="minorHAnsi" w:cstheme="minorBidi"/>
          <w:b/>
          <w:i w:val="0"/>
          <w:sz w:val="22"/>
          <w:szCs w:val="22"/>
        </w:rPr>
      </w:pPr>
      <w:hyperlink w:anchor="_Toc391539610" w:history="1">
        <w:r w:rsidRPr="00597751">
          <w:rPr>
            <w:rStyle w:val="Hypertextovodkaz"/>
            <w:b/>
          </w:rPr>
          <w:t>2.A.1</w:t>
        </w:r>
        <w:r w:rsidRPr="00597751">
          <w:rPr>
            <w:rFonts w:asciiTheme="minorHAnsi" w:eastAsiaTheme="minorEastAsia" w:hAnsiTheme="minorHAnsi" w:cstheme="minorBidi"/>
            <w:b/>
            <w:i w:val="0"/>
            <w:sz w:val="22"/>
            <w:szCs w:val="22"/>
          </w:rPr>
          <w:tab/>
        </w:r>
        <w:r w:rsidRPr="00597751">
          <w:rPr>
            <w:rStyle w:val="Hypertextovodkaz"/>
            <w:b/>
          </w:rPr>
          <w:t>PRIORITNÍ OSA 2: Rozvoj podnikání a konkurenceschopnosti malých a středních podniků</w:t>
        </w:r>
        <w:r w:rsidRPr="00597751">
          <w:rPr>
            <w:b/>
            <w:webHidden/>
          </w:rPr>
          <w:tab/>
        </w:r>
        <w:r w:rsidRPr="00597751">
          <w:rPr>
            <w:b/>
            <w:webHidden/>
          </w:rPr>
          <w:fldChar w:fldCharType="begin"/>
        </w:r>
        <w:r w:rsidRPr="00597751">
          <w:rPr>
            <w:b/>
            <w:webHidden/>
          </w:rPr>
          <w:instrText xml:space="preserve"> PAGEREF _Toc391539610 \h </w:instrText>
        </w:r>
        <w:r w:rsidRPr="00597751">
          <w:rPr>
            <w:b/>
            <w:webHidden/>
          </w:rPr>
        </w:r>
        <w:r w:rsidRPr="00597751">
          <w:rPr>
            <w:b/>
            <w:webHidden/>
          </w:rPr>
          <w:fldChar w:fldCharType="separate"/>
        </w:r>
        <w:r w:rsidRPr="00597751">
          <w:rPr>
            <w:b/>
            <w:webHidden/>
          </w:rPr>
          <w:t>58</w:t>
        </w:r>
        <w:r w:rsidRPr="00597751">
          <w:rPr>
            <w:b/>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11" w:history="1">
        <w:r w:rsidRPr="00F30583">
          <w:rPr>
            <w:rStyle w:val="Hypertextovodkaz"/>
          </w:rPr>
          <w:t>2.A.2</w:t>
        </w:r>
        <w:r>
          <w:rPr>
            <w:rFonts w:asciiTheme="minorHAnsi" w:eastAsiaTheme="minorEastAsia" w:hAnsiTheme="minorHAnsi" w:cstheme="minorBidi"/>
            <w:i w:val="0"/>
            <w:sz w:val="22"/>
            <w:szCs w:val="22"/>
          </w:rPr>
          <w:tab/>
        </w:r>
        <w:r w:rsidRPr="00F30583">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_Toc391539611 \h </w:instrText>
        </w:r>
        <w:r>
          <w:rPr>
            <w:webHidden/>
          </w:rPr>
        </w:r>
        <w:r>
          <w:rPr>
            <w:webHidden/>
          </w:rPr>
          <w:fldChar w:fldCharType="separate"/>
        </w:r>
        <w:r>
          <w:rPr>
            <w:webHidden/>
          </w:rPr>
          <w:t>58</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12" w:history="1">
        <w:r w:rsidRPr="00F30583">
          <w:rPr>
            <w:rStyle w:val="Hypertextovodkaz"/>
          </w:rPr>
          <w:t>2.A.3</w:t>
        </w:r>
        <w:r>
          <w:rPr>
            <w:rFonts w:asciiTheme="minorHAnsi" w:eastAsiaTheme="minorEastAsia" w:hAnsiTheme="minorHAnsi" w:cstheme="minorBidi"/>
            <w:i w:val="0"/>
            <w:sz w:val="22"/>
            <w:szCs w:val="22"/>
          </w:rPr>
          <w:tab/>
        </w:r>
        <w:r w:rsidRPr="00F30583">
          <w:rPr>
            <w:rStyle w:val="Hypertextovodkaz"/>
          </w:rPr>
          <w:t>Fond, kategorie regionů a základ pro výpočet podpory Unie</w:t>
        </w:r>
        <w:r>
          <w:rPr>
            <w:webHidden/>
          </w:rPr>
          <w:tab/>
        </w:r>
        <w:r>
          <w:rPr>
            <w:webHidden/>
          </w:rPr>
          <w:fldChar w:fldCharType="begin"/>
        </w:r>
        <w:r>
          <w:rPr>
            <w:webHidden/>
          </w:rPr>
          <w:instrText xml:space="preserve"> PAGEREF _Toc391539612 \h </w:instrText>
        </w:r>
        <w:r>
          <w:rPr>
            <w:webHidden/>
          </w:rPr>
        </w:r>
        <w:r>
          <w:rPr>
            <w:webHidden/>
          </w:rPr>
          <w:fldChar w:fldCharType="separate"/>
        </w:r>
        <w:r>
          <w:rPr>
            <w:webHidden/>
          </w:rPr>
          <w:t>58</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13"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1 prioritní osy 2: Podpora podnikání, zejména usnadněním hospodářského využívání nových myšlenek a podporou zakládání nových firem, mimo jiné prostřednictvím podnikatelských inkubátorů</w:t>
        </w:r>
        <w:r>
          <w:rPr>
            <w:webHidden/>
          </w:rPr>
          <w:tab/>
        </w:r>
        <w:r>
          <w:rPr>
            <w:webHidden/>
          </w:rPr>
          <w:fldChar w:fldCharType="begin"/>
        </w:r>
        <w:r>
          <w:rPr>
            <w:webHidden/>
          </w:rPr>
          <w:instrText xml:space="preserve"> PAGEREF _Toc391539613 \h </w:instrText>
        </w:r>
        <w:r>
          <w:rPr>
            <w:webHidden/>
          </w:rPr>
        </w:r>
        <w:r>
          <w:rPr>
            <w:webHidden/>
          </w:rPr>
          <w:fldChar w:fldCharType="separate"/>
        </w:r>
        <w:r>
          <w:rPr>
            <w:webHidden/>
          </w:rPr>
          <w:t>58</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14"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_Toc391539614 \h </w:instrText>
        </w:r>
        <w:r>
          <w:rPr>
            <w:webHidden/>
          </w:rPr>
        </w:r>
        <w:r>
          <w:rPr>
            <w:webHidden/>
          </w:rPr>
          <w:fldChar w:fldCharType="separate"/>
        </w:r>
        <w:r>
          <w:rPr>
            <w:webHidden/>
          </w:rPr>
          <w:t>58</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15"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_Toc391539615 \h </w:instrText>
        </w:r>
        <w:r>
          <w:rPr>
            <w:webHidden/>
          </w:rPr>
        </w:r>
        <w:r>
          <w:rPr>
            <w:webHidden/>
          </w:rPr>
          <w:fldChar w:fldCharType="separate"/>
        </w:r>
        <w:r>
          <w:rPr>
            <w:webHidden/>
          </w:rPr>
          <w:t>59</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16"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2 prioritní osy 2: Vyvíjení a provádění nových obchodních modelů pro MSP, zejména pro oblast mezinárodního obchodu</w:t>
        </w:r>
        <w:r>
          <w:rPr>
            <w:webHidden/>
          </w:rPr>
          <w:tab/>
        </w:r>
        <w:r>
          <w:rPr>
            <w:webHidden/>
          </w:rPr>
          <w:fldChar w:fldCharType="begin"/>
        </w:r>
        <w:r>
          <w:rPr>
            <w:webHidden/>
          </w:rPr>
          <w:instrText xml:space="preserve"> PAGEREF _Toc391539616 \h </w:instrText>
        </w:r>
        <w:r>
          <w:rPr>
            <w:webHidden/>
          </w:rPr>
        </w:r>
        <w:r>
          <w:rPr>
            <w:webHidden/>
          </w:rPr>
          <w:fldChar w:fldCharType="separate"/>
        </w:r>
        <w:r>
          <w:rPr>
            <w:webHidden/>
          </w:rPr>
          <w:t>64</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17"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_Toc391539617 \h </w:instrText>
        </w:r>
        <w:r>
          <w:rPr>
            <w:webHidden/>
          </w:rPr>
        </w:r>
        <w:r>
          <w:rPr>
            <w:webHidden/>
          </w:rPr>
          <w:fldChar w:fldCharType="separate"/>
        </w:r>
        <w:r>
          <w:rPr>
            <w:webHidden/>
          </w:rPr>
          <w:t>64</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18"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_Toc391539618 \h </w:instrText>
        </w:r>
        <w:r>
          <w:rPr>
            <w:webHidden/>
          </w:rPr>
        </w:r>
        <w:r>
          <w:rPr>
            <w:webHidden/>
          </w:rPr>
          <w:fldChar w:fldCharType="separate"/>
        </w:r>
        <w:r>
          <w:rPr>
            <w:webHidden/>
          </w:rPr>
          <w:t>65</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19"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3 prioritní osy 2: Podpora vytváření a rozšiřování vyspělých kapacit pro rozvoj produktů a služeb</w:t>
        </w:r>
        <w:r>
          <w:rPr>
            <w:webHidden/>
          </w:rPr>
          <w:tab/>
        </w:r>
        <w:r>
          <w:rPr>
            <w:webHidden/>
          </w:rPr>
          <w:fldChar w:fldCharType="begin"/>
        </w:r>
        <w:r>
          <w:rPr>
            <w:webHidden/>
          </w:rPr>
          <w:instrText xml:space="preserve"> PAGEREF _Toc391539619 \h </w:instrText>
        </w:r>
        <w:r>
          <w:rPr>
            <w:webHidden/>
          </w:rPr>
        </w:r>
        <w:r>
          <w:rPr>
            <w:webHidden/>
          </w:rPr>
          <w:fldChar w:fldCharType="separate"/>
        </w:r>
        <w:r>
          <w:rPr>
            <w:webHidden/>
          </w:rPr>
          <w:t>67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20"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_Toc391539620 \h </w:instrText>
        </w:r>
        <w:r>
          <w:rPr>
            <w:webHidden/>
          </w:rPr>
        </w:r>
        <w:r>
          <w:rPr>
            <w:webHidden/>
          </w:rPr>
          <w:fldChar w:fldCharType="separate"/>
        </w:r>
        <w:r>
          <w:rPr>
            <w:webHidden/>
          </w:rPr>
          <w:t>67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21"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_Toc391539621 \h </w:instrText>
        </w:r>
        <w:r>
          <w:rPr>
            <w:webHidden/>
          </w:rPr>
        </w:r>
        <w:r>
          <w:rPr>
            <w:webHidden/>
          </w:rPr>
          <w:fldChar w:fldCharType="separate"/>
        </w:r>
        <w:r>
          <w:rPr>
            <w:webHidden/>
          </w:rPr>
          <w:t>69</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22" w:history="1">
        <w:r w:rsidRPr="00F30583">
          <w:rPr>
            <w:rStyle w:val="Hypertextovodkaz"/>
          </w:rPr>
          <w:t>2.A.7</w:t>
        </w:r>
        <w:r>
          <w:rPr>
            <w:rFonts w:asciiTheme="minorHAnsi" w:eastAsiaTheme="minorEastAsia" w:hAnsiTheme="minorHAnsi" w:cstheme="minorBidi"/>
            <w:i w:val="0"/>
            <w:sz w:val="22"/>
            <w:szCs w:val="22"/>
          </w:rPr>
          <w:tab/>
        </w:r>
        <w:r w:rsidRPr="00F30583">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_Toc391539622 \h </w:instrText>
        </w:r>
        <w:r>
          <w:rPr>
            <w:webHidden/>
          </w:rPr>
        </w:r>
        <w:r>
          <w:rPr>
            <w:webHidden/>
          </w:rPr>
          <w:fldChar w:fldCharType="separate"/>
        </w:r>
        <w:r>
          <w:rPr>
            <w:webHidden/>
          </w:rPr>
          <w:t>72</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23" w:history="1">
        <w:r w:rsidRPr="00F30583">
          <w:rPr>
            <w:rStyle w:val="Hypertextovodkaz"/>
          </w:rPr>
          <w:t>2.A.8</w:t>
        </w:r>
        <w:r>
          <w:rPr>
            <w:rFonts w:asciiTheme="minorHAnsi" w:eastAsiaTheme="minorEastAsia" w:hAnsiTheme="minorHAnsi" w:cstheme="minorBidi"/>
            <w:i w:val="0"/>
            <w:sz w:val="22"/>
            <w:szCs w:val="22"/>
          </w:rPr>
          <w:tab/>
        </w:r>
        <w:r w:rsidRPr="00F30583">
          <w:rPr>
            <w:rStyle w:val="Hypertextovodkaz"/>
          </w:rPr>
          <w:t>Výkonnostní rámec</w:t>
        </w:r>
        <w:r>
          <w:rPr>
            <w:webHidden/>
          </w:rPr>
          <w:tab/>
        </w:r>
        <w:r>
          <w:rPr>
            <w:webHidden/>
          </w:rPr>
          <w:fldChar w:fldCharType="begin"/>
        </w:r>
        <w:r>
          <w:rPr>
            <w:webHidden/>
          </w:rPr>
          <w:instrText xml:space="preserve"> PAGEREF _Toc391539623 \h </w:instrText>
        </w:r>
        <w:r>
          <w:rPr>
            <w:webHidden/>
          </w:rPr>
        </w:r>
        <w:r>
          <w:rPr>
            <w:webHidden/>
          </w:rPr>
          <w:fldChar w:fldCharType="separate"/>
        </w:r>
        <w:r>
          <w:rPr>
            <w:webHidden/>
          </w:rPr>
          <w:t>73</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24" w:history="1">
        <w:r w:rsidRPr="00F30583">
          <w:rPr>
            <w:rStyle w:val="Hypertextovodkaz"/>
          </w:rPr>
          <w:t>2.A.9</w:t>
        </w:r>
        <w:r>
          <w:rPr>
            <w:rFonts w:asciiTheme="minorHAnsi" w:eastAsiaTheme="minorEastAsia" w:hAnsiTheme="minorHAnsi" w:cstheme="minorBidi"/>
            <w:i w:val="0"/>
            <w:sz w:val="22"/>
            <w:szCs w:val="22"/>
          </w:rPr>
          <w:tab/>
        </w:r>
        <w:r w:rsidRPr="00F30583">
          <w:rPr>
            <w:rStyle w:val="Hypertextovodkaz"/>
          </w:rPr>
          <w:t>Kategorie zásahů</w:t>
        </w:r>
        <w:r>
          <w:rPr>
            <w:webHidden/>
          </w:rPr>
          <w:tab/>
        </w:r>
        <w:r>
          <w:rPr>
            <w:webHidden/>
          </w:rPr>
          <w:fldChar w:fldCharType="begin"/>
        </w:r>
        <w:r>
          <w:rPr>
            <w:webHidden/>
          </w:rPr>
          <w:instrText xml:space="preserve"> PAGEREF _Toc391539624 \h </w:instrText>
        </w:r>
        <w:r>
          <w:rPr>
            <w:webHidden/>
          </w:rPr>
        </w:r>
        <w:r>
          <w:rPr>
            <w:webHidden/>
          </w:rPr>
          <w:fldChar w:fldCharType="separate"/>
        </w:r>
        <w:r>
          <w:rPr>
            <w:webHidden/>
          </w:rPr>
          <w:t>75</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25" w:history="1">
        <w:r w:rsidRPr="00F30583">
          <w:rPr>
            <w:rStyle w:val="Hypertextovodkaz"/>
          </w:rPr>
          <w:t>2.A.10</w:t>
        </w:r>
        <w:r>
          <w:rPr>
            <w:rFonts w:asciiTheme="minorHAnsi" w:eastAsiaTheme="minorEastAsia" w:hAnsiTheme="minorHAnsi" w:cstheme="minorBidi"/>
            <w:i w:val="0"/>
            <w:sz w:val="22"/>
            <w:szCs w:val="22"/>
          </w:rPr>
          <w:tab/>
        </w:r>
        <w:r w:rsidRPr="00F30583">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_Toc391539625 \h </w:instrText>
        </w:r>
        <w:r>
          <w:rPr>
            <w:webHidden/>
          </w:rPr>
        </w:r>
        <w:r>
          <w:rPr>
            <w:webHidden/>
          </w:rPr>
          <w:fldChar w:fldCharType="separate"/>
        </w:r>
        <w:r>
          <w:rPr>
            <w:webHidden/>
          </w:rPr>
          <w:t>75</w:t>
        </w:r>
        <w:r>
          <w:rPr>
            <w:webHidden/>
          </w:rPr>
          <w:fldChar w:fldCharType="end"/>
        </w:r>
      </w:hyperlink>
    </w:p>
    <w:p w:rsidR="00597751" w:rsidRPr="00597751" w:rsidRDefault="00597751">
      <w:pPr>
        <w:pStyle w:val="Obsah3"/>
        <w:rPr>
          <w:rFonts w:asciiTheme="minorHAnsi" w:eastAsiaTheme="minorEastAsia" w:hAnsiTheme="minorHAnsi" w:cstheme="minorBidi"/>
          <w:b/>
          <w:i w:val="0"/>
          <w:sz w:val="22"/>
          <w:szCs w:val="22"/>
        </w:rPr>
      </w:pPr>
      <w:hyperlink w:anchor="_Toc391539626" w:history="1">
        <w:r w:rsidRPr="00597751">
          <w:rPr>
            <w:rStyle w:val="Hypertextovodkaz"/>
            <w:b/>
          </w:rPr>
          <w:t>2.A.1</w:t>
        </w:r>
        <w:r w:rsidRPr="00597751">
          <w:rPr>
            <w:rFonts w:asciiTheme="minorHAnsi" w:eastAsiaTheme="minorEastAsia" w:hAnsiTheme="minorHAnsi" w:cstheme="minorBidi"/>
            <w:b/>
            <w:i w:val="0"/>
            <w:sz w:val="22"/>
            <w:szCs w:val="22"/>
          </w:rPr>
          <w:tab/>
        </w:r>
        <w:r w:rsidRPr="00597751">
          <w:rPr>
            <w:rStyle w:val="Hypertextovodkaz"/>
            <w:b/>
          </w:rPr>
          <w:t>PRIORITNÍ OSA 3: Účinné nakládání energií, rozvoj energetické infrastruktury a obnovitelných zdrojů energie, podpora zavádění nových technologií v oblasti nakládání energií a druhotných surovin</w:t>
        </w:r>
        <w:r w:rsidRPr="00597751">
          <w:rPr>
            <w:b/>
            <w:webHidden/>
          </w:rPr>
          <w:tab/>
        </w:r>
        <w:r w:rsidRPr="00597751">
          <w:rPr>
            <w:b/>
            <w:webHidden/>
          </w:rPr>
          <w:fldChar w:fldCharType="begin"/>
        </w:r>
        <w:r w:rsidRPr="00597751">
          <w:rPr>
            <w:b/>
            <w:webHidden/>
          </w:rPr>
          <w:instrText xml:space="preserve"> PAGEREF _Toc391539626 \h </w:instrText>
        </w:r>
        <w:r w:rsidRPr="00597751">
          <w:rPr>
            <w:b/>
            <w:webHidden/>
          </w:rPr>
        </w:r>
        <w:r w:rsidRPr="00597751">
          <w:rPr>
            <w:b/>
            <w:webHidden/>
          </w:rPr>
          <w:fldChar w:fldCharType="separate"/>
        </w:r>
        <w:r w:rsidRPr="00597751">
          <w:rPr>
            <w:b/>
            <w:webHidden/>
          </w:rPr>
          <w:t>76</w:t>
        </w:r>
        <w:r w:rsidRPr="00597751">
          <w:rPr>
            <w:b/>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27" w:history="1">
        <w:r w:rsidRPr="00F30583">
          <w:rPr>
            <w:rStyle w:val="Hypertextovodkaz"/>
          </w:rPr>
          <w:t>2.A.2</w:t>
        </w:r>
        <w:r>
          <w:rPr>
            <w:rFonts w:asciiTheme="minorHAnsi" w:eastAsiaTheme="minorEastAsia" w:hAnsiTheme="minorHAnsi" w:cstheme="minorBidi"/>
            <w:i w:val="0"/>
            <w:sz w:val="22"/>
            <w:szCs w:val="22"/>
          </w:rPr>
          <w:tab/>
        </w:r>
        <w:r w:rsidRPr="00F30583">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_Toc391539627 \h </w:instrText>
        </w:r>
        <w:r>
          <w:rPr>
            <w:webHidden/>
          </w:rPr>
        </w:r>
        <w:r>
          <w:rPr>
            <w:webHidden/>
          </w:rPr>
          <w:fldChar w:fldCharType="separate"/>
        </w:r>
        <w:r>
          <w:rPr>
            <w:webHidden/>
          </w:rPr>
          <w:t>76</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28" w:history="1">
        <w:r w:rsidRPr="00F30583">
          <w:rPr>
            <w:rStyle w:val="Hypertextovodkaz"/>
          </w:rPr>
          <w:t>2.A.3</w:t>
        </w:r>
        <w:r>
          <w:rPr>
            <w:rFonts w:asciiTheme="minorHAnsi" w:eastAsiaTheme="minorEastAsia" w:hAnsiTheme="minorHAnsi" w:cstheme="minorBidi"/>
            <w:i w:val="0"/>
            <w:sz w:val="22"/>
            <w:szCs w:val="22"/>
          </w:rPr>
          <w:tab/>
        </w:r>
        <w:r w:rsidRPr="00F30583">
          <w:rPr>
            <w:rStyle w:val="Hypertextovodkaz"/>
          </w:rPr>
          <w:t>Fond, kategorie regionů a základ pro výpočet podpory Unie</w:t>
        </w:r>
        <w:r>
          <w:rPr>
            <w:webHidden/>
          </w:rPr>
          <w:tab/>
        </w:r>
        <w:r>
          <w:rPr>
            <w:webHidden/>
          </w:rPr>
          <w:fldChar w:fldCharType="begin"/>
        </w:r>
        <w:r>
          <w:rPr>
            <w:webHidden/>
          </w:rPr>
          <w:instrText xml:space="preserve"> PAGEREF _Toc391539628 \h </w:instrText>
        </w:r>
        <w:r>
          <w:rPr>
            <w:webHidden/>
          </w:rPr>
        </w:r>
        <w:r>
          <w:rPr>
            <w:webHidden/>
          </w:rPr>
          <w:fldChar w:fldCharType="separate"/>
        </w:r>
        <w:r>
          <w:rPr>
            <w:webHidden/>
          </w:rPr>
          <w:t>76</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29"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1 prioritní osy 3: Podpora výroby a distribuce energie pocházející z obnovitelných zdrojů</w:t>
        </w:r>
        <w:r>
          <w:rPr>
            <w:webHidden/>
          </w:rPr>
          <w:tab/>
        </w:r>
        <w:r>
          <w:rPr>
            <w:webHidden/>
          </w:rPr>
          <w:fldChar w:fldCharType="begin"/>
        </w:r>
        <w:r>
          <w:rPr>
            <w:webHidden/>
          </w:rPr>
          <w:instrText xml:space="preserve"> PAGEREF _Toc391539629 \h </w:instrText>
        </w:r>
        <w:r>
          <w:rPr>
            <w:webHidden/>
          </w:rPr>
        </w:r>
        <w:r>
          <w:rPr>
            <w:webHidden/>
          </w:rPr>
          <w:fldChar w:fldCharType="separate"/>
        </w:r>
        <w:r>
          <w:rPr>
            <w:webHidden/>
          </w:rPr>
          <w:t>76</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0"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_Toc391539630 \h </w:instrText>
        </w:r>
        <w:r>
          <w:rPr>
            <w:webHidden/>
          </w:rPr>
        </w:r>
        <w:r>
          <w:rPr>
            <w:webHidden/>
          </w:rPr>
          <w:fldChar w:fldCharType="separate"/>
        </w:r>
        <w:r>
          <w:rPr>
            <w:webHidden/>
          </w:rPr>
          <w:t>76</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1"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_Toc391539631 \h </w:instrText>
        </w:r>
        <w:r>
          <w:rPr>
            <w:webHidden/>
          </w:rPr>
        </w:r>
        <w:r>
          <w:rPr>
            <w:webHidden/>
          </w:rPr>
          <w:fldChar w:fldCharType="separate"/>
        </w:r>
        <w:r>
          <w:rPr>
            <w:webHidden/>
          </w:rPr>
          <w:t>77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2"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2 prioritní osy 3: Podpora energetické účinnosti a využívání energie z obnovitelných zdrojů v podnicích</w:t>
        </w:r>
        <w:r>
          <w:rPr>
            <w:webHidden/>
          </w:rPr>
          <w:tab/>
        </w:r>
        <w:r>
          <w:rPr>
            <w:webHidden/>
          </w:rPr>
          <w:fldChar w:fldCharType="begin"/>
        </w:r>
        <w:r>
          <w:rPr>
            <w:webHidden/>
          </w:rPr>
          <w:instrText xml:space="preserve"> PAGEREF _Toc391539632 \h </w:instrText>
        </w:r>
        <w:r>
          <w:rPr>
            <w:webHidden/>
          </w:rPr>
        </w:r>
        <w:r>
          <w:rPr>
            <w:webHidden/>
          </w:rPr>
          <w:fldChar w:fldCharType="separate"/>
        </w:r>
        <w:r>
          <w:rPr>
            <w:webHidden/>
          </w:rPr>
          <w:t>80</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3"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_Toc391539633 \h </w:instrText>
        </w:r>
        <w:r>
          <w:rPr>
            <w:webHidden/>
          </w:rPr>
        </w:r>
        <w:r>
          <w:rPr>
            <w:webHidden/>
          </w:rPr>
          <w:fldChar w:fldCharType="separate"/>
        </w:r>
        <w:r>
          <w:rPr>
            <w:webHidden/>
          </w:rPr>
          <w:t>80</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4"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_Toc391539634 \h </w:instrText>
        </w:r>
        <w:r>
          <w:rPr>
            <w:webHidden/>
          </w:rPr>
        </w:r>
        <w:r>
          <w:rPr>
            <w:webHidden/>
          </w:rPr>
          <w:fldChar w:fldCharType="separate"/>
        </w:r>
        <w:r>
          <w:rPr>
            <w:webHidden/>
          </w:rPr>
          <w:t>81</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5"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3 prioritní osy 3: Rozvoj a zavádění inteligentních distribučních soustav, jež fungují na hladině nízkého a středního napětí</w:t>
        </w:r>
        <w:r>
          <w:rPr>
            <w:webHidden/>
          </w:rPr>
          <w:tab/>
        </w:r>
        <w:r>
          <w:rPr>
            <w:webHidden/>
          </w:rPr>
          <w:fldChar w:fldCharType="begin"/>
        </w:r>
        <w:r>
          <w:rPr>
            <w:webHidden/>
          </w:rPr>
          <w:instrText xml:space="preserve"> PAGEREF _Toc391539635 \h </w:instrText>
        </w:r>
        <w:r>
          <w:rPr>
            <w:webHidden/>
          </w:rPr>
        </w:r>
        <w:r>
          <w:rPr>
            <w:webHidden/>
          </w:rPr>
          <w:fldChar w:fldCharType="separate"/>
        </w:r>
        <w:r>
          <w:rPr>
            <w:webHidden/>
          </w:rPr>
          <w:t>85</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6"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_Toc391539636 \h </w:instrText>
        </w:r>
        <w:r>
          <w:rPr>
            <w:webHidden/>
          </w:rPr>
        </w:r>
        <w:r>
          <w:rPr>
            <w:webHidden/>
          </w:rPr>
          <w:fldChar w:fldCharType="separate"/>
        </w:r>
        <w:r>
          <w:rPr>
            <w:webHidden/>
          </w:rPr>
          <w:t>85</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7"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_Toc391539637 \h </w:instrText>
        </w:r>
        <w:r>
          <w:rPr>
            <w:webHidden/>
          </w:rPr>
        </w:r>
        <w:r>
          <w:rPr>
            <w:webHidden/>
          </w:rPr>
          <w:fldChar w:fldCharType="separate"/>
        </w:r>
        <w:r>
          <w:rPr>
            <w:webHidden/>
          </w:rPr>
          <w:t>86</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8"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4 prioritní osy 3: Podpora výzkumu a inovací a zavádění nízkouhlíkových technologií</w:t>
        </w:r>
        <w:r>
          <w:rPr>
            <w:webHidden/>
          </w:rPr>
          <w:tab/>
        </w:r>
        <w:r>
          <w:rPr>
            <w:webHidden/>
          </w:rPr>
          <w:fldChar w:fldCharType="begin"/>
        </w:r>
        <w:r>
          <w:rPr>
            <w:webHidden/>
          </w:rPr>
          <w:instrText xml:space="preserve"> PAGEREF _Toc391539638 \h </w:instrText>
        </w:r>
        <w:r>
          <w:rPr>
            <w:webHidden/>
          </w:rPr>
        </w:r>
        <w:r>
          <w:rPr>
            <w:webHidden/>
          </w:rPr>
          <w:fldChar w:fldCharType="separate"/>
        </w:r>
        <w:r>
          <w:rPr>
            <w:webHidden/>
          </w:rPr>
          <w:t>90</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39"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_Toc391539639 \h </w:instrText>
        </w:r>
        <w:r>
          <w:rPr>
            <w:webHidden/>
          </w:rPr>
        </w:r>
        <w:r>
          <w:rPr>
            <w:webHidden/>
          </w:rPr>
          <w:fldChar w:fldCharType="separate"/>
        </w:r>
        <w:r>
          <w:rPr>
            <w:webHidden/>
          </w:rPr>
          <w:t>90</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0"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_Toc391539640 \h </w:instrText>
        </w:r>
        <w:r>
          <w:rPr>
            <w:webHidden/>
          </w:rPr>
        </w:r>
        <w:r>
          <w:rPr>
            <w:webHidden/>
          </w:rPr>
          <w:fldChar w:fldCharType="separate"/>
        </w:r>
        <w:r>
          <w:rPr>
            <w:webHidden/>
          </w:rPr>
          <w:t>91</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1"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5 prioritní osy 3: Podpora využívání vysoce účinné kombinované výroby tepla a elektřiny na základě poptávky po užitečném teple</w:t>
        </w:r>
        <w:r>
          <w:rPr>
            <w:webHidden/>
          </w:rPr>
          <w:tab/>
        </w:r>
        <w:r>
          <w:rPr>
            <w:webHidden/>
          </w:rPr>
          <w:fldChar w:fldCharType="begin"/>
        </w:r>
        <w:r>
          <w:rPr>
            <w:webHidden/>
          </w:rPr>
          <w:instrText xml:space="preserve"> PAGEREF _Toc391539641 \h </w:instrText>
        </w:r>
        <w:r>
          <w:rPr>
            <w:webHidden/>
          </w:rPr>
        </w:r>
        <w:r>
          <w:rPr>
            <w:webHidden/>
          </w:rPr>
          <w:fldChar w:fldCharType="separate"/>
        </w:r>
        <w:r>
          <w:rPr>
            <w:webHidden/>
          </w:rPr>
          <w:t>94</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2"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_Toc391539642 \h </w:instrText>
        </w:r>
        <w:r>
          <w:rPr>
            <w:webHidden/>
          </w:rPr>
        </w:r>
        <w:r>
          <w:rPr>
            <w:webHidden/>
          </w:rPr>
          <w:fldChar w:fldCharType="separate"/>
        </w:r>
        <w:r>
          <w:rPr>
            <w:webHidden/>
          </w:rPr>
          <w:t>94</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3"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_Toc391539643 \h </w:instrText>
        </w:r>
        <w:r>
          <w:rPr>
            <w:webHidden/>
          </w:rPr>
        </w:r>
        <w:r>
          <w:rPr>
            <w:webHidden/>
          </w:rPr>
          <w:fldChar w:fldCharType="separate"/>
        </w:r>
        <w:r>
          <w:rPr>
            <w:webHidden/>
          </w:rPr>
          <w:t>95</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4"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6 prioritní osy 3: Zvyšování energetické účinnosti a zabezpečení dodávek prostřednictvím rozvoje inteligentních systémů pro distribuci, skladování a přenos energie a prostřednictvím integrace distribuované výroby z obnovitelných zdrojů</w:t>
        </w:r>
        <w:r>
          <w:rPr>
            <w:webHidden/>
          </w:rPr>
          <w:tab/>
        </w:r>
        <w:r>
          <w:rPr>
            <w:webHidden/>
          </w:rPr>
          <w:fldChar w:fldCharType="begin"/>
        </w:r>
        <w:r>
          <w:rPr>
            <w:webHidden/>
          </w:rPr>
          <w:instrText xml:space="preserve"> PAGEREF _Toc391539644 \h </w:instrText>
        </w:r>
        <w:r>
          <w:rPr>
            <w:webHidden/>
          </w:rPr>
        </w:r>
        <w:r>
          <w:rPr>
            <w:webHidden/>
          </w:rPr>
          <w:fldChar w:fldCharType="separate"/>
        </w:r>
        <w:r>
          <w:rPr>
            <w:webHidden/>
          </w:rPr>
          <w:t>99</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5"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_Toc391539645 \h </w:instrText>
        </w:r>
        <w:r>
          <w:rPr>
            <w:webHidden/>
          </w:rPr>
        </w:r>
        <w:r>
          <w:rPr>
            <w:webHidden/>
          </w:rPr>
          <w:fldChar w:fldCharType="separate"/>
        </w:r>
        <w:r>
          <w:rPr>
            <w:webHidden/>
          </w:rPr>
          <w:t>99</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6"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_Toc391539646 \h </w:instrText>
        </w:r>
        <w:r>
          <w:rPr>
            <w:webHidden/>
          </w:rPr>
        </w:r>
        <w:r>
          <w:rPr>
            <w:webHidden/>
          </w:rPr>
          <w:fldChar w:fldCharType="separate"/>
        </w:r>
        <w:r>
          <w:rPr>
            <w:webHidden/>
          </w:rPr>
          <w:t>100</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7" w:history="1">
        <w:r w:rsidRPr="00F30583">
          <w:rPr>
            <w:rStyle w:val="Hypertextovodkaz"/>
          </w:rPr>
          <w:t>2.A.7</w:t>
        </w:r>
        <w:r>
          <w:rPr>
            <w:rFonts w:asciiTheme="minorHAnsi" w:eastAsiaTheme="minorEastAsia" w:hAnsiTheme="minorHAnsi" w:cstheme="minorBidi"/>
            <w:i w:val="0"/>
            <w:sz w:val="22"/>
            <w:szCs w:val="22"/>
          </w:rPr>
          <w:tab/>
        </w:r>
        <w:r w:rsidRPr="00F30583">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_Toc391539647 \h </w:instrText>
        </w:r>
        <w:r>
          <w:rPr>
            <w:webHidden/>
          </w:rPr>
        </w:r>
        <w:r>
          <w:rPr>
            <w:webHidden/>
          </w:rPr>
          <w:fldChar w:fldCharType="separate"/>
        </w:r>
        <w:r>
          <w:rPr>
            <w:webHidden/>
          </w:rPr>
          <w:t>103</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8" w:history="1">
        <w:r w:rsidRPr="00F30583">
          <w:rPr>
            <w:rStyle w:val="Hypertextovodkaz"/>
          </w:rPr>
          <w:t>2.A.8</w:t>
        </w:r>
        <w:r>
          <w:rPr>
            <w:rFonts w:asciiTheme="minorHAnsi" w:eastAsiaTheme="minorEastAsia" w:hAnsiTheme="minorHAnsi" w:cstheme="minorBidi"/>
            <w:i w:val="0"/>
            <w:sz w:val="22"/>
            <w:szCs w:val="22"/>
          </w:rPr>
          <w:tab/>
        </w:r>
        <w:r w:rsidRPr="00F30583">
          <w:rPr>
            <w:rStyle w:val="Hypertextovodkaz"/>
          </w:rPr>
          <w:t>Výkonnostní rámec</w:t>
        </w:r>
        <w:r>
          <w:rPr>
            <w:webHidden/>
          </w:rPr>
          <w:tab/>
        </w:r>
        <w:r>
          <w:rPr>
            <w:webHidden/>
          </w:rPr>
          <w:fldChar w:fldCharType="begin"/>
        </w:r>
        <w:r>
          <w:rPr>
            <w:webHidden/>
          </w:rPr>
          <w:instrText xml:space="preserve"> PAGEREF _Toc391539648 \h </w:instrText>
        </w:r>
        <w:r>
          <w:rPr>
            <w:webHidden/>
          </w:rPr>
        </w:r>
        <w:r>
          <w:rPr>
            <w:webHidden/>
          </w:rPr>
          <w:fldChar w:fldCharType="separate"/>
        </w:r>
        <w:r>
          <w:rPr>
            <w:webHidden/>
          </w:rPr>
          <w:t>104</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49" w:history="1">
        <w:r w:rsidRPr="00F30583">
          <w:rPr>
            <w:rStyle w:val="Hypertextovodkaz"/>
          </w:rPr>
          <w:t>2.A.9</w:t>
        </w:r>
        <w:r>
          <w:rPr>
            <w:rFonts w:asciiTheme="minorHAnsi" w:eastAsiaTheme="minorEastAsia" w:hAnsiTheme="minorHAnsi" w:cstheme="minorBidi"/>
            <w:i w:val="0"/>
            <w:sz w:val="22"/>
            <w:szCs w:val="22"/>
          </w:rPr>
          <w:tab/>
        </w:r>
        <w:r w:rsidRPr="00F30583">
          <w:rPr>
            <w:rStyle w:val="Hypertextovodkaz"/>
          </w:rPr>
          <w:t>Kategorie zásahů</w:t>
        </w:r>
        <w:r>
          <w:rPr>
            <w:webHidden/>
          </w:rPr>
          <w:tab/>
        </w:r>
        <w:r>
          <w:rPr>
            <w:webHidden/>
          </w:rPr>
          <w:fldChar w:fldCharType="begin"/>
        </w:r>
        <w:r>
          <w:rPr>
            <w:webHidden/>
          </w:rPr>
          <w:instrText xml:space="preserve"> PAGEREF _Toc391539649 \h </w:instrText>
        </w:r>
        <w:r>
          <w:rPr>
            <w:webHidden/>
          </w:rPr>
        </w:r>
        <w:r>
          <w:rPr>
            <w:webHidden/>
          </w:rPr>
          <w:fldChar w:fldCharType="separate"/>
        </w:r>
        <w:r>
          <w:rPr>
            <w:webHidden/>
          </w:rPr>
          <w:t>106</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50" w:history="1">
        <w:r w:rsidRPr="00F30583">
          <w:rPr>
            <w:rStyle w:val="Hypertextovodkaz"/>
          </w:rPr>
          <w:t>2.A.10</w:t>
        </w:r>
        <w:r>
          <w:rPr>
            <w:rFonts w:asciiTheme="minorHAnsi" w:eastAsiaTheme="minorEastAsia" w:hAnsiTheme="minorHAnsi" w:cstheme="minorBidi"/>
            <w:i w:val="0"/>
            <w:sz w:val="22"/>
            <w:szCs w:val="22"/>
          </w:rPr>
          <w:tab/>
        </w:r>
        <w:r w:rsidRPr="00F30583">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_Toc391539650 \h </w:instrText>
        </w:r>
        <w:r>
          <w:rPr>
            <w:webHidden/>
          </w:rPr>
        </w:r>
        <w:r>
          <w:rPr>
            <w:webHidden/>
          </w:rPr>
          <w:fldChar w:fldCharType="separate"/>
        </w:r>
        <w:r>
          <w:rPr>
            <w:webHidden/>
          </w:rPr>
          <w:t>106</w:t>
        </w:r>
        <w:r>
          <w:rPr>
            <w:webHidden/>
          </w:rPr>
          <w:fldChar w:fldCharType="end"/>
        </w:r>
      </w:hyperlink>
    </w:p>
    <w:p w:rsidR="00597751" w:rsidRPr="00597751" w:rsidRDefault="00597751">
      <w:pPr>
        <w:pStyle w:val="Obsah3"/>
        <w:rPr>
          <w:rFonts w:asciiTheme="minorHAnsi" w:eastAsiaTheme="minorEastAsia" w:hAnsiTheme="minorHAnsi" w:cstheme="minorBidi"/>
          <w:b/>
          <w:i w:val="0"/>
          <w:sz w:val="22"/>
          <w:szCs w:val="22"/>
        </w:rPr>
      </w:pPr>
      <w:hyperlink w:anchor="_Toc391539651" w:history="1">
        <w:r w:rsidRPr="00597751">
          <w:rPr>
            <w:rStyle w:val="Hypertextovodkaz"/>
            <w:b/>
          </w:rPr>
          <w:t>2.A.1</w:t>
        </w:r>
        <w:r w:rsidRPr="00597751">
          <w:rPr>
            <w:rFonts w:asciiTheme="minorHAnsi" w:eastAsiaTheme="minorEastAsia" w:hAnsiTheme="minorHAnsi" w:cstheme="minorBidi"/>
            <w:b/>
            <w:i w:val="0"/>
            <w:sz w:val="22"/>
            <w:szCs w:val="22"/>
          </w:rPr>
          <w:tab/>
        </w:r>
        <w:r w:rsidRPr="00597751">
          <w:rPr>
            <w:rStyle w:val="Hypertextovodkaz"/>
            <w:b/>
          </w:rPr>
          <w:t>PRIORITNÍ OSA 4: Rozvoj vysokorychlostních přístupových sítí k internetu a informačních a komunikačních technologií</w:t>
        </w:r>
        <w:r w:rsidRPr="00597751">
          <w:rPr>
            <w:b/>
            <w:webHidden/>
          </w:rPr>
          <w:tab/>
        </w:r>
        <w:r w:rsidRPr="00597751">
          <w:rPr>
            <w:b/>
            <w:webHidden/>
          </w:rPr>
          <w:fldChar w:fldCharType="begin"/>
        </w:r>
        <w:r w:rsidRPr="00597751">
          <w:rPr>
            <w:b/>
            <w:webHidden/>
          </w:rPr>
          <w:instrText xml:space="preserve"> PAGEREF _Toc391539651 \h </w:instrText>
        </w:r>
        <w:r w:rsidRPr="00597751">
          <w:rPr>
            <w:b/>
            <w:webHidden/>
          </w:rPr>
        </w:r>
        <w:r w:rsidRPr="00597751">
          <w:rPr>
            <w:b/>
            <w:webHidden/>
          </w:rPr>
          <w:fldChar w:fldCharType="separate"/>
        </w:r>
        <w:r w:rsidRPr="00597751">
          <w:rPr>
            <w:b/>
            <w:webHidden/>
          </w:rPr>
          <w:t>107</w:t>
        </w:r>
        <w:r w:rsidRPr="00597751">
          <w:rPr>
            <w:b/>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52" w:history="1">
        <w:r w:rsidRPr="00F30583">
          <w:rPr>
            <w:rStyle w:val="Hypertextovodkaz"/>
          </w:rPr>
          <w:t>2.A.2</w:t>
        </w:r>
        <w:r>
          <w:rPr>
            <w:rFonts w:asciiTheme="minorHAnsi" w:eastAsiaTheme="minorEastAsia" w:hAnsiTheme="minorHAnsi" w:cstheme="minorBidi"/>
            <w:i w:val="0"/>
            <w:sz w:val="22"/>
            <w:szCs w:val="22"/>
          </w:rPr>
          <w:tab/>
        </w:r>
        <w:r w:rsidRPr="00F30583">
          <w:rPr>
            <w:rStyle w:val="Hypertextovodkaz"/>
          </w:rPr>
          <w:t>Odůvodnění pro vytvoření prioritní osy, která zahrnuje více než jednu kategorii regionů nebo více než jeden tematický cíl či fond (použije-li se)</w:t>
        </w:r>
        <w:r>
          <w:rPr>
            <w:webHidden/>
          </w:rPr>
          <w:tab/>
        </w:r>
        <w:r>
          <w:rPr>
            <w:webHidden/>
          </w:rPr>
          <w:fldChar w:fldCharType="begin"/>
        </w:r>
        <w:r>
          <w:rPr>
            <w:webHidden/>
          </w:rPr>
          <w:instrText xml:space="preserve"> PAGEREF _Toc391539652 \h </w:instrText>
        </w:r>
        <w:r>
          <w:rPr>
            <w:webHidden/>
          </w:rPr>
        </w:r>
        <w:r>
          <w:rPr>
            <w:webHidden/>
          </w:rPr>
          <w:fldChar w:fldCharType="separate"/>
        </w:r>
        <w:r>
          <w:rPr>
            <w:webHidden/>
          </w:rPr>
          <w:t>107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53" w:history="1">
        <w:r w:rsidRPr="00F30583">
          <w:rPr>
            <w:rStyle w:val="Hypertextovodkaz"/>
          </w:rPr>
          <w:t>2.A.3</w:t>
        </w:r>
        <w:r>
          <w:rPr>
            <w:rFonts w:asciiTheme="minorHAnsi" w:eastAsiaTheme="minorEastAsia" w:hAnsiTheme="minorHAnsi" w:cstheme="minorBidi"/>
            <w:i w:val="0"/>
            <w:sz w:val="22"/>
            <w:szCs w:val="22"/>
          </w:rPr>
          <w:tab/>
        </w:r>
        <w:r w:rsidRPr="00F30583">
          <w:rPr>
            <w:rStyle w:val="Hypertextovodkaz"/>
          </w:rPr>
          <w:t>Fond, kategorie regionů a základ pro výpočet podpory Unie</w:t>
        </w:r>
        <w:r>
          <w:rPr>
            <w:webHidden/>
          </w:rPr>
          <w:tab/>
        </w:r>
        <w:r>
          <w:rPr>
            <w:webHidden/>
          </w:rPr>
          <w:fldChar w:fldCharType="begin"/>
        </w:r>
        <w:r>
          <w:rPr>
            <w:webHidden/>
          </w:rPr>
          <w:instrText xml:space="preserve"> PAGEREF _Toc391539653 \h </w:instrText>
        </w:r>
        <w:r>
          <w:rPr>
            <w:webHidden/>
          </w:rPr>
        </w:r>
        <w:r>
          <w:rPr>
            <w:webHidden/>
          </w:rPr>
          <w:fldChar w:fldCharType="separate"/>
        </w:r>
        <w:r>
          <w:rPr>
            <w:webHidden/>
          </w:rPr>
          <w:t>107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54"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1 prioritní osy 4: Rozšiřování širokopásmového připojení a zavádění vysokorychlostních sítí a podpora zavádění vznikajících technologií a sítí pro digitální hospodářství</w:t>
        </w:r>
        <w:r>
          <w:rPr>
            <w:webHidden/>
          </w:rPr>
          <w:tab/>
        </w:r>
        <w:r>
          <w:rPr>
            <w:webHidden/>
          </w:rPr>
          <w:fldChar w:fldCharType="begin"/>
        </w:r>
        <w:r>
          <w:rPr>
            <w:webHidden/>
          </w:rPr>
          <w:instrText xml:space="preserve"> PAGEREF _Toc391539654 \h </w:instrText>
        </w:r>
        <w:r>
          <w:rPr>
            <w:webHidden/>
          </w:rPr>
        </w:r>
        <w:r>
          <w:rPr>
            <w:webHidden/>
          </w:rPr>
          <w:fldChar w:fldCharType="separate"/>
        </w:r>
        <w:r>
          <w:rPr>
            <w:webHidden/>
          </w:rPr>
          <w:t>107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55"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_Toc391539655 \h </w:instrText>
        </w:r>
        <w:r>
          <w:rPr>
            <w:webHidden/>
          </w:rPr>
        </w:r>
        <w:r>
          <w:rPr>
            <w:webHidden/>
          </w:rPr>
          <w:fldChar w:fldCharType="separate"/>
        </w:r>
        <w:r>
          <w:rPr>
            <w:webHidden/>
          </w:rPr>
          <w:t>107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56"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_Toc391539656 \h </w:instrText>
        </w:r>
        <w:r>
          <w:rPr>
            <w:webHidden/>
          </w:rPr>
        </w:r>
        <w:r>
          <w:rPr>
            <w:webHidden/>
          </w:rPr>
          <w:fldChar w:fldCharType="separate"/>
        </w:r>
        <w:r>
          <w:rPr>
            <w:webHidden/>
          </w:rPr>
          <w:t>108</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57" w:history="1">
        <w:r w:rsidRPr="00F30583">
          <w:rPr>
            <w:rStyle w:val="Hypertextovodkaz"/>
          </w:rPr>
          <w:t>2.A.4</w:t>
        </w:r>
        <w:r>
          <w:rPr>
            <w:rFonts w:asciiTheme="minorHAnsi" w:eastAsiaTheme="minorEastAsia" w:hAnsiTheme="minorHAnsi" w:cstheme="minorBidi"/>
            <w:i w:val="0"/>
            <w:sz w:val="22"/>
            <w:szCs w:val="22"/>
          </w:rPr>
          <w:tab/>
        </w:r>
        <w:r w:rsidRPr="00F30583">
          <w:rPr>
            <w:rStyle w:val="Hypertextovodkaz"/>
          </w:rPr>
          <w:t>INVESTIČNÍ PRIORITA 2 prioritní osy 4: Vyvíjení produktů a služeb v oblasti IKT, elektronický obchod a zvyšování poptávky po IKT</w:t>
        </w:r>
        <w:r>
          <w:rPr>
            <w:webHidden/>
          </w:rPr>
          <w:tab/>
        </w:r>
        <w:r>
          <w:rPr>
            <w:webHidden/>
          </w:rPr>
          <w:fldChar w:fldCharType="begin"/>
        </w:r>
        <w:r>
          <w:rPr>
            <w:webHidden/>
          </w:rPr>
          <w:instrText xml:space="preserve"> PAGEREF _Toc391539657 \h </w:instrText>
        </w:r>
        <w:r>
          <w:rPr>
            <w:webHidden/>
          </w:rPr>
        </w:r>
        <w:r>
          <w:rPr>
            <w:webHidden/>
          </w:rPr>
          <w:fldChar w:fldCharType="separate"/>
        </w:r>
        <w:r>
          <w:rPr>
            <w:webHidden/>
          </w:rPr>
          <w:t>112</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58" w:history="1">
        <w:r w:rsidRPr="00F30583">
          <w:rPr>
            <w:rStyle w:val="Hypertextovodkaz"/>
          </w:rPr>
          <w:t>2.A.5</w:t>
        </w:r>
        <w:r>
          <w:rPr>
            <w:rFonts w:asciiTheme="minorHAnsi" w:eastAsiaTheme="minorEastAsia" w:hAnsiTheme="minorHAnsi" w:cstheme="minorBidi"/>
            <w:i w:val="0"/>
            <w:sz w:val="22"/>
            <w:szCs w:val="22"/>
          </w:rPr>
          <w:tab/>
        </w:r>
        <w:r w:rsidRPr="00F30583">
          <w:rPr>
            <w:rStyle w:val="Hypertextovodkaz"/>
          </w:rPr>
          <w:t>Specifické cíle odpovídající investiční prioritě a očekávané výsledky</w:t>
        </w:r>
        <w:r>
          <w:rPr>
            <w:webHidden/>
          </w:rPr>
          <w:tab/>
        </w:r>
        <w:r>
          <w:rPr>
            <w:webHidden/>
          </w:rPr>
          <w:fldChar w:fldCharType="begin"/>
        </w:r>
        <w:r>
          <w:rPr>
            <w:webHidden/>
          </w:rPr>
          <w:instrText xml:space="preserve"> PAGEREF _Toc391539658 \h </w:instrText>
        </w:r>
        <w:r>
          <w:rPr>
            <w:webHidden/>
          </w:rPr>
        </w:r>
        <w:r>
          <w:rPr>
            <w:webHidden/>
          </w:rPr>
          <w:fldChar w:fldCharType="separate"/>
        </w:r>
        <w:r>
          <w:rPr>
            <w:webHidden/>
          </w:rPr>
          <w:t>112</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59" w:history="1">
        <w:r w:rsidRPr="00F30583">
          <w:rPr>
            <w:rStyle w:val="Hypertextovodkaz"/>
          </w:rPr>
          <w:t>2.A.6</w:t>
        </w:r>
        <w:r>
          <w:rPr>
            <w:rFonts w:asciiTheme="minorHAnsi" w:eastAsiaTheme="minorEastAsia" w:hAnsiTheme="minorHAnsi" w:cstheme="minorBidi"/>
            <w:i w:val="0"/>
            <w:sz w:val="22"/>
            <w:szCs w:val="22"/>
          </w:rPr>
          <w:tab/>
        </w:r>
        <w:r w:rsidRPr="00F30583">
          <w:rPr>
            <w:rStyle w:val="Hypertextovodkaz"/>
          </w:rPr>
          <w:t>Opatření, jež má být podpořeno v rámci investiční priority</w:t>
        </w:r>
        <w:r>
          <w:rPr>
            <w:webHidden/>
          </w:rPr>
          <w:tab/>
        </w:r>
        <w:r>
          <w:rPr>
            <w:webHidden/>
          </w:rPr>
          <w:fldChar w:fldCharType="begin"/>
        </w:r>
        <w:r>
          <w:rPr>
            <w:webHidden/>
          </w:rPr>
          <w:instrText xml:space="preserve"> PAGEREF _Toc391539659 \h </w:instrText>
        </w:r>
        <w:r>
          <w:rPr>
            <w:webHidden/>
          </w:rPr>
        </w:r>
        <w:r>
          <w:rPr>
            <w:webHidden/>
          </w:rPr>
          <w:fldChar w:fldCharType="separate"/>
        </w:r>
        <w:r>
          <w:rPr>
            <w:webHidden/>
          </w:rPr>
          <w:t>113</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60" w:history="1">
        <w:r w:rsidRPr="00F30583">
          <w:rPr>
            <w:rStyle w:val="Hypertextovodkaz"/>
          </w:rPr>
          <w:t>2.A.7</w:t>
        </w:r>
        <w:r>
          <w:rPr>
            <w:rFonts w:asciiTheme="minorHAnsi" w:eastAsiaTheme="minorEastAsia" w:hAnsiTheme="minorHAnsi" w:cstheme="minorBidi"/>
            <w:i w:val="0"/>
            <w:sz w:val="22"/>
            <w:szCs w:val="22"/>
          </w:rPr>
          <w:tab/>
        </w:r>
        <w:r w:rsidRPr="00F30583">
          <w:rPr>
            <w:rStyle w:val="Hypertextovodkaz"/>
          </w:rPr>
          <w:t>Sociální inovace, nadnárodní spolupráce a přínos k tematickým cílům 1 až 7</w:t>
        </w:r>
        <w:r>
          <w:rPr>
            <w:webHidden/>
          </w:rPr>
          <w:tab/>
        </w:r>
        <w:r>
          <w:rPr>
            <w:webHidden/>
          </w:rPr>
          <w:fldChar w:fldCharType="begin"/>
        </w:r>
        <w:r>
          <w:rPr>
            <w:webHidden/>
          </w:rPr>
          <w:instrText xml:space="preserve"> PAGEREF _Toc391539660 \h </w:instrText>
        </w:r>
        <w:r>
          <w:rPr>
            <w:webHidden/>
          </w:rPr>
        </w:r>
        <w:r>
          <w:rPr>
            <w:webHidden/>
          </w:rPr>
          <w:fldChar w:fldCharType="separate"/>
        </w:r>
        <w:r>
          <w:rPr>
            <w:webHidden/>
          </w:rPr>
          <w:t>116</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61" w:history="1">
        <w:r w:rsidRPr="00F30583">
          <w:rPr>
            <w:rStyle w:val="Hypertextovodkaz"/>
          </w:rPr>
          <w:t>2.A.8</w:t>
        </w:r>
        <w:r>
          <w:rPr>
            <w:rFonts w:asciiTheme="minorHAnsi" w:eastAsiaTheme="minorEastAsia" w:hAnsiTheme="minorHAnsi" w:cstheme="minorBidi"/>
            <w:i w:val="0"/>
            <w:sz w:val="22"/>
            <w:szCs w:val="22"/>
          </w:rPr>
          <w:tab/>
        </w:r>
        <w:r w:rsidRPr="00F30583">
          <w:rPr>
            <w:rStyle w:val="Hypertextovodkaz"/>
          </w:rPr>
          <w:t>Výkonnostní rámec</w:t>
        </w:r>
        <w:r>
          <w:rPr>
            <w:webHidden/>
          </w:rPr>
          <w:tab/>
        </w:r>
        <w:r>
          <w:rPr>
            <w:webHidden/>
          </w:rPr>
          <w:fldChar w:fldCharType="begin"/>
        </w:r>
        <w:r>
          <w:rPr>
            <w:webHidden/>
          </w:rPr>
          <w:instrText xml:space="preserve"> PAGEREF _Toc391539661 \h </w:instrText>
        </w:r>
        <w:r>
          <w:rPr>
            <w:webHidden/>
          </w:rPr>
        </w:r>
        <w:r>
          <w:rPr>
            <w:webHidden/>
          </w:rPr>
          <w:fldChar w:fldCharType="separate"/>
        </w:r>
        <w:r>
          <w:rPr>
            <w:webHidden/>
          </w:rPr>
          <w:t>117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62" w:history="1">
        <w:r w:rsidRPr="00F30583">
          <w:rPr>
            <w:rStyle w:val="Hypertextovodkaz"/>
          </w:rPr>
          <w:t>2.A.9</w:t>
        </w:r>
        <w:r>
          <w:rPr>
            <w:rFonts w:asciiTheme="minorHAnsi" w:eastAsiaTheme="minorEastAsia" w:hAnsiTheme="minorHAnsi" w:cstheme="minorBidi"/>
            <w:i w:val="0"/>
            <w:sz w:val="22"/>
            <w:szCs w:val="22"/>
          </w:rPr>
          <w:tab/>
        </w:r>
        <w:r w:rsidRPr="00F30583">
          <w:rPr>
            <w:rStyle w:val="Hypertextovodkaz"/>
          </w:rPr>
          <w:t>Kategorie zásahů</w:t>
        </w:r>
        <w:r>
          <w:rPr>
            <w:webHidden/>
          </w:rPr>
          <w:tab/>
        </w:r>
        <w:r>
          <w:rPr>
            <w:webHidden/>
          </w:rPr>
          <w:fldChar w:fldCharType="begin"/>
        </w:r>
        <w:r>
          <w:rPr>
            <w:webHidden/>
          </w:rPr>
          <w:instrText xml:space="preserve"> PAGEREF _Toc391539662 \h </w:instrText>
        </w:r>
        <w:r>
          <w:rPr>
            <w:webHidden/>
          </w:rPr>
        </w:r>
        <w:r>
          <w:rPr>
            <w:webHidden/>
          </w:rPr>
          <w:fldChar w:fldCharType="separate"/>
        </w:r>
        <w:r>
          <w:rPr>
            <w:webHidden/>
          </w:rPr>
          <w:t>119</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63" w:history="1">
        <w:r w:rsidRPr="00F30583">
          <w:rPr>
            <w:rStyle w:val="Hypertextovodkaz"/>
          </w:rPr>
          <w:t>2.A.10</w:t>
        </w:r>
        <w:r>
          <w:rPr>
            <w:rFonts w:asciiTheme="minorHAnsi" w:eastAsiaTheme="minorEastAsia" w:hAnsiTheme="minorHAnsi" w:cstheme="minorBidi"/>
            <w:i w:val="0"/>
            <w:sz w:val="22"/>
            <w:szCs w:val="22"/>
          </w:rPr>
          <w:tab/>
        </w:r>
        <w:r w:rsidRPr="00F30583">
          <w:rPr>
            <w:rStyle w:val="Hypertextovodkaz"/>
          </w:rPr>
          <w:t>Přehled plánovaného využití technické pomoci, je-li to nutné, včetně opatření na posílení správní kapacity orgánů zapojených do řízení a kontroly programů a příjemců (použije-li se)</w:t>
        </w:r>
        <w:r>
          <w:rPr>
            <w:webHidden/>
          </w:rPr>
          <w:tab/>
        </w:r>
        <w:r>
          <w:rPr>
            <w:webHidden/>
          </w:rPr>
          <w:fldChar w:fldCharType="begin"/>
        </w:r>
        <w:r>
          <w:rPr>
            <w:webHidden/>
          </w:rPr>
          <w:instrText xml:space="preserve"> PAGEREF _Toc391539663 \h </w:instrText>
        </w:r>
        <w:r>
          <w:rPr>
            <w:webHidden/>
          </w:rPr>
        </w:r>
        <w:r>
          <w:rPr>
            <w:webHidden/>
          </w:rPr>
          <w:fldChar w:fldCharType="separate"/>
        </w:r>
        <w:r>
          <w:rPr>
            <w:webHidden/>
          </w:rPr>
          <w:t>119</w:t>
        </w:r>
        <w:r>
          <w:rPr>
            <w:webHidden/>
          </w:rPr>
          <w:fldChar w:fldCharType="end"/>
        </w:r>
      </w:hyperlink>
    </w:p>
    <w:p w:rsidR="00597751" w:rsidRDefault="00597751">
      <w:pPr>
        <w:pStyle w:val="Obsah1"/>
        <w:tabs>
          <w:tab w:val="left" w:pos="600"/>
          <w:tab w:val="right" w:leader="dot" w:pos="9202"/>
        </w:tabs>
        <w:rPr>
          <w:rFonts w:asciiTheme="minorHAnsi" w:eastAsiaTheme="minorEastAsia" w:hAnsiTheme="minorHAnsi" w:cstheme="minorBidi"/>
          <w:b w:val="0"/>
          <w:noProof/>
          <w:sz w:val="22"/>
          <w:szCs w:val="22"/>
        </w:rPr>
      </w:pPr>
      <w:hyperlink w:anchor="_Toc391539664" w:history="1">
        <w:r w:rsidRPr="00F30583">
          <w:rPr>
            <w:rStyle w:val="Hypertextovodkaz"/>
            <w:noProof/>
          </w:rPr>
          <w:t>2.B</w:t>
        </w:r>
        <w:r>
          <w:rPr>
            <w:rFonts w:asciiTheme="minorHAnsi" w:eastAsiaTheme="minorEastAsia" w:hAnsiTheme="minorHAnsi" w:cstheme="minorBidi"/>
            <w:b w:val="0"/>
            <w:noProof/>
            <w:sz w:val="22"/>
            <w:szCs w:val="22"/>
          </w:rPr>
          <w:tab/>
        </w:r>
        <w:r w:rsidRPr="00F30583">
          <w:rPr>
            <w:rStyle w:val="Hypertextovodkaz"/>
            <w:noProof/>
          </w:rPr>
          <w:t>Popis prioritních os pro technickou pomoc</w:t>
        </w:r>
        <w:r>
          <w:rPr>
            <w:noProof/>
            <w:webHidden/>
          </w:rPr>
          <w:tab/>
        </w:r>
        <w:r>
          <w:rPr>
            <w:noProof/>
            <w:webHidden/>
          </w:rPr>
          <w:fldChar w:fldCharType="begin"/>
        </w:r>
        <w:r>
          <w:rPr>
            <w:noProof/>
            <w:webHidden/>
          </w:rPr>
          <w:instrText xml:space="preserve"> PAGEREF _Toc391539664 \h </w:instrText>
        </w:r>
        <w:r>
          <w:rPr>
            <w:noProof/>
            <w:webHidden/>
          </w:rPr>
        </w:r>
        <w:r>
          <w:rPr>
            <w:noProof/>
            <w:webHidden/>
          </w:rPr>
          <w:fldChar w:fldCharType="separate"/>
        </w:r>
        <w:r>
          <w:rPr>
            <w:noProof/>
            <w:webHidden/>
          </w:rPr>
          <w:t>120</w:t>
        </w:r>
        <w:r>
          <w:rPr>
            <w:noProof/>
            <w:webHidden/>
          </w:rPr>
          <w:fldChar w:fldCharType="end"/>
        </w:r>
      </w:hyperlink>
    </w:p>
    <w:p w:rsidR="00597751" w:rsidRPr="00597751" w:rsidRDefault="00597751">
      <w:pPr>
        <w:pStyle w:val="Obsah3"/>
        <w:rPr>
          <w:rFonts w:asciiTheme="minorHAnsi" w:eastAsiaTheme="minorEastAsia" w:hAnsiTheme="minorHAnsi" w:cstheme="minorBidi"/>
          <w:b/>
          <w:i w:val="0"/>
          <w:sz w:val="22"/>
          <w:szCs w:val="22"/>
        </w:rPr>
      </w:pPr>
      <w:hyperlink w:anchor="_Toc391539665" w:history="1">
        <w:r w:rsidRPr="00597751">
          <w:rPr>
            <w:rStyle w:val="Hypertextovodkaz"/>
            <w:b/>
          </w:rPr>
          <w:t>2.B.1</w:t>
        </w:r>
        <w:r w:rsidRPr="00597751">
          <w:rPr>
            <w:rFonts w:asciiTheme="minorHAnsi" w:eastAsiaTheme="minorEastAsia" w:hAnsiTheme="minorHAnsi" w:cstheme="minorBidi"/>
            <w:b/>
            <w:i w:val="0"/>
            <w:sz w:val="22"/>
            <w:szCs w:val="22"/>
          </w:rPr>
          <w:tab/>
        </w:r>
        <w:r w:rsidRPr="00597751">
          <w:rPr>
            <w:rStyle w:val="Hypertextovodkaz"/>
            <w:b/>
          </w:rPr>
          <w:t>PRIORITNÍ OSA 5: Technická pomoc</w:t>
        </w:r>
        <w:r w:rsidRPr="00597751">
          <w:rPr>
            <w:b/>
            <w:webHidden/>
          </w:rPr>
          <w:tab/>
        </w:r>
        <w:r w:rsidRPr="00597751">
          <w:rPr>
            <w:b/>
            <w:webHidden/>
          </w:rPr>
          <w:fldChar w:fldCharType="begin"/>
        </w:r>
        <w:r w:rsidRPr="00597751">
          <w:rPr>
            <w:b/>
            <w:webHidden/>
          </w:rPr>
          <w:instrText xml:space="preserve"> PAGEREF _Toc391539665 \h </w:instrText>
        </w:r>
        <w:r w:rsidRPr="00597751">
          <w:rPr>
            <w:b/>
            <w:webHidden/>
          </w:rPr>
        </w:r>
        <w:r w:rsidRPr="00597751">
          <w:rPr>
            <w:b/>
            <w:webHidden/>
          </w:rPr>
          <w:fldChar w:fldCharType="separate"/>
        </w:r>
        <w:r w:rsidRPr="00597751">
          <w:rPr>
            <w:b/>
            <w:webHidden/>
          </w:rPr>
          <w:t>120</w:t>
        </w:r>
        <w:r w:rsidRPr="00597751">
          <w:rPr>
            <w:b/>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66" w:history="1">
        <w:r w:rsidRPr="00F30583">
          <w:rPr>
            <w:rStyle w:val="Hypertextovodkaz"/>
          </w:rPr>
          <w:t>2.B.2</w:t>
        </w:r>
        <w:r>
          <w:rPr>
            <w:rFonts w:asciiTheme="minorHAnsi" w:eastAsiaTheme="minorEastAsia" w:hAnsiTheme="minorHAnsi" w:cstheme="minorBidi"/>
            <w:i w:val="0"/>
            <w:sz w:val="22"/>
            <w:szCs w:val="22"/>
          </w:rPr>
          <w:tab/>
        </w:r>
        <w:r w:rsidRPr="00F30583">
          <w:rPr>
            <w:rStyle w:val="Hypertextovodkaz"/>
          </w:rPr>
          <w:t>Odůvodnění stanovení prioritní osy, jež zahrnuje více než jednu kategorii regionů (použije-li se)</w:t>
        </w:r>
        <w:r>
          <w:rPr>
            <w:webHidden/>
          </w:rPr>
          <w:tab/>
        </w:r>
        <w:r>
          <w:rPr>
            <w:webHidden/>
          </w:rPr>
          <w:fldChar w:fldCharType="begin"/>
        </w:r>
        <w:r>
          <w:rPr>
            <w:webHidden/>
          </w:rPr>
          <w:instrText xml:space="preserve"> PAGEREF _Toc391539666 \h </w:instrText>
        </w:r>
        <w:r>
          <w:rPr>
            <w:webHidden/>
          </w:rPr>
        </w:r>
        <w:r>
          <w:rPr>
            <w:webHidden/>
          </w:rPr>
          <w:fldChar w:fldCharType="separate"/>
        </w:r>
        <w:r>
          <w:rPr>
            <w:webHidden/>
          </w:rPr>
          <w:t>120</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67" w:history="1">
        <w:r w:rsidRPr="00F30583">
          <w:rPr>
            <w:rStyle w:val="Hypertextovodkaz"/>
          </w:rPr>
          <w:t>2.B.3</w:t>
        </w:r>
        <w:r>
          <w:rPr>
            <w:rFonts w:asciiTheme="minorHAnsi" w:eastAsiaTheme="minorEastAsia" w:hAnsiTheme="minorHAnsi" w:cstheme="minorBidi"/>
            <w:i w:val="0"/>
            <w:sz w:val="22"/>
            <w:szCs w:val="22"/>
          </w:rPr>
          <w:tab/>
        </w:r>
        <w:r w:rsidRPr="00F30583">
          <w:rPr>
            <w:rStyle w:val="Hypertextovodkaz"/>
          </w:rPr>
          <w:t>Fond a kategorie regionů</w:t>
        </w:r>
        <w:r>
          <w:rPr>
            <w:webHidden/>
          </w:rPr>
          <w:tab/>
        </w:r>
        <w:bookmarkStart w:id="0" w:name="_GoBack"/>
        <w:bookmarkEnd w:id="0"/>
        <w:r>
          <w:rPr>
            <w:webHidden/>
          </w:rPr>
          <w:fldChar w:fldCharType="begin"/>
        </w:r>
        <w:r>
          <w:rPr>
            <w:webHidden/>
          </w:rPr>
          <w:instrText xml:space="preserve"> PAGEREF _Toc391539667 \h </w:instrText>
        </w:r>
        <w:r>
          <w:rPr>
            <w:webHidden/>
          </w:rPr>
        </w:r>
        <w:r>
          <w:rPr>
            <w:webHidden/>
          </w:rPr>
          <w:fldChar w:fldCharType="separate"/>
        </w:r>
        <w:r>
          <w:rPr>
            <w:webHidden/>
          </w:rPr>
          <w:t>120</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68" w:history="1">
        <w:r w:rsidRPr="00F30583">
          <w:rPr>
            <w:rStyle w:val="Hypertextovodkaz"/>
          </w:rPr>
          <w:t>2.B.4</w:t>
        </w:r>
        <w:r>
          <w:rPr>
            <w:rFonts w:asciiTheme="minorHAnsi" w:eastAsiaTheme="minorEastAsia" w:hAnsiTheme="minorHAnsi" w:cstheme="minorBidi"/>
            <w:i w:val="0"/>
            <w:sz w:val="22"/>
            <w:szCs w:val="22"/>
          </w:rPr>
          <w:tab/>
        </w:r>
        <w:r w:rsidRPr="00F30583">
          <w:rPr>
            <w:rStyle w:val="Hypertextovodkaz"/>
          </w:rPr>
          <w:t>Specifické cíle a očekávané výsledky</w:t>
        </w:r>
        <w:r>
          <w:rPr>
            <w:webHidden/>
          </w:rPr>
          <w:tab/>
        </w:r>
        <w:r>
          <w:rPr>
            <w:webHidden/>
          </w:rPr>
          <w:fldChar w:fldCharType="begin"/>
        </w:r>
        <w:r>
          <w:rPr>
            <w:webHidden/>
          </w:rPr>
          <w:instrText xml:space="preserve"> PAGEREF _Toc391539668 \h </w:instrText>
        </w:r>
        <w:r>
          <w:rPr>
            <w:webHidden/>
          </w:rPr>
        </w:r>
        <w:r>
          <w:rPr>
            <w:webHidden/>
          </w:rPr>
          <w:fldChar w:fldCharType="separate"/>
        </w:r>
        <w:r>
          <w:rPr>
            <w:webHidden/>
          </w:rPr>
          <w:t>120</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69" w:history="1">
        <w:r w:rsidRPr="00F30583">
          <w:rPr>
            <w:rStyle w:val="Hypertextovodkaz"/>
          </w:rPr>
          <w:t>2.B.5</w:t>
        </w:r>
        <w:r>
          <w:rPr>
            <w:rFonts w:asciiTheme="minorHAnsi" w:eastAsiaTheme="minorEastAsia" w:hAnsiTheme="minorHAnsi" w:cstheme="minorBidi"/>
            <w:i w:val="0"/>
            <w:sz w:val="22"/>
            <w:szCs w:val="22"/>
          </w:rPr>
          <w:tab/>
        </w:r>
        <w:r w:rsidRPr="00F30583">
          <w:rPr>
            <w:rStyle w:val="Hypertextovodkaz"/>
          </w:rPr>
          <w:t>Ukazatele výsledků</w:t>
        </w:r>
        <w:r>
          <w:rPr>
            <w:webHidden/>
          </w:rPr>
          <w:tab/>
        </w:r>
        <w:r>
          <w:rPr>
            <w:webHidden/>
          </w:rPr>
          <w:fldChar w:fldCharType="begin"/>
        </w:r>
        <w:r>
          <w:rPr>
            <w:webHidden/>
          </w:rPr>
          <w:instrText xml:space="preserve"> PAGEREF _Toc391539669 \h </w:instrText>
        </w:r>
        <w:r>
          <w:rPr>
            <w:webHidden/>
          </w:rPr>
        </w:r>
        <w:r>
          <w:rPr>
            <w:webHidden/>
          </w:rPr>
          <w:fldChar w:fldCharType="separate"/>
        </w:r>
        <w:r>
          <w:rPr>
            <w:webHidden/>
          </w:rPr>
          <w:t>121</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70" w:history="1">
        <w:r w:rsidRPr="00F30583">
          <w:rPr>
            <w:rStyle w:val="Hypertextovodkaz"/>
          </w:rPr>
          <w:t>2.B.6</w:t>
        </w:r>
        <w:r>
          <w:rPr>
            <w:rFonts w:asciiTheme="minorHAnsi" w:eastAsiaTheme="minorEastAsia" w:hAnsiTheme="minorHAnsi" w:cstheme="minorBidi"/>
            <w:i w:val="0"/>
            <w:sz w:val="22"/>
            <w:szCs w:val="22"/>
          </w:rPr>
          <w:tab/>
        </w:r>
        <w:r w:rsidRPr="00F30583">
          <w:rPr>
            <w:rStyle w:val="Hypertextovodkaz"/>
          </w:rPr>
          <w:t>Opatření, která mají být podpořena, a jejich očekávaný přínos ke specifickým cílům</w:t>
        </w:r>
        <w:r>
          <w:rPr>
            <w:webHidden/>
          </w:rPr>
          <w:tab/>
        </w:r>
        <w:r>
          <w:rPr>
            <w:webHidden/>
          </w:rPr>
          <w:fldChar w:fldCharType="begin"/>
        </w:r>
        <w:r>
          <w:rPr>
            <w:webHidden/>
          </w:rPr>
          <w:instrText xml:space="preserve"> PAGEREF _Toc391539670 \h </w:instrText>
        </w:r>
        <w:r>
          <w:rPr>
            <w:webHidden/>
          </w:rPr>
        </w:r>
        <w:r>
          <w:rPr>
            <w:webHidden/>
          </w:rPr>
          <w:fldChar w:fldCharType="separate"/>
        </w:r>
        <w:r>
          <w:rPr>
            <w:webHidden/>
          </w:rPr>
          <w:t>122</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71" w:history="1">
        <w:r w:rsidRPr="00F30583">
          <w:rPr>
            <w:rStyle w:val="Hypertextovodkaz"/>
          </w:rPr>
          <w:t>2.B.7</w:t>
        </w:r>
        <w:r>
          <w:rPr>
            <w:rFonts w:asciiTheme="minorHAnsi" w:eastAsiaTheme="minorEastAsia" w:hAnsiTheme="minorHAnsi" w:cstheme="minorBidi"/>
            <w:i w:val="0"/>
            <w:sz w:val="22"/>
            <w:szCs w:val="22"/>
          </w:rPr>
          <w:tab/>
        </w:r>
        <w:r w:rsidRPr="00F30583">
          <w:rPr>
            <w:rStyle w:val="Hypertextovodkaz"/>
          </w:rPr>
          <w:t>Kategorie zásahů</w:t>
        </w:r>
        <w:r>
          <w:rPr>
            <w:webHidden/>
          </w:rPr>
          <w:tab/>
        </w:r>
        <w:r>
          <w:rPr>
            <w:webHidden/>
          </w:rPr>
          <w:fldChar w:fldCharType="begin"/>
        </w:r>
        <w:r>
          <w:rPr>
            <w:webHidden/>
          </w:rPr>
          <w:instrText xml:space="preserve"> PAGEREF _Toc391539671 \h </w:instrText>
        </w:r>
        <w:r>
          <w:rPr>
            <w:webHidden/>
          </w:rPr>
        </w:r>
        <w:r>
          <w:rPr>
            <w:webHidden/>
          </w:rPr>
          <w:fldChar w:fldCharType="separate"/>
        </w:r>
        <w:r>
          <w:rPr>
            <w:webHidden/>
          </w:rPr>
          <w:t>125</w:t>
        </w:r>
        <w:r>
          <w:rPr>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672" w:history="1">
        <w:r w:rsidRPr="00F30583">
          <w:rPr>
            <w:rStyle w:val="Hypertextovodkaz"/>
            <w:noProof/>
            <w:spacing w:val="20"/>
          </w:rPr>
          <w:t>ODDÍL 3</w:t>
        </w:r>
        <w:r>
          <w:rPr>
            <w:rFonts w:asciiTheme="minorHAnsi" w:eastAsiaTheme="minorEastAsia" w:hAnsiTheme="minorHAnsi" w:cstheme="minorBidi"/>
            <w:b w:val="0"/>
            <w:noProof/>
            <w:sz w:val="22"/>
            <w:szCs w:val="22"/>
          </w:rPr>
          <w:tab/>
        </w:r>
        <w:r w:rsidRPr="00F30583">
          <w:rPr>
            <w:rStyle w:val="Hypertextovodkaz"/>
            <w:noProof/>
          </w:rPr>
          <w:t>Plán financování</w:t>
        </w:r>
        <w:r>
          <w:rPr>
            <w:noProof/>
            <w:webHidden/>
          </w:rPr>
          <w:tab/>
        </w:r>
        <w:r>
          <w:rPr>
            <w:noProof/>
            <w:webHidden/>
          </w:rPr>
          <w:fldChar w:fldCharType="begin"/>
        </w:r>
        <w:r>
          <w:rPr>
            <w:noProof/>
            <w:webHidden/>
          </w:rPr>
          <w:instrText xml:space="preserve"> PAGEREF _Toc391539672 \h </w:instrText>
        </w:r>
        <w:r>
          <w:rPr>
            <w:noProof/>
            <w:webHidden/>
          </w:rPr>
        </w:r>
        <w:r>
          <w:rPr>
            <w:noProof/>
            <w:webHidden/>
          </w:rPr>
          <w:fldChar w:fldCharType="separate"/>
        </w:r>
        <w:r>
          <w:rPr>
            <w:noProof/>
            <w:webHidden/>
          </w:rPr>
          <w:t>126</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73" w:history="1">
        <w:r w:rsidRPr="00F30583">
          <w:rPr>
            <w:rStyle w:val="Hypertextovodkaz"/>
            <w:rFonts w:cs="Calibri"/>
            <w:noProof/>
          </w:rPr>
          <w:t>3.1</w:t>
        </w:r>
        <w:r>
          <w:rPr>
            <w:rFonts w:asciiTheme="minorHAnsi" w:eastAsiaTheme="minorEastAsia" w:hAnsiTheme="minorHAnsi" w:cstheme="minorBidi"/>
            <w:noProof/>
            <w:sz w:val="22"/>
            <w:szCs w:val="22"/>
          </w:rPr>
          <w:tab/>
        </w:r>
        <w:r w:rsidRPr="00F30583">
          <w:rPr>
            <w:rStyle w:val="Hypertextovodkaz"/>
            <w:rFonts w:cs="Calibri"/>
            <w:noProof/>
          </w:rPr>
          <w:t>Finanční podpora z každého fondu a částky týkající se výkonnostní rezervy</w:t>
        </w:r>
        <w:r>
          <w:rPr>
            <w:noProof/>
            <w:webHidden/>
          </w:rPr>
          <w:tab/>
        </w:r>
        <w:r>
          <w:rPr>
            <w:noProof/>
            <w:webHidden/>
          </w:rPr>
          <w:fldChar w:fldCharType="begin"/>
        </w:r>
        <w:r>
          <w:rPr>
            <w:noProof/>
            <w:webHidden/>
          </w:rPr>
          <w:instrText xml:space="preserve"> PAGEREF _Toc391539673 \h </w:instrText>
        </w:r>
        <w:r>
          <w:rPr>
            <w:noProof/>
            <w:webHidden/>
          </w:rPr>
        </w:r>
        <w:r>
          <w:rPr>
            <w:noProof/>
            <w:webHidden/>
          </w:rPr>
          <w:fldChar w:fldCharType="separate"/>
        </w:r>
        <w:r>
          <w:rPr>
            <w:noProof/>
            <w:webHidden/>
          </w:rPr>
          <w:t>126</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74" w:history="1">
        <w:r w:rsidRPr="00F30583">
          <w:rPr>
            <w:rStyle w:val="Hypertextovodkaz"/>
            <w:noProof/>
          </w:rPr>
          <w:t>3.2</w:t>
        </w:r>
        <w:r>
          <w:rPr>
            <w:rFonts w:asciiTheme="minorHAnsi" w:eastAsiaTheme="minorEastAsia" w:hAnsiTheme="minorHAnsi" w:cstheme="minorBidi"/>
            <w:noProof/>
            <w:sz w:val="22"/>
            <w:szCs w:val="22"/>
          </w:rPr>
          <w:tab/>
        </w:r>
        <w:r w:rsidRPr="00F30583">
          <w:rPr>
            <w:rStyle w:val="Hypertextovodkaz"/>
            <w:noProof/>
          </w:rPr>
          <w:t>Celková výše finanční podpory z každého fondu a vnitrostátního spolufinancování (v EUR)</w:t>
        </w:r>
        <w:r>
          <w:rPr>
            <w:noProof/>
            <w:webHidden/>
          </w:rPr>
          <w:tab/>
        </w:r>
        <w:r>
          <w:rPr>
            <w:noProof/>
            <w:webHidden/>
          </w:rPr>
          <w:fldChar w:fldCharType="begin"/>
        </w:r>
        <w:r>
          <w:rPr>
            <w:noProof/>
            <w:webHidden/>
          </w:rPr>
          <w:instrText xml:space="preserve"> PAGEREF _Toc391539674 \h </w:instrText>
        </w:r>
        <w:r>
          <w:rPr>
            <w:noProof/>
            <w:webHidden/>
          </w:rPr>
        </w:r>
        <w:r>
          <w:rPr>
            <w:noProof/>
            <w:webHidden/>
          </w:rPr>
          <w:fldChar w:fldCharType="separate"/>
        </w:r>
        <w:r>
          <w:rPr>
            <w:noProof/>
            <w:webHidden/>
          </w:rPr>
          <w:t>127</w:t>
        </w:r>
        <w:r>
          <w:rPr>
            <w:noProof/>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675" w:history="1">
        <w:r w:rsidRPr="00F30583">
          <w:rPr>
            <w:rStyle w:val="Hypertextovodkaz"/>
            <w:noProof/>
            <w:spacing w:val="20"/>
          </w:rPr>
          <w:t>ODDÍL 4</w:t>
        </w:r>
        <w:r>
          <w:rPr>
            <w:rFonts w:asciiTheme="minorHAnsi" w:eastAsiaTheme="minorEastAsia" w:hAnsiTheme="minorHAnsi" w:cstheme="minorBidi"/>
            <w:b w:val="0"/>
            <w:noProof/>
            <w:sz w:val="22"/>
            <w:szCs w:val="22"/>
          </w:rPr>
          <w:tab/>
        </w:r>
        <w:r w:rsidRPr="00F30583">
          <w:rPr>
            <w:rStyle w:val="Hypertextovodkaz"/>
            <w:noProof/>
          </w:rPr>
          <w:t>Integrovaný přístup k územnímu rozvoji</w:t>
        </w:r>
        <w:r>
          <w:rPr>
            <w:noProof/>
            <w:webHidden/>
          </w:rPr>
          <w:tab/>
        </w:r>
        <w:r>
          <w:rPr>
            <w:noProof/>
            <w:webHidden/>
          </w:rPr>
          <w:fldChar w:fldCharType="begin"/>
        </w:r>
        <w:r>
          <w:rPr>
            <w:noProof/>
            <w:webHidden/>
          </w:rPr>
          <w:instrText xml:space="preserve"> PAGEREF _Toc391539675 \h </w:instrText>
        </w:r>
        <w:r>
          <w:rPr>
            <w:noProof/>
            <w:webHidden/>
          </w:rPr>
        </w:r>
        <w:r>
          <w:rPr>
            <w:noProof/>
            <w:webHidden/>
          </w:rPr>
          <w:fldChar w:fldCharType="separate"/>
        </w:r>
        <w:r>
          <w:rPr>
            <w:noProof/>
            <w:webHidden/>
          </w:rPr>
          <w:t>129</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76" w:history="1">
        <w:r w:rsidRPr="00F30583">
          <w:rPr>
            <w:rStyle w:val="Hypertextovodkaz"/>
            <w:rFonts w:cs="Calibri"/>
            <w:noProof/>
          </w:rPr>
          <w:t>4.1</w:t>
        </w:r>
        <w:r>
          <w:rPr>
            <w:rFonts w:asciiTheme="minorHAnsi" w:eastAsiaTheme="minorEastAsia" w:hAnsiTheme="minorHAnsi" w:cstheme="minorBidi"/>
            <w:noProof/>
            <w:sz w:val="22"/>
            <w:szCs w:val="22"/>
          </w:rPr>
          <w:tab/>
        </w:r>
        <w:r w:rsidRPr="00F30583">
          <w:rPr>
            <w:rStyle w:val="Hypertextovodkaz"/>
            <w:rFonts w:cs="Calibri"/>
            <w:noProof/>
          </w:rPr>
          <w:t>Nástroje k zajištění komunitně vedeného místního rozvoje (použije-li se)</w:t>
        </w:r>
        <w:r>
          <w:rPr>
            <w:noProof/>
            <w:webHidden/>
          </w:rPr>
          <w:tab/>
        </w:r>
        <w:r>
          <w:rPr>
            <w:noProof/>
            <w:webHidden/>
          </w:rPr>
          <w:fldChar w:fldCharType="begin"/>
        </w:r>
        <w:r>
          <w:rPr>
            <w:noProof/>
            <w:webHidden/>
          </w:rPr>
          <w:instrText xml:space="preserve"> PAGEREF _Toc391539676 \h </w:instrText>
        </w:r>
        <w:r>
          <w:rPr>
            <w:noProof/>
            <w:webHidden/>
          </w:rPr>
        </w:r>
        <w:r>
          <w:rPr>
            <w:noProof/>
            <w:webHidden/>
          </w:rPr>
          <w:fldChar w:fldCharType="separate"/>
        </w:r>
        <w:r>
          <w:rPr>
            <w:noProof/>
            <w:webHidden/>
          </w:rPr>
          <w:t>130</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77" w:history="1">
        <w:r w:rsidRPr="00F30583">
          <w:rPr>
            <w:rStyle w:val="Hypertextovodkaz"/>
            <w:rFonts w:cs="Calibri"/>
            <w:noProof/>
          </w:rPr>
          <w:t>4.2</w:t>
        </w:r>
        <w:r>
          <w:rPr>
            <w:rFonts w:asciiTheme="minorHAnsi" w:eastAsiaTheme="minorEastAsia" w:hAnsiTheme="minorHAnsi" w:cstheme="minorBidi"/>
            <w:noProof/>
            <w:sz w:val="22"/>
            <w:szCs w:val="22"/>
          </w:rPr>
          <w:tab/>
        </w:r>
        <w:r w:rsidRPr="00F30583">
          <w:rPr>
            <w:rStyle w:val="Hypertextovodkaz"/>
            <w:rFonts w:cs="Calibri"/>
            <w:noProof/>
          </w:rPr>
          <w:t>Integrovaná opatření pro udržitelný rozvoj měst (použije-li se)</w:t>
        </w:r>
        <w:r>
          <w:rPr>
            <w:noProof/>
            <w:webHidden/>
          </w:rPr>
          <w:tab/>
        </w:r>
        <w:r>
          <w:rPr>
            <w:noProof/>
            <w:webHidden/>
          </w:rPr>
          <w:fldChar w:fldCharType="begin"/>
        </w:r>
        <w:r>
          <w:rPr>
            <w:noProof/>
            <w:webHidden/>
          </w:rPr>
          <w:instrText xml:space="preserve"> PAGEREF _Toc391539677 \h </w:instrText>
        </w:r>
        <w:r>
          <w:rPr>
            <w:noProof/>
            <w:webHidden/>
          </w:rPr>
        </w:r>
        <w:r>
          <w:rPr>
            <w:noProof/>
            <w:webHidden/>
          </w:rPr>
          <w:fldChar w:fldCharType="separate"/>
        </w:r>
        <w:r>
          <w:rPr>
            <w:noProof/>
            <w:webHidden/>
          </w:rPr>
          <w:t>131</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78" w:history="1">
        <w:r w:rsidRPr="00F30583">
          <w:rPr>
            <w:rStyle w:val="Hypertextovodkaz"/>
            <w:noProof/>
          </w:rPr>
          <w:t>4.3</w:t>
        </w:r>
        <w:r>
          <w:rPr>
            <w:rFonts w:asciiTheme="minorHAnsi" w:eastAsiaTheme="minorEastAsia" w:hAnsiTheme="minorHAnsi" w:cstheme="minorBidi"/>
            <w:noProof/>
            <w:sz w:val="22"/>
            <w:szCs w:val="22"/>
          </w:rPr>
          <w:tab/>
        </w:r>
        <w:r w:rsidRPr="00F30583">
          <w:rPr>
            <w:rStyle w:val="Hypertextovodkaz"/>
            <w:rFonts w:cs="Calibri"/>
            <w:noProof/>
          </w:rPr>
          <w:t xml:space="preserve">Integrované územní investice </w:t>
        </w:r>
        <w:r w:rsidRPr="00F30583">
          <w:rPr>
            <w:rStyle w:val="Hypertextovodkaz"/>
            <w:noProof/>
          </w:rPr>
          <w:t>(použije-li se)</w:t>
        </w:r>
        <w:r>
          <w:rPr>
            <w:noProof/>
            <w:webHidden/>
          </w:rPr>
          <w:tab/>
        </w:r>
        <w:r>
          <w:rPr>
            <w:noProof/>
            <w:webHidden/>
          </w:rPr>
          <w:fldChar w:fldCharType="begin"/>
        </w:r>
        <w:r>
          <w:rPr>
            <w:noProof/>
            <w:webHidden/>
          </w:rPr>
          <w:instrText xml:space="preserve"> PAGEREF _Toc391539678 \h </w:instrText>
        </w:r>
        <w:r>
          <w:rPr>
            <w:noProof/>
            <w:webHidden/>
          </w:rPr>
        </w:r>
        <w:r>
          <w:rPr>
            <w:noProof/>
            <w:webHidden/>
          </w:rPr>
          <w:fldChar w:fldCharType="separate"/>
        </w:r>
        <w:r>
          <w:rPr>
            <w:noProof/>
            <w:webHidden/>
          </w:rPr>
          <w:t>132</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79" w:history="1">
        <w:r w:rsidRPr="00F30583">
          <w:rPr>
            <w:rStyle w:val="Hypertextovodkaz"/>
            <w:rFonts w:cs="Calibri"/>
            <w:noProof/>
          </w:rPr>
          <w:t>4.4</w:t>
        </w:r>
        <w:r>
          <w:rPr>
            <w:rFonts w:asciiTheme="minorHAnsi" w:eastAsiaTheme="minorEastAsia" w:hAnsiTheme="minorHAnsi" w:cstheme="minorBidi"/>
            <w:noProof/>
            <w:sz w:val="22"/>
            <w:szCs w:val="22"/>
          </w:rPr>
          <w:tab/>
        </w:r>
        <w:r w:rsidRPr="00F30583">
          <w:rPr>
            <w:rStyle w:val="Hypertextovodkaz"/>
            <w:rFonts w:cs="Calibri"/>
            <w:noProof/>
          </w:rPr>
          <w:t>Ujednání pro meziregionální a nadnárodní opatření v rámci operačního programu s příjemci, kteří se nacházejí alespoň v jednom dalším členském státu (použije-li se)</w:t>
        </w:r>
        <w:r>
          <w:rPr>
            <w:noProof/>
            <w:webHidden/>
          </w:rPr>
          <w:tab/>
        </w:r>
        <w:r>
          <w:rPr>
            <w:noProof/>
            <w:webHidden/>
          </w:rPr>
          <w:fldChar w:fldCharType="begin"/>
        </w:r>
        <w:r>
          <w:rPr>
            <w:noProof/>
            <w:webHidden/>
          </w:rPr>
          <w:instrText xml:space="preserve"> PAGEREF _Toc391539679 \h </w:instrText>
        </w:r>
        <w:r>
          <w:rPr>
            <w:noProof/>
            <w:webHidden/>
          </w:rPr>
        </w:r>
        <w:r>
          <w:rPr>
            <w:noProof/>
            <w:webHidden/>
          </w:rPr>
          <w:fldChar w:fldCharType="separate"/>
        </w:r>
        <w:r>
          <w:rPr>
            <w:noProof/>
            <w:webHidden/>
          </w:rPr>
          <w:t>133</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80" w:history="1">
        <w:r w:rsidRPr="00F30583">
          <w:rPr>
            <w:rStyle w:val="Hypertextovodkaz"/>
            <w:rFonts w:cs="Calibri"/>
            <w:noProof/>
          </w:rPr>
          <w:t>4.5</w:t>
        </w:r>
        <w:r>
          <w:rPr>
            <w:rFonts w:asciiTheme="minorHAnsi" w:eastAsiaTheme="minorEastAsia" w:hAnsiTheme="minorHAnsi" w:cstheme="minorBidi"/>
            <w:noProof/>
            <w:sz w:val="22"/>
            <w:szCs w:val="22"/>
          </w:rPr>
          <w:tab/>
        </w:r>
        <w:r w:rsidRPr="00F30583">
          <w:rPr>
            <w:rStyle w:val="Hypertextovodkaz"/>
            <w:rFonts w:cs="Calibri"/>
            <w:noProof/>
          </w:rPr>
          <w:t>Přínos plánovaných opatření programu k realizaci makroregionálních strategií a strategií pro přímořské oblasti v závislosti na potřebách programové oblasti určených příslušným členským státem (použije-li se)</w:t>
        </w:r>
        <w:r>
          <w:rPr>
            <w:noProof/>
            <w:webHidden/>
          </w:rPr>
          <w:tab/>
        </w:r>
        <w:r>
          <w:rPr>
            <w:noProof/>
            <w:webHidden/>
          </w:rPr>
          <w:fldChar w:fldCharType="begin"/>
        </w:r>
        <w:r>
          <w:rPr>
            <w:noProof/>
            <w:webHidden/>
          </w:rPr>
          <w:instrText xml:space="preserve"> PAGEREF _Toc391539680 \h </w:instrText>
        </w:r>
        <w:r>
          <w:rPr>
            <w:noProof/>
            <w:webHidden/>
          </w:rPr>
        </w:r>
        <w:r>
          <w:rPr>
            <w:noProof/>
            <w:webHidden/>
          </w:rPr>
          <w:fldChar w:fldCharType="separate"/>
        </w:r>
        <w:r>
          <w:rPr>
            <w:noProof/>
            <w:webHidden/>
          </w:rPr>
          <w:t>133</w:t>
        </w:r>
        <w:r>
          <w:rPr>
            <w:noProof/>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681" w:history="1">
        <w:r w:rsidRPr="00F30583">
          <w:rPr>
            <w:rStyle w:val="Hypertextovodkaz"/>
            <w:noProof/>
            <w:spacing w:val="20"/>
          </w:rPr>
          <w:t>ODDÍL 5</w:t>
        </w:r>
        <w:r>
          <w:rPr>
            <w:rFonts w:asciiTheme="minorHAnsi" w:eastAsiaTheme="minorEastAsia" w:hAnsiTheme="minorHAnsi" w:cstheme="minorBidi"/>
            <w:b w:val="0"/>
            <w:noProof/>
            <w:sz w:val="22"/>
            <w:szCs w:val="22"/>
          </w:rPr>
          <w:tab/>
        </w:r>
        <w:r w:rsidRPr="00F30583">
          <w:rPr>
            <w:rStyle w:val="Hypertextovodkaz"/>
            <w:noProof/>
          </w:rPr>
          <w:t>Specifické potřeby zeměpisných oblastí nejvíce postižených chudobou nebo cílových skupin, jimž nejvíce hrozí diskriminace nebo sociální vyloučení</w:t>
        </w:r>
        <w:r>
          <w:rPr>
            <w:noProof/>
            <w:webHidden/>
          </w:rPr>
          <w:tab/>
        </w:r>
        <w:r>
          <w:rPr>
            <w:noProof/>
            <w:webHidden/>
          </w:rPr>
          <w:fldChar w:fldCharType="begin"/>
        </w:r>
        <w:r>
          <w:rPr>
            <w:noProof/>
            <w:webHidden/>
          </w:rPr>
          <w:instrText xml:space="preserve"> PAGEREF _Toc391539681 \h </w:instrText>
        </w:r>
        <w:r>
          <w:rPr>
            <w:noProof/>
            <w:webHidden/>
          </w:rPr>
        </w:r>
        <w:r>
          <w:rPr>
            <w:noProof/>
            <w:webHidden/>
          </w:rPr>
          <w:fldChar w:fldCharType="separate"/>
        </w:r>
        <w:r>
          <w:rPr>
            <w:noProof/>
            <w:webHidden/>
          </w:rPr>
          <w:t>135</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82" w:history="1">
        <w:r w:rsidRPr="00F30583">
          <w:rPr>
            <w:rStyle w:val="Hypertextovodkaz"/>
            <w:noProof/>
          </w:rPr>
          <w:t>5.1</w:t>
        </w:r>
        <w:r>
          <w:rPr>
            <w:rFonts w:asciiTheme="minorHAnsi" w:eastAsiaTheme="minorEastAsia" w:hAnsiTheme="minorHAnsi" w:cstheme="minorBidi"/>
            <w:noProof/>
            <w:sz w:val="22"/>
            <w:szCs w:val="22"/>
          </w:rPr>
          <w:tab/>
        </w:r>
        <w:r w:rsidRPr="00F30583">
          <w:rPr>
            <w:rStyle w:val="Hypertextovodkaz"/>
            <w:noProof/>
          </w:rPr>
          <w:t>Zeměpisné oblasti nejvíce postižené chudobou / cílové skupiny, jimž nejvíce hrozí diskriminace nebo sociální vyloučení</w:t>
        </w:r>
        <w:r>
          <w:rPr>
            <w:noProof/>
            <w:webHidden/>
          </w:rPr>
          <w:tab/>
        </w:r>
        <w:r>
          <w:rPr>
            <w:noProof/>
            <w:webHidden/>
          </w:rPr>
          <w:fldChar w:fldCharType="begin"/>
        </w:r>
        <w:r>
          <w:rPr>
            <w:noProof/>
            <w:webHidden/>
          </w:rPr>
          <w:instrText xml:space="preserve"> PAGEREF _Toc391539682 \h </w:instrText>
        </w:r>
        <w:r>
          <w:rPr>
            <w:noProof/>
            <w:webHidden/>
          </w:rPr>
        </w:r>
        <w:r>
          <w:rPr>
            <w:noProof/>
            <w:webHidden/>
          </w:rPr>
          <w:fldChar w:fldCharType="separate"/>
        </w:r>
        <w:r>
          <w:rPr>
            <w:noProof/>
            <w:webHidden/>
          </w:rPr>
          <w:t>135</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83" w:history="1">
        <w:r w:rsidRPr="00F30583">
          <w:rPr>
            <w:rStyle w:val="Hypertextovodkaz"/>
            <w:noProof/>
          </w:rPr>
          <w:t>5.2</w:t>
        </w:r>
        <w:r>
          <w:rPr>
            <w:rFonts w:asciiTheme="minorHAnsi" w:eastAsiaTheme="minorEastAsia" w:hAnsiTheme="minorHAnsi" w:cstheme="minorBidi"/>
            <w:noProof/>
            <w:sz w:val="22"/>
            <w:szCs w:val="22"/>
          </w:rPr>
          <w:tab/>
        </w:r>
        <w:r w:rsidRPr="00F30583">
          <w:rPr>
            <w:rStyle w:val="Hypertextovodkaz"/>
            <w:noProof/>
          </w:rPr>
          <w:t>Strategie pro řešení specifických potřeb zeměpisných oblastí nejvíce postižených chudobou / cílových skupin, jimž nejvíce hrozí diskriminace nebo sociální vyloučení a případně přínos k integrovanému přístupu stanovenému za tímto účelem v dohodě o partnerství</w:t>
        </w:r>
        <w:r>
          <w:rPr>
            <w:noProof/>
            <w:webHidden/>
          </w:rPr>
          <w:tab/>
        </w:r>
        <w:r>
          <w:rPr>
            <w:noProof/>
            <w:webHidden/>
          </w:rPr>
          <w:fldChar w:fldCharType="begin"/>
        </w:r>
        <w:r>
          <w:rPr>
            <w:noProof/>
            <w:webHidden/>
          </w:rPr>
          <w:instrText xml:space="preserve"> PAGEREF _Toc391539683 \h </w:instrText>
        </w:r>
        <w:r>
          <w:rPr>
            <w:noProof/>
            <w:webHidden/>
          </w:rPr>
        </w:r>
        <w:r>
          <w:rPr>
            <w:noProof/>
            <w:webHidden/>
          </w:rPr>
          <w:fldChar w:fldCharType="separate"/>
        </w:r>
        <w:r>
          <w:rPr>
            <w:noProof/>
            <w:webHidden/>
          </w:rPr>
          <w:t>135</w:t>
        </w:r>
        <w:r>
          <w:rPr>
            <w:noProof/>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684" w:history="1">
        <w:r w:rsidRPr="00F30583">
          <w:rPr>
            <w:rStyle w:val="Hypertextovodkaz"/>
            <w:noProof/>
            <w:spacing w:val="20"/>
          </w:rPr>
          <w:t>ODDÍL 6</w:t>
        </w:r>
        <w:r>
          <w:rPr>
            <w:rFonts w:asciiTheme="minorHAnsi" w:eastAsiaTheme="minorEastAsia" w:hAnsiTheme="minorHAnsi" w:cstheme="minorBidi"/>
            <w:b w:val="0"/>
            <w:noProof/>
            <w:sz w:val="22"/>
            <w:szCs w:val="22"/>
          </w:rPr>
          <w:tab/>
        </w:r>
        <w:r w:rsidRPr="00F30583">
          <w:rPr>
            <w:rStyle w:val="Hypertextovodkaz"/>
            <w:noProof/>
          </w:rPr>
          <w:t>Specifické potřeby zeměpisných oblastí, které jsou závažně a trvale znevýhodněny přírodními nebo demografickými podmínkami</w:t>
        </w:r>
        <w:r>
          <w:rPr>
            <w:noProof/>
            <w:webHidden/>
          </w:rPr>
          <w:tab/>
        </w:r>
        <w:r>
          <w:rPr>
            <w:noProof/>
            <w:webHidden/>
          </w:rPr>
          <w:fldChar w:fldCharType="begin"/>
        </w:r>
        <w:r>
          <w:rPr>
            <w:noProof/>
            <w:webHidden/>
          </w:rPr>
          <w:instrText xml:space="preserve"> PAGEREF _Toc391539684 \h </w:instrText>
        </w:r>
        <w:r>
          <w:rPr>
            <w:noProof/>
            <w:webHidden/>
          </w:rPr>
        </w:r>
        <w:r>
          <w:rPr>
            <w:noProof/>
            <w:webHidden/>
          </w:rPr>
          <w:fldChar w:fldCharType="separate"/>
        </w:r>
        <w:r>
          <w:rPr>
            <w:noProof/>
            <w:webHidden/>
          </w:rPr>
          <w:t>136</w:t>
        </w:r>
        <w:r>
          <w:rPr>
            <w:noProof/>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685" w:history="1">
        <w:r w:rsidRPr="00F30583">
          <w:rPr>
            <w:rStyle w:val="Hypertextovodkaz"/>
            <w:noProof/>
            <w:spacing w:val="20"/>
          </w:rPr>
          <w:t>ODDÍL 7</w:t>
        </w:r>
        <w:r>
          <w:rPr>
            <w:rFonts w:asciiTheme="minorHAnsi" w:eastAsiaTheme="minorEastAsia" w:hAnsiTheme="minorHAnsi" w:cstheme="minorBidi"/>
            <w:b w:val="0"/>
            <w:noProof/>
            <w:sz w:val="22"/>
            <w:szCs w:val="22"/>
          </w:rPr>
          <w:tab/>
        </w:r>
        <w:r w:rsidRPr="00F30583">
          <w:rPr>
            <w:rStyle w:val="Hypertextovodkaz"/>
            <w:noProof/>
          </w:rPr>
          <w:t>Orgány a subjekty odpovědné za řízení, kontrolu a audit a úloha příslušných partnerů</w:t>
        </w:r>
        <w:r>
          <w:rPr>
            <w:noProof/>
            <w:webHidden/>
          </w:rPr>
          <w:tab/>
        </w:r>
        <w:r>
          <w:rPr>
            <w:noProof/>
            <w:webHidden/>
          </w:rPr>
          <w:fldChar w:fldCharType="begin"/>
        </w:r>
        <w:r>
          <w:rPr>
            <w:noProof/>
            <w:webHidden/>
          </w:rPr>
          <w:instrText xml:space="preserve"> PAGEREF _Toc391539685 \h </w:instrText>
        </w:r>
        <w:r>
          <w:rPr>
            <w:noProof/>
            <w:webHidden/>
          </w:rPr>
        </w:r>
        <w:r>
          <w:rPr>
            <w:noProof/>
            <w:webHidden/>
          </w:rPr>
          <w:fldChar w:fldCharType="separate"/>
        </w:r>
        <w:r>
          <w:rPr>
            <w:noProof/>
            <w:webHidden/>
          </w:rPr>
          <w:t>137</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86" w:history="1">
        <w:r w:rsidRPr="00F30583">
          <w:rPr>
            <w:rStyle w:val="Hypertextovodkaz"/>
            <w:rFonts w:cs="Calibri"/>
            <w:noProof/>
          </w:rPr>
          <w:t>7.1</w:t>
        </w:r>
        <w:r>
          <w:rPr>
            <w:rFonts w:asciiTheme="minorHAnsi" w:eastAsiaTheme="minorEastAsia" w:hAnsiTheme="minorHAnsi" w:cstheme="minorBidi"/>
            <w:noProof/>
            <w:sz w:val="22"/>
            <w:szCs w:val="22"/>
          </w:rPr>
          <w:tab/>
        </w:r>
        <w:r w:rsidRPr="00F30583">
          <w:rPr>
            <w:rStyle w:val="Hypertextovodkaz"/>
            <w:rFonts w:cs="Calibri"/>
            <w:noProof/>
          </w:rPr>
          <w:t>Příslušné orgány a subjekty</w:t>
        </w:r>
        <w:r>
          <w:rPr>
            <w:noProof/>
            <w:webHidden/>
          </w:rPr>
          <w:tab/>
        </w:r>
        <w:r>
          <w:rPr>
            <w:noProof/>
            <w:webHidden/>
          </w:rPr>
          <w:fldChar w:fldCharType="begin"/>
        </w:r>
        <w:r>
          <w:rPr>
            <w:noProof/>
            <w:webHidden/>
          </w:rPr>
          <w:instrText xml:space="preserve"> PAGEREF _Toc391539686 \h </w:instrText>
        </w:r>
        <w:r>
          <w:rPr>
            <w:noProof/>
            <w:webHidden/>
          </w:rPr>
        </w:r>
        <w:r>
          <w:rPr>
            <w:noProof/>
            <w:webHidden/>
          </w:rPr>
          <w:fldChar w:fldCharType="separate"/>
        </w:r>
        <w:r>
          <w:rPr>
            <w:noProof/>
            <w:webHidden/>
          </w:rPr>
          <w:t>137</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87" w:history="1">
        <w:r w:rsidRPr="00F30583">
          <w:rPr>
            <w:rStyle w:val="Hypertextovodkaz"/>
            <w:rFonts w:cs="Calibri"/>
            <w:noProof/>
          </w:rPr>
          <w:t>7.2</w:t>
        </w:r>
        <w:r>
          <w:rPr>
            <w:rFonts w:asciiTheme="minorHAnsi" w:eastAsiaTheme="minorEastAsia" w:hAnsiTheme="minorHAnsi" w:cstheme="minorBidi"/>
            <w:noProof/>
            <w:sz w:val="22"/>
            <w:szCs w:val="22"/>
          </w:rPr>
          <w:tab/>
        </w:r>
        <w:r w:rsidRPr="00F30583">
          <w:rPr>
            <w:rStyle w:val="Hypertextovodkaz"/>
            <w:rFonts w:cs="Calibri"/>
            <w:noProof/>
          </w:rPr>
          <w:t>Zapojení příslušných partnerů</w:t>
        </w:r>
        <w:r>
          <w:rPr>
            <w:noProof/>
            <w:webHidden/>
          </w:rPr>
          <w:tab/>
        </w:r>
        <w:r>
          <w:rPr>
            <w:noProof/>
            <w:webHidden/>
          </w:rPr>
          <w:fldChar w:fldCharType="begin"/>
        </w:r>
        <w:r>
          <w:rPr>
            <w:noProof/>
            <w:webHidden/>
          </w:rPr>
          <w:instrText xml:space="preserve"> PAGEREF _Toc391539687 \h </w:instrText>
        </w:r>
        <w:r>
          <w:rPr>
            <w:noProof/>
            <w:webHidden/>
          </w:rPr>
        </w:r>
        <w:r>
          <w:rPr>
            <w:noProof/>
            <w:webHidden/>
          </w:rPr>
          <w:fldChar w:fldCharType="separate"/>
        </w:r>
        <w:r>
          <w:rPr>
            <w:noProof/>
            <w:webHidden/>
          </w:rPr>
          <w:t>137</w:t>
        </w:r>
        <w:r>
          <w:rPr>
            <w:noProof/>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88" w:history="1">
        <w:r w:rsidRPr="00F30583">
          <w:rPr>
            <w:rStyle w:val="Hypertextovodkaz"/>
            <w:rFonts w:cs="Calibri"/>
          </w:rPr>
          <w:t>7.2.1</w:t>
        </w:r>
        <w:r>
          <w:rPr>
            <w:rFonts w:asciiTheme="minorHAnsi" w:eastAsiaTheme="minorEastAsia" w:hAnsiTheme="minorHAnsi" w:cstheme="minorBidi"/>
            <w:i w:val="0"/>
            <w:sz w:val="22"/>
            <w:szCs w:val="22"/>
          </w:rPr>
          <w:tab/>
        </w:r>
        <w:r w:rsidRPr="00F30583">
          <w:rPr>
            <w:rStyle w:val="Hypertextovodkaz"/>
            <w:rFonts w:cs="Calibri"/>
          </w:rPr>
          <w:t>Opatření přijatá k zapojení příslušných partnerů do přípravy operačního programu a úlohy partnerů při provádění, monitorování a hodnocení operačního programu</w:t>
        </w:r>
        <w:r>
          <w:rPr>
            <w:webHidden/>
          </w:rPr>
          <w:tab/>
        </w:r>
        <w:r>
          <w:rPr>
            <w:webHidden/>
          </w:rPr>
          <w:fldChar w:fldCharType="begin"/>
        </w:r>
        <w:r>
          <w:rPr>
            <w:webHidden/>
          </w:rPr>
          <w:instrText xml:space="preserve"> PAGEREF _Toc391539688 \h </w:instrText>
        </w:r>
        <w:r>
          <w:rPr>
            <w:webHidden/>
          </w:rPr>
        </w:r>
        <w:r>
          <w:rPr>
            <w:webHidden/>
          </w:rPr>
          <w:fldChar w:fldCharType="separate"/>
        </w:r>
        <w:r>
          <w:rPr>
            <w:webHidden/>
          </w:rPr>
          <w:t>137</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89" w:history="1">
        <w:r w:rsidRPr="00F30583">
          <w:rPr>
            <w:rStyle w:val="Hypertextovodkaz"/>
            <w:rFonts w:cs="Calibri"/>
          </w:rPr>
          <w:t>7.2.2</w:t>
        </w:r>
        <w:r>
          <w:rPr>
            <w:rFonts w:asciiTheme="minorHAnsi" w:eastAsiaTheme="minorEastAsia" w:hAnsiTheme="minorHAnsi" w:cstheme="minorBidi"/>
            <w:i w:val="0"/>
            <w:sz w:val="22"/>
            <w:szCs w:val="22"/>
          </w:rPr>
          <w:tab/>
        </w:r>
        <w:r w:rsidRPr="00F30583">
          <w:rPr>
            <w:rStyle w:val="Hypertextovodkaz"/>
            <w:rFonts w:cs="Calibri"/>
          </w:rPr>
          <w:t>Globální granty (pro ESF, použije-li se)</w:t>
        </w:r>
        <w:r>
          <w:rPr>
            <w:webHidden/>
          </w:rPr>
          <w:tab/>
        </w:r>
        <w:r>
          <w:rPr>
            <w:webHidden/>
          </w:rPr>
          <w:fldChar w:fldCharType="begin"/>
        </w:r>
        <w:r>
          <w:rPr>
            <w:webHidden/>
          </w:rPr>
          <w:instrText xml:space="preserve"> PAGEREF _Toc391539689 \h </w:instrText>
        </w:r>
        <w:r>
          <w:rPr>
            <w:webHidden/>
          </w:rPr>
        </w:r>
        <w:r>
          <w:rPr>
            <w:webHidden/>
          </w:rPr>
          <w:fldChar w:fldCharType="separate"/>
        </w:r>
        <w:r>
          <w:rPr>
            <w:webHidden/>
          </w:rPr>
          <w:t>141</w:t>
        </w:r>
        <w:r>
          <w:rPr>
            <w:webHidden/>
          </w:rPr>
          <w:fldChar w:fldCharType="end"/>
        </w:r>
      </w:hyperlink>
    </w:p>
    <w:p w:rsidR="00597751" w:rsidRDefault="00597751">
      <w:pPr>
        <w:pStyle w:val="Obsah3"/>
        <w:rPr>
          <w:rFonts w:asciiTheme="minorHAnsi" w:eastAsiaTheme="minorEastAsia" w:hAnsiTheme="minorHAnsi" w:cstheme="minorBidi"/>
          <w:i w:val="0"/>
          <w:sz w:val="22"/>
          <w:szCs w:val="22"/>
        </w:rPr>
      </w:pPr>
      <w:hyperlink w:anchor="_Toc391539690" w:history="1">
        <w:r w:rsidRPr="00F30583">
          <w:rPr>
            <w:rStyle w:val="Hypertextovodkaz"/>
            <w:rFonts w:cs="Calibri"/>
          </w:rPr>
          <w:t>7.2.3</w:t>
        </w:r>
        <w:r>
          <w:rPr>
            <w:rFonts w:asciiTheme="minorHAnsi" w:eastAsiaTheme="minorEastAsia" w:hAnsiTheme="minorHAnsi" w:cstheme="minorBidi"/>
            <w:i w:val="0"/>
            <w:sz w:val="22"/>
            <w:szCs w:val="22"/>
          </w:rPr>
          <w:tab/>
        </w:r>
        <w:r w:rsidRPr="00F30583">
          <w:rPr>
            <w:rStyle w:val="Hypertextovodkaz"/>
            <w:rFonts w:cs="Calibri"/>
          </w:rPr>
          <w:t>Přidělení částky na vytváření kapacit (pro ESF, použije-li se)</w:t>
        </w:r>
        <w:r>
          <w:rPr>
            <w:webHidden/>
          </w:rPr>
          <w:tab/>
        </w:r>
        <w:r>
          <w:rPr>
            <w:webHidden/>
          </w:rPr>
          <w:fldChar w:fldCharType="begin"/>
        </w:r>
        <w:r>
          <w:rPr>
            <w:webHidden/>
          </w:rPr>
          <w:instrText xml:space="preserve"> PAGEREF _Toc391539690 \h </w:instrText>
        </w:r>
        <w:r>
          <w:rPr>
            <w:webHidden/>
          </w:rPr>
        </w:r>
        <w:r>
          <w:rPr>
            <w:webHidden/>
          </w:rPr>
          <w:fldChar w:fldCharType="separate"/>
        </w:r>
        <w:r>
          <w:rPr>
            <w:webHidden/>
          </w:rPr>
          <w:t>141</w:t>
        </w:r>
        <w:r>
          <w:rPr>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691" w:history="1">
        <w:r w:rsidRPr="00F30583">
          <w:rPr>
            <w:rStyle w:val="Hypertextovodkaz"/>
            <w:noProof/>
            <w:spacing w:val="20"/>
          </w:rPr>
          <w:t>ODDÍL 8</w:t>
        </w:r>
        <w:r>
          <w:rPr>
            <w:rFonts w:asciiTheme="minorHAnsi" w:eastAsiaTheme="minorEastAsia" w:hAnsiTheme="minorHAnsi" w:cstheme="minorBidi"/>
            <w:b w:val="0"/>
            <w:noProof/>
            <w:sz w:val="22"/>
            <w:szCs w:val="22"/>
          </w:rPr>
          <w:tab/>
        </w:r>
        <w:r w:rsidRPr="00F30583">
          <w:rPr>
            <w:rStyle w:val="Hypertextovodkaz"/>
            <w:noProof/>
          </w:rPr>
          <w:t>Koordinace mezi fondy, EZFRV, EMFF a dalšími unijními a vnitrostátními finančními nástroji a s EIB</w:t>
        </w:r>
        <w:r>
          <w:rPr>
            <w:noProof/>
            <w:webHidden/>
          </w:rPr>
          <w:tab/>
        </w:r>
        <w:r>
          <w:rPr>
            <w:noProof/>
            <w:webHidden/>
          </w:rPr>
          <w:fldChar w:fldCharType="begin"/>
        </w:r>
        <w:r>
          <w:rPr>
            <w:noProof/>
            <w:webHidden/>
          </w:rPr>
          <w:instrText xml:space="preserve"> PAGEREF _Toc391539691 \h </w:instrText>
        </w:r>
        <w:r>
          <w:rPr>
            <w:noProof/>
            <w:webHidden/>
          </w:rPr>
        </w:r>
        <w:r>
          <w:rPr>
            <w:noProof/>
            <w:webHidden/>
          </w:rPr>
          <w:fldChar w:fldCharType="separate"/>
        </w:r>
        <w:r>
          <w:rPr>
            <w:noProof/>
            <w:webHidden/>
          </w:rPr>
          <w:t>142</w:t>
        </w:r>
        <w:r>
          <w:rPr>
            <w:noProof/>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692" w:history="1">
        <w:r w:rsidRPr="00F30583">
          <w:rPr>
            <w:rStyle w:val="Hypertextovodkaz"/>
            <w:noProof/>
            <w:spacing w:val="20"/>
          </w:rPr>
          <w:t>ODDÍL 9</w:t>
        </w:r>
        <w:r>
          <w:rPr>
            <w:rFonts w:asciiTheme="minorHAnsi" w:eastAsiaTheme="minorEastAsia" w:hAnsiTheme="minorHAnsi" w:cstheme="minorBidi"/>
            <w:b w:val="0"/>
            <w:noProof/>
            <w:sz w:val="22"/>
            <w:szCs w:val="22"/>
          </w:rPr>
          <w:tab/>
        </w:r>
        <w:r w:rsidRPr="00F30583">
          <w:rPr>
            <w:rStyle w:val="Hypertextovodkaz"/>
            <w:noProof/>
          </w:rPr>
          <w:t>Předběžné podmínky</w:t>
        </w:r>
        <w:r>
          <w:rPr>
            <w:noProof/>
            <w:webHidden/>
          </w:rPr>
          <w:tab/>
        </w:r>
        <w:r>
          <w:rPr>
            <w:noProof/>
            <w:webHidden/>
          </w:rPr>
          <w:fldChar w:fldCharType="begin"/>
        </w:r>
        <w:r>
          <w:rPr>
            <w:noProof/>
            <w:webHidden/>
          </w:rPr>
          <w:instrText xml:space="preserve"> PAGEREF _Toc391539692 \h </w:instrText>
        </w:r>
        <w:r>
          <w:rPr>
            <w:noProof/>
            <w:webHidden/>
          </w:rPr>
        </w:r>
        <w:r>
          <w:rPr>
            <w:noProof/>
            <w:webHidden/>
          </w:rPr>
          <w:fldChar w:fldCharType="separate"/>
        </w:r>
        <w:r>
          <w:rPr>
            <w:noProof/>
            <w:webHidden/>
          </w:rPr>
          <w:t>148</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93" w:history="1">
        <w:r w:rsidRPr="00F30583">
          <w:rPr>
            <w:rStyle w:val="Hypertextovodkaz"/>
            <w:rFonts w:cs="Calibri"/>
            <w:noProof/>
          </w:rPr>
          <w:t>9.1</w:t>
        </w:r>
        <w:r>
          <w:rPr>
            <w:rFonts w:asciiTheme="minorHAnsi" w:eastAsiaTheme="minorEastAsia" w:hAnsiTheme="minorHAnsi" w:cstheme="minorBidi"/>
            <w:noProof/>
            <w:sz w:val="22"/>
            <w:szCs w:val="22"/>
          </w:rPr>
          <w:tab/>
        </w:r>
        <w:r w:rsidRPr="00F30583">
          <w:rPr>
            <w:rStyle w:val="Hypertextovodkaz"/>
            <w:rFonts w:cs="Calibri"/>
            <w:noProof/>
          </w:rPr>
          <w:t>Předběžné podmínky</w:t>
        </w:r>
        <w:r>
          <w:rPr>
            <w:noProof/>
            <w:webHidden/>
          </w:rPr>
          <w:tab/>
        </w:r>
        <w:r>
          <w:rPr>
            <w:noProof/>
            <w:webHidden/>
          </w:rPr>
          <w:fldChar w:fldCharType="begin"/>
        </w:r>
        <w:r>
          <w:rPr>
            <w:noProof/>
            <w:webHidden/>
          </w:rPr>
          <w:instrText xml:space="preserve"> PAGEREF _Toc391539693 \h </w:instrText>
        </w:r>
        <w:r>
          <w:rPr>
            <w:noProof/>
            <w:webHidden/>
          </w:rPr>
        </w:r>
        <w:r>
          <w:rPr>
            <w:noProof/>
            <w:webHidden/>
          </w:rPr>
          <w:fldChar w:fldCharType="separate"/>
        </w:r>
        <w:r>
          <w:rPr>
            <w:noProof/>
            <w:webHidden/>
          </w:rPr>
          <w:t>148</w:t>
        </w:r>
        <w:r>
          <w:rPr>
            <w:noProof/>
            <w:webHidden/>
          </w:rPr>
          <w:fldChar w:fldCharType="end"/>
        </w:r>
      </w:hyperlink>
    </w:p>
    <w:p w:rsidR="00597751" w:rsidRDefault="00597751">
      <w:pPr>
        <w:pStyle w:val="Obsah2"/>
        <w:tabs>
          <w:tab w:val="left" w:pos="880"/>
          <w:tab w:val="right" w:leader="dot" w:pos="9202"/>
        </w:tabs>
        <w:rPr>
          <w:rFonts w:asciiTheme="minorHAnsi" w:eastAsiaTheme="minorEastAsia" w:hAnsiTheme="minorHAnsi" w:cstheme="minorBidi"/>
          <w:noProof/>
          <w:sz w:val="22"/>
          <w:szCs w:val="22"/>
        </w:rPr>
      </w:pPr>
      <w:hyperlink w:anchor="_Toc391539694" w:history="1">
        <w:r w:rsidRPr="00F30583">
          <w:rPr>
            <w:rStyle w:val="Hypertextovodkaz"/>
            <w:rFonts w:cs="Calibri"/>
            <w:noProof/>
          </w:rPr>
          <w:t>9.2</w:t>
        </w:r>
        <w:r>
          <w:rPr>
            <w:rFonts w:asciiTheme="minorHAnsi" w:eastAsiaTheme="minorEastAsia" w:hAnsiTheme="minorHAnsi" w:cstheme="minorBidi"/>
            <w:noProof/>
            <w:sz w:val="22"/>
            <w:szCs w:val="22"/>
          </w:rPr>
          <w:tab/>
        </w:r>
        <w:r w:rsidRPr="00F30583">
          <w:rPr>
            <w:rStyle w:val="Hypertextovodkaz"/>
            <w:rFonts w:cs="Calibri"/>
            <w:noProof/>
          </w:rPr>
          <w:t>Popis opatření ke splnění předběžných podmínek, odpovědných subjektů a harmonogramu</w:t>
        </w:r>
        <w:r>
          <w:rPr>
            <w:noProof/>
            <w:webHidden/>
          </w:rPr>
          <w:tab/>
        </w:r>
        <w:r>
          <w:rPr>
            <w:noProof/>
            <w:webHidden/>
          </w:rPr>
          <w:fldChar w:fldCharType="begin"/>
        </w:r>
        <w:r>
          <w:rPr>
            <w:noProof/>
            <w:webHidden/>
          </w:rPr>
          <w:instrText xml:space="preserve"> PAGEREF _Toc391539694 \h </w:instrText>
        </w:r>
        <w:r>
          <w:rPr>
            <w:noProof/>
            <w:webHidden/>
          </w:rPr>
        </w:r>
        <w:r>
          <w:rPr>
            <w:noProof/>
            <w:webHidden/>
          </w:rPr>
          <w:fldChar w:fldCharType="separate"/>
        </w:r>
        <w:r>
          <w:rPr>
            <w:noProof/>
            <w:webHidden/>
          </w:rPr>
          <w:t>186</w:t>
        </w:r>
        <w:r>
          <w:rPr>
            <w:noProof/>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695" w:history="1">
        <w:r w:rsidRPr="00F30583">
          <w:rPr>
            <w:rStyle w:val="Hypertextovodkaz"/>
            <w:noProof/>
            <w:spacing w:val="20"/>
          </w:rPr>
          <w:t>ODDÍL 10</w:t>
        </w:r>
        <w:r>
          <w:rPr>
            <w:rFonts w:asciiTheme="minorHAnsi" w:eastAsiaTheme="minorEastAsia" w:hAnsiTheme="minorHAnsi" w:cstheme="minorBidi"/>
            <w:b w:val="0"/>
            <w:noProof/>
            <w:sz w:val="22"/>
            <w:szCs w:val="22"/>
          </w:rPr>
          <w:tab/>
        </w:r>
        <w:r w:rsidRPr="00F30583">
          <w:rPr>
            <w:rStyle w:val="Hypertextovodkaz"/>
            <w:noProof/>
          </w:rPr>
          <w:t>Snižování administrativní zátěže pro příjemce</w:t>
        </w:r>
        <w:r>
          <w:rPr>
            <w:noProof/>
            <w:webHidden/>
          </w:rPr>
          <w:tab/>
        </w:r>
        <w:r>
          <w:rPr>
            <w:noProof/>
            <w:webHidden/>
          </w:rPr>
          <w:fldChar w:fldCharType="begin"/>
        </w:r>
        <w:r>
          <w:rPr>
            <w:noProof/>
            <w:webHidden/>
          </w:rPr>
          <w:instrText xml:space="preserve"> PAGEREF _Toc391539695 \h </w:instrText>
        </w:r>
        <w:r>
          <w:rPr>
            <w:noProof/>
            <w:webHidden/>
          </w:rPr>
        </w:r>
        <w:r>
          <w:rPr>
            <w:noProof/>
            <w:webHidden/>
          </w:rPr>
          <w:fldChar w:fldCharType="separate"/>
        </w:r>
        <w:r>
          <w:rPr>
            <w:noProof/>
            <w:webHidden/>
          </w:rPr>
          <w:t>197</w:t>
        </w:r>
        <w:r>
          <w:rPr>
            <w:noProof/>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696" w:history="1">
        <w:r w:rsidRPr="00F30583">
          <w:rPr>
            <w:rStyle w:val="Hypertextovodkaz"/>
            <w:noProof/>
            <w:spacing w:val="20"/>
          </w:rPr>
          <w:t>ODDÍL 11</w:t>
        </w:r>
        <w:r>
          <w:rPr>
            <w:rFonts w:asciiTheme="minorHAnsi" w:eastAsiaTheme="minorEastAsia" w:hAnsiTheme="minorHAnsi" w:cstheme="minorBidi"/>
            <w:b w:val="0"/>
            <w:noProof/>
            <w:sz w:val="22"/>
            <w:szCs w:val="22"/>
          </w:rPr>
          <w:tab/>
        </w:r>
        <w:r w:rsidRPr="00F30583">
          <w:rPr>
            <w:rStyle w:val="Hypertextovodkaz"/>
            <w:noProof/>
          </w:rPr>
          <w:t>Horizontální zásady</w:t>
        </w:r>
        <w:r>
          <w:rPr>
            <w:noProof/>
            <w:webHidden/>
          </w:rPr>
          <w:tab/>
        </w:r>
        <w:r>
          <w:rPr>
            <w:noProof/>
            <w:webHidden/>
          </w:rPr>
          <w:fldChar w:fldCharType="begin"/>
        </w:r>
        <w:r>
          <w:rPr>
            <w:noProof/>
            <w:webHidden/>
          </w:rPr>
          <w:instrText xml:space="preserve"> PAGEREF _Toc391539696 \h </w:instrText>
        </w:r>
        <w:r>
          <w:rPr>
            <w:noProof/>
            <w:webHidden/>
          </w:rPr>
        </w:r>
        <w:r>
          <w:rPr>
            <w:noProof/>
            <w:webHidden/>
          </w:rPr>
          <w:fldChar w:fldCharType="separate"/>
        </w:r>
        <w:r>
          <w:rPr>
            <w:noProof/>
            <w:webHidden/>
          </w:rPr>
          <w:t>200</w:t>
        </w:r>
        <w:r>
          <w:rPr>
            <w:noProof/>
            <w:webHidden/>
          </w:rPr>
          <w:fldChar w:fldCharType="end"/>
        </w:r>
      </w:hyperlink>
    </w:p>
    <w:p w:rsidR="00597751" w:rsidRDefault="00597751">
      <w:pPr>
        <w:pStyle w:val="Obsah2"/>
        <w:tabs>
          <w:tab w:val="left" w:pos="1100"/>
          <w:tab w:val="right" w:leader="dot" w:pos="9202"/>
        </w:tabs>
        <w:rPr>
          <w:rFonts w:asciiTheme="minorHAnsi" w:eastAsiaTheme="minorEastAsia" w:hAnsiTheme="minorHAnsi" w:cstheme="minorBidi"/>
          <w:noProof/>
          <w:sz w:val="22"/>
          <w:szCs w:val="22"/>
        </w:rPr>
      </w:pPr>
      <w:hyperlink w:anchor="_Toc391539697" w:history="1">
        <w:r w:rsidRPr="00F30583">
          <w:rPr>
            <w:rStyle w:val="Hypertextovodkaz"/>
            <w:rFonts w:cs="Calibri"/>
            <w:noProof/>
          </w:rPr>
          <w:t>11.1</w:t>
        </w:r>
        <w:r>
          <w:rPr>
            <w:rFonts w:asciiTheme="minorHAnsi" w:eastAsiaTheme="minorEastAsia" w:hAnsiTheme="minorHAnsi" w:cstheme="minorBidi"/>
            <w:noProof/>
            <w:sz w:val="22"/>
            <w:szCs w:val="22"/>
          </w:rPr>
          <w:tab/>
        </w:r>
        <w:r w:rsidRPr="00F30583">
          <w:rPr>
            <w:rStyle w:val="Hypertextovodkaz"/>
            <w:rFonts w:cs="Calibri"/>
            <w:noProof/>
          </w:rPr>
          <w:t>Udržitelný rozvoj</w:t>
        </w:r>
        <w:r>
          <w:rPr>
            <w:noProof/>
            <w:webHidden/>
          </w:rPr>
          <w:tab/>
        </w:r>
        <w:r>
          <w:rPr>
            <w:noProof/>
            <w:webHidden/>
          </w:rPr>
          <w:fldChar w:fldCharType="begin"/>
        </w:r>
        <w:r>
          <w:rPr>
            <w:noProof/>
            <w:webHidden/>
          </w:rPr>
          <w:instrText xml:space="preserve"> PAGEREF _Toc391539697 \h </w:instrText>
        </w:r>
        <w:r>
          <w:rPr>
            <w:noProof/>
            <w:webHidden/>
          </w:rPr>
        </w:r>
        <w:r>
          <w:rPr>
            <w:noProof/>
            <w:webHidden/>
          </w:rPr>
          <w:fldChar w:fldCharType="separate"/>
        </w:r>
        <w:r>
          <w:rPr>
            <w:noProof/>
            <w:webHidden/>
          </w:rPr>
          <w:t>200</w:t>
        </w:r>
        <w:r>
          <w:rPr>
            <w:noProof/>
            <w:webHidden/>
          </w:rPr>
          <w:fldChar w:fldCharType="end"/>
        </w:r>
      </w:hyperlink>
    </w:p>
    <w:p w:rsidR="00597751" w:rsidRDefault="00597751">
      <w:pPr>
        <w:pStyle w:val="Obsah2"/>
        <w:tabs>
          <w:tab w:val="left" w:pos="1100"/>
          <w:tab w:val="right" w:leader="dot" w:pos="9202"/>
        </w:tabs>
        <w:rPr>
          <w:rFonts w:asciiTheme="minorHAnsi" w:eastAsiaTheme="minorEastAsia" w:hAnsiTheme="minorHAnsi" w:cstheme="minorBidi"/>
          <w:noProof/>
          <w:sz w:val="22"/>
          <w:szCs w:val="22"/>
        </w:rPr>
      </w:pPr>
      <w:hyperlink w:anchor="_Toc391539698" w:history="1">
        <w:r w:rsidRPr="00F30583">
          <w:rPr>
            <w:rStyle w:val="Hypertextovodkaz"/>
            <w:rFonts w:cs="Calibri"/>
            <w:noProof/>
          </w:rPr>
          <w:t>11.2</w:t>
        </w:r>
        <w:r>
          <w:rPr>
            <w:rFonts w:asciiTheme="minorHAnsi" w:eastAsiaTheme="minorEastAsia" w:hAnsiTheme="minorHAnsi" w:cstheme="minorBidi"/>
            <w:noProof/>
            <w:sz w:val="22"/>
            <w:szCs w:val="22"/>
          </w:rPr>
          <w:tab/>
        </w:r>
        <w:r w:rsidRPr="00F30583">
          <w:rPr>
            <w:rStyle w:val="Hypertextovodkaz"/>
            <w:rFonts w:cs="Calibri"/>
            <w:noProof/>
          </w:rPr>
          <w:t>Rovné příležitosti a zákaz diskriminace</w:t>
        </w:r>
        <w:r>
          <w:rPr>
            <w:noProof/>
            <w:webHidden/>
          </w:rPr>
          <w:tab/>
        </w:r>
        <w:r>
          <w:rPr>
            <w:noProof/>
            <w:webHidden/>
          </w:rPr>
          <w:fldChar w:fldCharType="begin"/>
        </w:r>
        <w:r>
          <w:rPr>
            <w:noProof/>
            <w:webHidden/>
          </w:rPr>
          <w:instrText xml:space="preserve"> PAGEREF _Toc391539698 \h </w:instrText>
        </w:r>
        <w:r>
          <w:rPr>
            <w:noProof/>
            <w:webHidden/>
          </w:rPr>
        </w:r>
        <w:r>
          <w:rPr>
            <w:noProof/>
            <w:webHidden/>
          </w:rPr>
          <w:fldChar w:fldCharType="separate"/>
        </w:r>
        <w:r>
          <w:rPr>
            <w:noProof/>
            <w:webHidden/>
          </w:rPr>
          <w:t>201</w:t>
        </w:r>
        <w:r>
          <w:rPr>
            <w:noProof/>
            <w:webHidden/>
          </w:rPr>
          <w:fldChar w:fldCharType="end"/>
        </w:r>
      </w:hyperlink>
    </w:p>
    <w:p w:rsidR="00597751" w:rsidRDefault="00597751">
      <w:pPr>
        <w:pStyle w:val="Obsah2"/>
        <w:tabs>
          <w:tab w:val="left" w:pos="1100"/>
          <w:tab w:val="right" w:leader="dot" w:pos="9202"/>
        </w:tabs>
        <w:rPr>
          <w:rFonts w:asciiTheme="minorHAnsi" w:eastAsiaTheme="minorEastAsia" w:hAnsiTheme="minorHAnsi" w:cstheme="minorBidi"/>
          <w:noProof/>
          <w:sz w:val="22"/>
          <w:szCs w:val="22"/>
        </w:rPr>
      </w:pPr>
      <w:hyperlink w:anchor="_Toc391539699" w:history="1">
        <w:r w:rsidRPr="00F30583">
          <w:rPr>
            <w:rStyle w:val="Hypertextovodkaz"/>
            <w:rFonts w:cs="Calibri"/>
            <w:noProof/>
          </w:rPr>
          <w:t>11.3</w:t>
        </w:r>
        <w:r>
          <w:rPr>
            <w:rFonts w:asciiTheme="minorHAnsi" w:eastAsiaTheme="minorEastAsia" w:hAnsiTheme="minorHAnsi" w:cstheme="minorBidi"/>
            <w:noProof/>
            <w:sz w:val="22"/>
            <w:szCs w:val="22"/>
          </w:rPr>
          <w:tab/>
        </w:r>
        <w:r w:rsidRPr="00F30583">
          <w:rPr>
            <w:rStyle w:val="Hypertextovodkaz"/>
            <w:rFonts w:cs="Calibri"/>
            <w:noProof/>
          </w:rPr>
          <w:t>Rovnost mezi muži a ženami</w:t>
        </w:r>
        <w:r>
          <w:rPr>
            <w:noProof/>
            <w:webHidden/>
          </w:rPr>
          <w:tab/>
        </w:r>
        <w:r>
          <w:rPr>
            <w:noProof/>
            <w:webHidden/>
          </w:rPr>
          <w:fldChar w:fldCharType="begin"/>
        </w:r>
        <w:r>
          <w:rPr>
            <w:noProof/>
            <w:webHidden/>
          </w:rPr>
          <w:instrText xml:space="preserve"> PAGEREF _Toc391539699 \h </w:instrText>
        </w:r>
        <w:r>
          <w:rPr>
            <w:noProof/>
            <w:webHidden/>
          </w:rPr>
        </w:r>
        <w:r>
          <w:rPr>
            <w:noProof/>
            <w:webHidden/>
          </w:rPr>
          <w:fldChar w:fldCharType="separate"/>
        </w:r>
        <w:r>
          <w:rPr>
            <w:noProof/>
            <w:webHidden/>
          </w:rPr>
          <w:t>202</w:t>
        </w:r>
        <w:r>
          <w:rPr>
            <w:noProof/>
            <w:webHidden/>
          </w:rPr>
          <w:fldChar w:fldCharType="end"/>
        </w:r>
      </w:hyperlink>
    </w:p>
    <w:p w:rsidR="00597751" w:rsidRDefault="00597751">
      <w:pPr>
        <w:pStyle w:val="Obsah1"/>
        <w:tabs>
          <w:tab w:val="left" w:pos="1320"/>
          <w:tab w:val="right" w:leader="dot" w:pos="9202"/>
        </w:tabs>
        <w:rPr>
          <w:rFonts w:asciiTheme="minorHAnsi" w:eastAsiaTheme="minorEastAsia" w:hAnsiTheme="minorHAnsi" w:cstheme="minorBidi"/>
          <w:b w:val="0"/>
          <w:noProof/>
          <w:sz w:val="22"/>
          <w:szCs w:val="22"/>
        </w:rPr>
      </w:pPr>
      <w:hyperlink w:anchor="_Toc391539700" w:history="1">
        <w:r w:rsidRPr="00F30583">
          <w:rPr>
            <w:rStyle w:val="Hypertextovodkaz"/>
            <w:noProof/>
            <w:spacing w:val="20"/>
          </w:rPr>
          <w:t>ODDÍL 12</w:t>
        </w:r>
        <w:r>
          <w:rPr>
            <w:rFonts w:asciiTheme="minorHAnsi" w:eastAsiaTheme="minorEastAsia" w:hAnsiTheme="minorHAnsi" w:cstheme="minorBidi"/>
            <w:b w:val="0"/>
            <w:noProof/>
            <w:sz w:val="22"/>
            <w:szCs w:val="22"/>
          </w:rPr>
          <w:tab/>
        </w:r>
        <w:r w:rsidRPr="00F30583">
          <w:rPr>
            <w:rStyle w:val="Hypertextovodkaz"/>
            <w:noProof/>
          </w:rPr>
          <w:t>Samostatné prvky</w:t>
        </w:r>
        <w:r>
          <w:rPr>
            <w:noProof/>
            <w:webHidden/>
          </w:rPr>
          <w:tab/>
        </w:r>
        <w:r>
          <w:rPr>
            <w:noProof/>
            <w:webHidden/>
          </w:rPr>
          <w:fldChar w:fldCharType="begin"/>
        </w:r>
        <w:r>
          <w:rPr>
            <w:noProof/>
            <w:webHidden/>
          </w:rPr>
          <w:instrText xml:space="preserve"> PAGEREF _Toc391539700 \h </w:instrText>
        </w:r>
        <w:r>
          <w:rPr>
            <w:noProof/>
            <w:webHidden/>
          </w:rPr>
        </w:r>
        <w:r>
          <w:rPr>
            <w:noProof/>
            <w:webHidden/>
          </w:rPr>
          <w:fldChar w:fldCharType="separate"/>
        </w:r>
        <w:r>
          <w:rPr>
            <w:noProof/>
            <w:webHidden/>
          </w:rPr>
          <w:t>203</w:t>
        </w:r>
        <w:r>
          <w:rPr>
            <w:noProof/>
            <w:webHidden/>
          </w:rPr>
          <w:fldChar w:fldCharType="end"/>
        </w:r>
      </w:hyperlink>
    </w:p>
    <w:p w:rsidR="00597751" w:rsidRDefault="00597751">
      <w:pPr>
        <w:pStyle w:val="Obsah2"/>
        <w:tabs>
          <w:tab w:val="left" w:pos="1100"/>
          <w:tab w:val="right" w:leader="dot" w:pos="9202"/>
        </w:tabs>
        <w:rPr>
          <w:rFonts w:asciiTheme="minorHAnsi" w:eastAsiaTheme="minorEastAsia" w:hAnsiTheme="minorHAnsi" w:cstheme="minorBidi"/>
          <w:noProof/>
          <w:sz w:val="22"/>
          <w:szCs w:val="22"/>
        </w:rPr>
      </w:pPr>
      <w:hyperlink w:anchor="_Toc391539701" w:history="1">
        <w:r w:rsidRPr="00F30583">
          <w:rPr>
            <w:rStyle w:val="Hypertextovodkaz"/>
            <w:rFonts w:cs="Calibri"/>
            <w:noProof/>
          </w:rPr>
          <w:t>12.1</w:t>
        </w:r>
        <w:r>
          <w:rPr>
            <w:rFonts w:asciiTheme="minorHAnsi" w:eastAsiaTheme="minorEastAsia" w:hAnsiTheme="minorHAnsi" w:cstheme="minorBidi"/>
            <w:noProof/>
            <w:sz w:val="22"/>
            <w:szCs w:val="22"/>
          </w:rPr>
          <w:tab/>
        </w:r>
        <w:r w:rsidRPr="00F30583">
          <w:rPr>
            <w:rStyle w:val="Hypertextovodkaz"/>
            <w:rFonts w:cs="Calibri"/>
            <w:noProof/>
          </w:rPr>
          <w:t>Velké projekty, které mají být během programového období realizovány</w:t>
        </w:r>
        <w:r>
          <w:rPr>
            <w:noProof/>
            <w:webHidden/>
          </w:rPr>
          <w:tab/>
        </w:r>
        <w:r>
          <w:rPr>
            <w:noProof/>
            <w:webHidden/>
          </w:rPr>
          <w:fldChar w:fldCharType="begin"/>
        </w:r>
        <w:r>
          <w:rPr>
            <w:noProof/>
            <w:webHidden/>
          </w:rPr>
          <w:instrText xml:space="preserve"> PAGEREF _Toc391539701 \h </w:instrText>
        </w:r>
        <w:r>
          <w:rPr>
            <w:noProof/>
            <w:webHidden/>
          </w:rPr>
        </w:r>
        <w:r>
          <w:rPr>
            <w:noProof/>
            <w:webHidden/>
          </w:rPr>
          <w:fldChar w:fldCharType="separate"/>
        </w:r>
        <w:r>
          <w:rPr>
            <w:noProof/>
            <w:webHidden/>
          </w:rPr>
          <w:t>203</w:t>
        </w:r>
        <w:r>
          <w:rPr>
            <w:noProof/>
            <w:webHidden/>
          </w:rPr>
          <w:fldChar w:fldCharType="end"/>
        </w:r>
      </w:hyperlink>
    </w:p>
    <w:p w:rsidR="00597751" w:rsidRDefault="00597751">
      <w:pPr>
        <w:pStyle w:val="Obsah2"/>
        <w:tabs>
          <w:tab w:val="left" w:pos="1100"/>
          <w:tab w:val="right" w:leader="dot" w:pos="9202"/>
        </w:tabs>
        <w:rPr>
          <w:rFonts w:asciiTheme="minorHAnsi" w:eastAsiaTheme="minorEastAsia" w:hAnsiTheme="minorHAnsi" w:cstheme="minorBidi"/>
          <w:noProof/>
          <w:sz w:val="22"/>
          <w:szCs w:val="22"/>
        </w:rPr>
      </w:pPr>
      <w:hyperlink w:anchor="_Toc391539702" w:history="1">
        <w:r w:rsidRPr="00F30583">
          <w:rPr>
            <w:rStyle w:val="Hypertextovodkaz"/>
            <w:rFonts w:cs="Calibri"/>
            <w:noProof/>
          </w:rPr>
          <w:t>12.2</w:t>
        </w:r>
        <w:r>
          <w:rPr>
            <w:rFonts w:asciiTheme="minorHAnsi" w:eastAsiaTheme="minorEastAsia" w:hAnsiTheme="minorHAnsi" w:cstheme="minorBidi"/>
            <w:noProof/>
            <w:sz w:val="22"/>
            <w:szCs w:val="22"/>
          </w:rPr>
          <w:tab/>
        </w:r>
        <w:r w:rsidRPr="00F30583">
          <w:rPr>
            <w:rStyle w:val="Hypertextovodkaz"/>
            <w:rFonts w:cs="Calibri"/>
            <w:noProof/>
          </w:rPr>
          <w:t>Výkonnostní rámec pro operační program</w:t>
        </w:r>
        <w:r>
          <w:rPr>
            <w:noProof/>
            <w:webHidden/>
          </w:rPr>
          <w:tab/>
        </w:r>
        <w:r>
          <w:rPr>
            <w:noProof/>
            <w:webHidden/>
          </w:rPr>
          <w:fldChar w:fldCharType="begin"/>
        </w:r>
        <w:r>
          <w:rPr>
            <w:noProof/>
            <w:webHidden/>
          </w:rPr>
          <w:instrText xml:space="preserve"> PAGEREF _Toc391539702 \h </w:instrText>
        </w:r>
        <w:r>
          <w:rPr>
            <w:noProof/>
            <w:webHidden/>
          </w:rPr>
        </w:r>
        <w:r>
          <w:rPr>
            <w:noProof/>
            <w:webHidden/>
          </w:rPr>
          <w:fldChar w:fldCharType="separate"/>
        </w:r>
        <w:r>
          <w:rPr>
            <w:noProof/>
            <w:webHidden/>
          </w:rPr>
          <w:t>203</w:t>
        </w:r>
        <w:r>
          <w:rPr>
            <w:noProof/>
            <w:webHidden/>
          </w:rPr>
          <w:fldChar w:fldCharType="end"/>
        </w:r>
      </w:hyperlink>
    </w:p>
    <w:p w:rsidR="00597751" w:rsidRDefault="00597751">
      <w:pPr>
        <w:pStyle w:val="Obsah2"/>
        <w:tabs>
          <w:tab w:val="left" w:pos="1100"/>
          <w:tab w:val="right" w:leader="dot" w:pos="9202"/>
        </w:tabs>
        <w:rPr>
          <w:rFonts w:asciiTheme="minorHAnsi" w:eastAsiaTheme="minorEastAsia" w:hAnsiTheme="minorHAnsi" w:cstheme="minorBidi"/>
          <w:noProof/>
          <w:sz w:val="22"/>
          <w:szCs w:val="22"/>
        </w:rPr>
      </w:pPr>
      <w:hyperlink w:anchor="_Toc391539703" w:history="1">
        <w:r w:rsidRPr="00F30583">
          <w:rPr>
            <w:rStyle w:val="Hypertextovodkaz"/>
            <w:rFonts w:cs="Calibri"/>
            <w:noProof/>
          </w:rPr>
          <w:t>12.3</w:t>
        </w:r>
        <w:r>
          <w:rPr>
            <w:rFonts w:asciiTheme="minorHAnsi" w:eastAsiaTheme="minorEastAsia" w:hAnsiTheme="minorHAnsi" w:cstheme="minorBidi"/>
            <w:noProof/>
            <w:sz w:val="22"/>
            <w:szCs w:val="22"/>
          </w:rPr>
          <w:tab/>
        </w:r>
        <w:r w:rsidRPr="00F30583">
          <w:rPr>
            <w:rStyle w:val="Hypertextovodkaz"/>
            <w:rFonts w:cs="Calibri"/>
            <w:noProof/>
          </w:rPr>
          <w:t>Seznam příslušných partnerů zapojených do přípravy operačního programu</w:t>
        </w:r>
        <w:r>
          <w:rPr>
            <w:noProof/>
            <w:webHidden/>
          </w:rPr>
          <w:tab/>
        </w:r>
        <w:r>
          <w:rPr>
            <w:noProof/>
            <w:webHidden/>
          </w:rPr>
          <w:fldChar w:fldCharType="begin"/>
        </w:r>
        <w:r>
          <w:rPr>
            <w:noProof/>
            <w:webHidden/>
          </w:rPr>
          <w:instrText xml:space="preserve"> PAGEREF _Toc391539703 \h </w:instrText>
        </w:r>
        <w:r>
          <w:rPr>
            <w:noProof/>
            <w:webHidden/>
          </w:rPr>
        </w:r>
        <w:r>
          <w:rPr>
            <w:noProof/>
            <w:webHidden/>
          </w:rPr>
          <w:fldChar w:fldCharType="separate"/>
        </w:r>
        <w:r>
          <w:rPr>
            <w:noProof/>
            <w:webHidden/>
          </w:rPr>
          <w:t>203</w:t>
        </w:r>
        <w:r>
          <w:rPr>
            <w:noProof/>
            <w:webHidden/>
          </w:rPr>
          <w:fldChar w:fldCharType="end"/>
        </w:r>
      </w:hyperlink>
    </w:p>
    <w:p w:rsidR="00597751" w:rsidRDefault="00597751">
      <w:pPr>
        <w:pStyle w:val="Obsah2"/>
        <w:tabs>
          <w:tab w:val="right" w:leader="dot" w:pos="9202"/>
        </w:tabs>
        <w:rPr>
          <w:rFonts w:asciiTheme="minorHAnsi" w:eastAsiaTheme="minorEastAsia" w:hAnsiTheme="minorHAnsi" w:cstheme="minorBidi"/>
          <w:noProof/>
          <w:sz w:val="22"/>
          <w:szCs w:val="22"/>
        </w:rPr>
      </w:pPr>
      <w:hyperlink w:anchor="_Toc391539704" w:history="1">
        <w:r w:rsidRPr="00F30583">
          <w:rPr>
            <w:rStyle w:val="Hypertextovodkaz"/>
            <w:rFonts w:cs="Calibri"/>
            <w:noProof/>
          </w:rPr>
          <w:t>PŘÍLOHY (nahrány do systému pro elektronickou výměnu dat jako samostatné soubory)</w:t>
        </w:r>
        <w:r>
          <w:rPr>
            <w:noProof/>
            <w:webHidden/>
          </w:rPr>
          <w:tab/>
        </w:r>
        <w:r>
          <w:rPr>
            <w:noProof/>
            <w:webHidden/>
          </w:rPr>
          <w:fldChar w:fldCharType="begin"/>
        </w:r>
        <w:r>
          <w:rPr>
            <w:noProof/>
            <w:webHidden/>
          </w:rPr>
          <w:instrText xml:space="preserve"> PAGEREF _Toc391539704 \h </w:instrText>
        </w:r>
        <w:r>
          <w:rPr>
            <w:noProof/>
            <w:webHidden/>
          </w:rPr>
        </w:r>
        <w:r>
          <w:rPr>
            <w:noProof/>
            <w:webHidden/>
          </w:rPr>
          <w:fldChar w:fldCharType="separate"/>
        </w:r>
        <w:r>
          <w:rPr>
            <w:noProof/>
            <w:webHidden/>
          </w:rPr>
          <w:t>208</w:t>
        </w:r>
        <w:r>
          <w:rPr>
            <w:noProof/>
            <w:webHidden/>
          </w:rPr>
          <w:fldChar w:fldCharType="end"/>
        </w:r>
      </w:hyperlink>
    </w:p>
    <w:p w:rsidR="00597751" w:rsidRDefault="00597751">
      <w:pPr>
        <w:pStyle w:val="Obsah2"/>
        <w:tabs>
          <w:tab w:val="right" w:leader="dot" w:pos="9202"/>
        </w:tabs>
        <w:rPr>
          <w:rFonts w:asciiTheme="minorHAnsi" w:eastAsiaTheme="minorEastAsia" w:hAnsiTheme="minorHAnsi" w:cstheme="minorBidi"/>
          <w:noProof/>
          <w:sz w:val="22"/>
          <w:szCs w:val="22"/>
        </w:rPr>
      </w:pPr>
      <w:hyperlink w:anchor="_Toc391539705" w:history="1">
        <w:r w:rsidRPr="00F30583">
          <w:rPr>
            <w:rStyle w:val="Hypertextovodkaz"/>
            <w:rFonts w:cs="Calibri"/>
            <w:noProof/>
          </w:rPr>
          <w:t>Nepovinná příloha č. 1: Zhodnocení zkušeností z programovacího období 2007-2013</w:t>
        </w:r>
        <w:r>
          <w:rPr>
            <w:noProof/>
            <w:webHidden/>
          </w:rPr>
          <w:tab/>
        </w:r>
        <w:r>
          <w:rPr>
            <w:noProof/>
            <w:webHidden/>
          </w:rPr>
          <w:fldChar w:fldCharType="begin"/>
        </w:r>
        <w:r>
          <w:rPr>
            <w:noProof/>
            <w:webHidden/>
          </w:rPr>
          <w:instrText xml:space="preserve"> PAGEREF _Toc391539705 \h </w:instrText>
        </w:r>
        <w:r>
          <w:rPr>
            <w:noProof/>
            <w:webHidden/>
          </w:rPr>
        </w:r>
        <w:r>
          <w:rPr>
            <w:noProof/>
            <w:webHidden/>
          </w:rPr>
          <w:fldChar w:fldCharType="separate"/>
        </w:r>
        <w:r>
          <w:rPr>
            <w:noProof/>
            <w:webHidden/>
          </w:rPr>
          <w:t>209</w:t>
        </w:r>
        <w:r>
          <w:rPr>
            <w:noProof/>
            <w:webHidden/>
          </w:rPr>
          <w:fldChar w:fldCharType="end"/>
        </w:r>
      </w:hyperlink>
    </w:p>
    <w:p w:rsidR="00597751" w:rsidRDefault="00597751">
      <w:pPr>
        <w:pStyle w:val="Obsah2"/>
        <w:tabs>
          <w:tab w:val="right" w:leader="dot" w:pos="9202"/>
        </w:tabs>
        <w:rPr>
          <w:rFonts w:asciiTheme="minorHAnsi" w:eastAsiaTheme="minorEastAsia" w:hAnsiTheme="minorHAnsi" w:cstheme="minorBidi"/>
          <w:noProof/>
          <w:sz w:val="22"/>
          <w:szCs w:val="22"/>
        </w:rPr>
      </w:pPr>
      <w:hyperlink w:anchor="_Toc391539706" w:history="1">
        <w:r w:rsidRPr="00F30583">
          <w:rPr>
            <w:rStyle w:val="Hypertextovodkaz"/>
            <w:rFonts w:cs="Calibri"/>
            <w:noProof/>
          </w:rPr>
          <w:t>Nepovinná příloha č. 2: Analýza potřeb ČR ve vybraných problémových oblastech Dohody o partnerství</w:t>
        </w:r>
        <w:r>
          <w:rPr>
            <w:noProof/>
            <w:webHidden/>
          </w:rPr>
          <w:tab/>
        </w:r>
        <w:r>
          <w:rPr>
            <w:noProof/>
            <w:webHidden/>
          </w:rPr>
          <w:fldChar w:fldCharType="begin"/>
        </w:r>
        <w:r>
          <w:rPr>
            <w:noProof/>
            <w:webHidden/>
          </w:rPr>
          <w:instrText xml:space="preserve"> PAGEREF _Toc391539706 \h </w:instrText>
        </w:r>
        <w:r>
          <w:rPr>
            <w:noProof/>
            <w:webHidden/>
          </w:rPr>
        </w:r>
        <w:r>
          <w:rPr>
            <w:noProof/>
            <w:webHidden/>
          </w:rPr>
          <w:fldChar w:fldCharType="separate"/>
        </w:r>
        <w:r>
          <w:rPr>
            <w:noProof/>
            <w:webHidden/>
          </w:rPr>
          <w:t>218</w:t>
        </w:r>
        <w:r>
          <w:rPr>
            <w:noProof/>
            <w:webHidden/>
          </w:rPr>
          <w:fldChar w:fldCharType="end"/>
        </w:r>
      </w:hyperlink>
    </w:p>
    <w:p w:rsidR="00597751" w:rsidRDefault="00597751">
      <w:pPr>
        <w:pStyle w:val="Obsah2"/>
        <w:tabs>
          <w:tab w:val="right" w:leader="dot" w:pos="9202"/>
        </w:tabs>
        <w:rPr>
          <w:rFonts w:asciiTheme="minorHAnsi" w:eastAsiaTheme="minorEastAsia" w:hAnsiTheme="minorHAnsi" w:cstheme="minorBidi"/>
          <w:noProof/>
          <w:sz w:val="22"/>
          <w:szCs w:val="22"/>
        </w:rPr>
      </w:pPr>
      <w:hyperlink w:anchor="_Toc391539707" w:history="1">
        <w:r w:rsidRPr="00F30583">
          <w:rPr>
            <w:rStyle w:val="Hypertextovodkaz"/>
            <w:rFonts w:cs="Calibri"/>
            <w:noProof/>
          </w:rPr>
          <w:t>Nepovinná příloha č. 3:</w:t>
        </w:r>
        <w:r w:rsidRPr="00F30583">
          <w:rPr>
            <w:rStyle w:val="Hypertextovodkaz"/>
            <w:noProof/>
          </w:rPr>
          <w:t xml:space="preserve"> Základní principy monitorování a vyhodnocování OP PIK</w:t>
        </w:r>
        <w:r>
          <w:rPr>
            <w:noProof/>
            <w:webHidden/>
          </w:rPr>
          <w:tab/>
        </w:r>
        <w:r>
          <w:rPr>
            <w:noProof/>
            <w:webHidden/>
          </w:rPr>
          <w:fldChar w:fldCharType="begin"/>
        </w:r>
        <w:r>
          <w:rPr>
            <w:noProof/>
            <w:webHidden/>
          </w:rPr>
          <w:instrText xml:space="preserve"> PAGEREF _Toc391539707 \h </w:instrText>
        </w:r>
        <w:r>
          <w:rPr>
            <w:noProof/>
            <w:webHidden/>
          </w:rPr>
        </w:r>
        <w:r>
          <w:rPr>
            <w:noProof/>
            <w:webHidden/>
          </w:rPr>
          <w:fldChar w:fldCharType="separate"/>
        </w:r>
        <w:r>
          <w:rPr>
            <w:noProof/>
            <w:webHidden/>
          </w:rPr>
          <w:t>241</w:t>
        </w:r>
        <w:r>
          <w:rPr>
            <w:noProof/>
            <w:webHidden/>
          </w:rPr>
          <w:fldChar w:fldCharType="end"/>
        </w:r>
      </w:hyperlink>
    </w:p>
    <w:p w:rsidR="00597751" w:rsidRDefault="00597751">
      <w:pPr>
        <w:pStyle w:val="Obsah2"/>
        <w:tabs>
          <w:tab w:val="right" w:leader="dot" w:pos="9202"/>
        </w:tabs>
        <w:rPr>
          <w:rFonts w:asciiTheme="minorHAnsi" w:eastAsiaTheme="minorEastAsia" w:hAnsiTheme="minorHAnsi" w:cstheme="minorBidi"/>
          <w:noProof/>
          <w:sz w:val="22"/>
          <w:szCs w:val="22"/>
        </w:rPr>
      </w:pPr>
      <w:hyperlink w:anchor="_Toc391539708" w:history="1">
        <w:r w:rsidRPr="00F30583">
          <w:rPr>
            <w:rStyle w:val="Hypertextovodkaz"/>
            <w:rFonts w:cs="Calibri"/>
            <w:noProof/>
          </w:rPr>
          <w:t>Nepovinná příloha č. 4:</w:t>
        </w:r>
        <w:r w:rsidRPr="00F30583">
          <w:rPr>
            <w:rStyle w:val="Hypertextovodkaz"/>
            <w:noProof/>
          </w:rPr>
          <w:t xml:space="preserve"> Synergie a komplementarity</w:t>
        </w:r>
        <w:r>
          <w:rPr>
            <w:noProof/>
            <w:webHidden/>
          </w:rPr>
          <w:tab/>
        </w:r>
        <w:r>
          <w:rPr>
            <w:noProof/>
            <w:webHidden/>
          </w:rPr>
          <w:fldChar w:fldCharType="begin"/>
        </w:r>
        <w:r>
          <w:rPr>
            <w:noProof/>
            <w:webHidden/>
          </w:rPr>
          <w:instrText xml:space="preserve"> PAGEREF _Toc391539708 \h </w:instrText>
        </w:r>
        <w:r>
          <w:rPr>
            <w:noProof/>
            <w:webHidden/>
          </w:rPr>
        </w:r>
        <w:r>
          <w:rPr>
            <w:noProof/>
            <w:webHidden/>
          </w:rPr>
          <w:fldChar w:fldCharType="separate"/>
        </w:r>
        <w:r>
          <w:rPr>
            <w:noProof/>
            <w:webHidden/>
          </w:rPr>
          <w:t>245</w:t>
        </w:r>
        <w:r>
          <w:rPr>
            <w:noProof/>
            <w:webHidden/>
          </w:rPr>
          <w:fldChar w:fldCharType="end"/>
        </w:r>
      </w:hyperlink>
    </w:p>
    <w:p w:rsidR="00D44AFC" w:rsidRPr="008B53A9" w:rsidRDefault="002E4CA7" w:rsidP="00300283">
      <w:pPr>
        <w:overflowPunct/>
        <w:autoSpaceDE/>
        <w:autoSpaceDN/>
        <w:adjustRightInd/>
        <w:spacing w:before="120" w:after="60"/>
        <w:textAlignment w:val="auto"/>
        <w:rPr>
          <w:rFonts w:ascii="Calibri" w:hAnsi="Calibri" w:cs="Calibri"/>
          <w:b/>
          <w:caps/>
          <w:sz w:val="28"/>
          <w:szCs w:val="28"/>
        </w:rPr>
      </w:pPr>
      <w:r w:rsidRPr="008B53A9">
        <w:rPr>
          <w:rFonts w:ascii="Calibri" w:hAnsi="Calibri" w:cs="Calibri"/>
          <w:b/>
          <w:caps/>
          <w:sz w:val="28"/>
          <w:szCs w:val="28"/>
        </w:rPr>
        <w:fldChar w:fldCharType="end"/>
      </w: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BF40D8" w:rsidRPr="008B53A9" w:rsidRDefault="00BF40D8" w:rsidP="00300283">
      <w:pPr>
        <w:overflowPunct/>
        <w:autoSpaceDE/>
        <w:autoSpaceDN/>
        <w:adjustRightInd/>
        <w:spacing w:before="120" w:after="60"/>
        <w:textAlignment w:val="auto"/>
        <w:rPr>
          <w:rFonts w:ascii="Calibri" w:hAnsi="Calibri" w:cs="Calibri"/>
          <w:b/>
          <w:caps/>
          <w:sz w:val="28"/>
          <w:szCs w:val="28"/>
        </w:rPr>
      </w:pPr>
    </w:p>
    <w:p w:rsidR="00BF40D8" w:rsidRPr="008B53A9" w:rsidRDefault="00BF40D8" w:rsidP="00300283">
      <w:pPr>
        <w:overflowPunct/>
        <w:autoSpaceDE/>
        <w:autoSpaceDN/>
        <w:adjustRightInd/>
        <w:spacing w:before="120" w:after="60"/>
        <w:textAlignment w:val="auto"/>
        <w:rPr>
          <w:rFonts w:ascii="Calibri" w:hAnsi="Calibri" w:cs="Calibri"/>
          <w:b/>
          <w:caps/>
          <w:sz w:val="28"/>
          <w:szCs w:val="28"/>
        </w:rPr>
      </w:pPr>
    </w:p>
    <w:p w:rsidR="00BF40D8" w:rsidRPr="008B53A9" w:rsidRDefault="00BF40D8" w:rsidP="00300283">
      <w:pPr>
        <w:overflowPunct/>
        <w:autoSpaceDE/>
        <w:autoSpaceDN/>
        <w:adjustRightInd/>
        <w:spacing w:before="120" w:after="60"/>
        <w:textAlignment w:val="auto"/>
        <w:rPr>
          <w:rFonts w:ascii="Calibri" w:hAnsi="Calibri" w:cs="Calibri"/>
          <w:b/>
          <w:caps/>
          <w:sz w:val="28"/>
          <w:szCs w:val="28"/>
        </w:rPr>
      </w:pPr>
    </w:p>
    <w:p w:rsidR="00BF40D8" w:rsidRPr="008B53A9" w:rsidRDefault="00BF40D8"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704234" w:rsidRPr="008B53A9" w:rsidRDefault="00704234" w:rsidP="00300283">
      <w:pPr>
        <w:overflowPunct/>
        <w:autoSpaceDE/>
        <w:autoSpaceDN/>
        <w:adjustRightInd/>
        <w:spacing w:before="120" w:after="60"/>
        <w:textAlignment w:val="auto"/>
        <w:rPr>
          <w:rFonts w:ascii="Calibri" w:hAnsi="Calibri" w:cs="Calibri"/>
          <w:b/>
          <w:caps/>
          <w:sz w:val="28"/>
          <w:szCs w:val="28"/>
        </w:rPr>
      </w:pPr>
    </w:p>
    <w:p w:rsidR="000C44FC" w:rsidRPr="008B53A9" w:rsidRDefault="00704234">
      <w:pPr>
        <w:overflowPunct/>
        <w:autoSpaceDE/>
        <w:autoSpaceDN/>
        <w:adjustRightInd/>
        <w:textAlignment w:val="auto"/>
        <w:rPr>
          <w:rFonts w:ascii="Calibri" w:hAnsi="Calibri" w:cs="Calibri"/>
          <w:b/>
          <w:sz w:val="24"/>
          <w:szCs w:val="24"/>
        </w:rPr>
      </w:pPr>
      <w:r w:rsidRPr="008B53A9">
        <w:rPr>
          <w:rFonts w:ascii="Calibri" w:hAnsi="Calibri" w:cs="Calibri"/>
          <w:b/>
          <w:sz w:val="24"/>
          <w:szCs w:val="24"/>
        </w:rPr>
        <w:t>Tato verze programového dokumentu OP PIK je zpracována v souladu s</w:t>
      </w:r>
      <w:r w:rsidR="00F31452" w:rsidRPr="008B53A9">
        <w:rPr>
          <w:rFonts w:ascii="Calibri" w:hAnsi="Calibri" w:cs="Calibri"/>
          <w:b/>
          <w:sz w:val="24"/>
          <w:szCs w:val="24"/>
        </w:rPr>
        <w:t> </w:t>
      </w:r>
      <w:r w:rsidRPr="008B53A9">
        <w:rPr>
          <w:rFonts w:ascii="Calibri" w:hAnsi="Calibri" w:cs="Calibri"/>
          <w:b/>
          <w:sz w:val="24"/>
          <w:szCs w:val="24"/>
        </w:rPr>
        <w:t>příloh</w:t>
      </w:r>
      <w:r w:rsidR="00F31452" w:rsidRPr="008B53A9">
        <w:rPr>
          <w:rFonts w:ascii="Calibri" w:hAnsi="Calibri" w:cs="Calibri"/>
          <w:b/>
          <w:sz w:val="24"/>
          <w:szCs w:val="24"/>
        </w:rPr>
        <w:t>ou „</w:t>
      </w:r>
      <w:r w:rsidRPr="008B53A9">
        <w:rPr>
          <w:rFonts w:ascii="Calibri" w:hAnsi="Calibri" w:cs="Calibri"/>
          <w:b/>
          <w:sz w:val="24"/>
          <w:szCs w:val="24"/>
        </w:rPr>
        <w:t>Vzor pro operační programy v rámci cíle Investice pro růst a zaměstnanost“</w:t>
      </w:r>
      <w:r w:rsidR="00F31452" w:rsidRPr="008B53A9">
        <w:rPr>
          <w:rFonts w:ascii="Calibri" w:hAnsi="Calibri" w:cs="Calibri"/>
          <w:b/>
          <w:sz w:val="24"/>
          <w:szCs w:val="24"/>
        </w:rPr>
        <w:t xml:space="preserve"> p</w:t>
      </w:r>
      <w:r w:rsidR="00514AFF" w:rsidRPr="008B53A9">
        <w:rPr>
          <w:rFonts w:ascii="Calibri" w:hAnsi="Calibri" w:cs="Calibri"/>
          <w:b/>
          <w:sz w:val="24"/>
          <w:szCs w:val="24"/>
        </w:rPr>
        <w:t>rováděcí</w:t>
      </w:r>
      <w:r w:rsidR="00F31452" w:rsidRPr="008B53A9">
        <w:rPr>
          <w:rFonts w:ascii="Calibri" w:hAnsi="Calibri" w:cs="Calibri"/>
          <w:b/>
          <w:sz w:val="24"/>
          <w:szCs w:val="24"/>
        </w:rPr>
        <w:t>ho</w:t>
      </w:r>
      <w:r w:rsidR="00514AFF" w:rsidRPr="008B53A9">
        <w:rPr>
          <w:rFonts w:ascii="Calibri" w:hAnsi="Calibri" w:cs="Calibri"/>
          <w:b/>
          <w:sz w:val="24"/>
          <w:szCs w:val="24"/>
        </w:rPr>
        <w:t xml:space="preserve"> nařízení Komise (EU) č. 288/2014 ze dne 25. února 2014</w:t>
      </w:r>
      <w:r w:rsidRPr="008B53A9">
        <w:rPr>
          <w:rFonts w:ascii="Calibri" w:hAnsi="Calibri" w:cs="Calibri"/>
          <w:b/>
          <w:sz w:val="24"/>
          <w:szCs w:val="24"/>
        </w:rPr>
        <w:t>.</w:t>
      </w:r>
      <w:r w:rsidR="00184621" w:rsidRPr="008B53A9">
        <w:rPr>
          <w:rFonts w:ascii="Calibri" w:hAnsi="Calibri" w:cs="Calibri"/>
          <w:b/>
          <w:sz w:val="24"/>
          <w:szCs w:val="24"/>
        </w:rPr>
        <w:t xml:space="preserve"> </w:t>
      </w:r>
      <w:r w:rsidR="000C44FC" w:rsidRPr="008B53A9">
        <w:rPr>
          <w:rFonts w:ascii="Calibri" w:hAnsi="Calibri" w:cs="Calibri"/>
          <w:b/>
          <w:sz w:val="24"/>
          <w:szCs w:val="24"/>
        </w:rPr>
        <w:br w:type="page"/>
      </w:r>
    </w:p>
    <w:p w:rsidR="000C44FC" w:rsidRPr="008B53A9" w:rsidRDefault="000C44FC" w:rsidP="000C44FC">
      <w:pPr>
        <w:overflowPunct/>
        <w:autoSpaceDE/>
        <w:autoSpaceDN/>
        <w:adjustRightInd/>
        <w:spacing w:before="120" w:after="60"/>
        <w:textAlignment w:val="auto"/>
        <w:rPr>
          <w:rFonts w:ascii="Calibri" w:hAnsi="Calibri" w:cs="Calibri"/>
          <w:b/>
          <w:caps/>
          <w:sz w:val="28"/>
          <w:szCs w:val="28"/>
        </w:rPr>
      </w:pPr>
      <w:r w:rsidRPr="008B53A9">
        <w:rPr>
          <w:rFonts w:ascii="Calibri" w:hAnsi="Calibri" w:cs="Calibri"/>
          <w:b/>
          <w:caps/>
          <w:sz w:val="28"/>
          <w:szCs w:val="28"/>
        </w:rPr>
        <w:lastRenderedPageBreak/>
        <w:t xml:space="preserve">Seznam </w:t>
      </w:r>
      <w:r w:rsidR="00536909" w:rsidRPr="008B53A9">
        <w:rPr>
          <w:rFonts w:ascii="Calibri" w:hAnsi="Calibri" w:cs="Calibri"/>
          <w:b/>
          <w:caps/>
          <w:sz w:val="28"/>
          <w:szCs w:val="28"/>
        </w:rPr>
        <w:t xml:space="preserve">použitých </w:t>
      </w:r>
      <w:r w:rsidRPr="008B53A9">
        <w:rPr>
          <w:rFonts w:ascii="Calibri" w:hAnsi="Calibri" w:cs="Calibri"/>
          <w:b/>
          <w:caps/>
          <w:sz w:val="28"/>
          <w:szCs w:val="28"/>
        </w:rPr>
        <w:t>zkratek</w:t>
      </w:r>
    </w:p>
    <w:p w:rsidR="000C44FC" w:rsidRPr="008B53A9" w:rsidRDefault="000C44FC" w:rsidP="000C44FC">
      <w:pPr>
        <w:pStyle w:val="Standardntext"/>
      </w:pPr>
    </w:p>
    <w:tbl>
      <w:tblPr>
        <w:tblW w:w="0" w:type="auto"/>
        <w:tblCellMar>
          <w:left w:w="57" w:type="dxa"/>
          <w:right w:w="57" w:type="dxa"/>
        </w:tblCellMar>
        <w:tblLook w:val="04A0" w:firstRow="1" w:lastRow="0" w:firstColumn="1" w:lastColumn="0" w:noHBand="0" w:noVBand="1"/>
      </w:tblPr>
      <w:tblGrid>
        <w:gridCol w:w="2376"/>
        <w:gridCol w:w="6836"/>
      </w:tblGrid>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CEF</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Nástroj pro propojení Evropy</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CLLD</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Komunitně vedený místní rozvoj</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COSME</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Program pro konkurenceschopnost podniků s důrazem na malé a střední podniky 2014-2020</w:t>
            </w:r>
          </w:p>
        </w:tc>
      </w:tr>
      <w:tr w:rsidR="009E6C87" w:rsidRPr="008B53A9">
        <w:tc>
          <w:tcPr>
            <w:tcW w:w="2376" w:type="dxa"/>
            <w:shd w:val="clear" w:color="auto" w:fill="auto"/>
          </w:tcPr>
          <w:p w:rsidR="009E6C87" w:rsidRPr="008B53A9" w:rsidRDefault="009E6C87" w:rsidP="00142A82">
            <w:pPr>
              <w:pStyle w:val="Tabulka"/>
              <w:jc w:val="left"/>
              <w:rPr>
                <w:rFonts w:cs="Calibri"/>
                <w:lang w:val="cs-CZ" w:eastAsia="cs-CZ"/>
              </w:rPr>
            </w:pPr>
            <w:r w:rsidRPr="008B53A9">
              <w:rPr>
                <w:rFonts w:cs="Calibri"/>
                <w:lang w:val="cs-CZ" w:eastAsia="cs-CZ"/>
              </w:rPr>
              <w:t>CSS</w:t>
            </w:r>
          </w:p>
        </w:tc>
        <w:tc>
          <w:tcPr>
            <w:tcW w:w="6836" w:type="dxa"/>
            <w:shd w:val="clear" w:color="auto" w:fill="auto"/>
          </w:tcPr>
          <w:p w:rsidR="009E6C87" w:rsidRPr="008B53A9" w:rsidRDefault="009E6C87" w:rsidP="00142A82">
            <w:pPr>
              <w:pStyle w:val="Tabulka"/>
              <w:jc w:val="left"/>
              <w:rPr>
                <w:rFonts w:cs="Calibri"/>
                <w:lang w:val="cs-CZ" w:eastAsia="cs-CZ"/>
              </w:rPr>
            </w:pPr>
            <w:r w:rsidRPr="008B53A9">
              <w:rPr>
                <w:rFonts w:cs="Calibri"/>
                <w:lang w:val="cs-CZ" w:eastAsia="cs-CZ"/>
              </w:rPr>
              <w:t>Centrum sdílených služeb</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ČMZRB</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Českomoravská záruční a rozvojové banka, a.s.</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ČSÚ</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Český statistický úřad</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ČTÚ</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Český telekomunikační úřad</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 xml:space="preserve">DG ENERGY </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Style w:val="st1"/>
                <w:szCs w:val="24"/>
                <w:lang w:val="cs-CZ" w:eastAsia="cs-CZ"/>
              </w:rPr>
              <w:t>Generální ředitelství EK pro energetiku</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DG REGIO</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Style w:val="st1"/>
                <w:szCs w:val="24"/>
                <w:lang w:val="cs-CZ" w:eastAsia="cs-CZ"/>
              </w:rPr>
              <w:t>Generální ředitelství EK pro regionální politiku</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DG RESEARCH</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Style w:val="st1"/>
                <w:szCs w:val="24"/>
                <w:lang w:val="cs-CZ" w:eastAsia="cs-CZ"/>
              </w:rPr>
              <w:t>Generální ředitelství EK pro výzkum</w:t>
            </w:r>
          </w:p>
        </w:tc>
      </w:tr>
      <w:tr w:rsidR="00253374" w:rsidRPr="008B53A9">
        <w:tc>
          <w:tcPr>
            <w:tcW w:w="2376" w:type="dxa"/>
            <w:shd w:val="clear" w:color="auto" w:fill="auto"/>
          </w:tcPr>
          <w:p w:rsidR="00253374" w:rsidRPr="008B53A9" w:rsidRDefault="00253374" w:rsidP="00142A82">
            <w:pPr>
              <w:pStyle w:val="Tabulka"/>
              <w:jc w:val="left"/>
              <w:rPr>
                <w:rFonts w:cs="Calibri"/>
                <w:lang w:val="cs-CZ" w:eastAsia="cs-CZ"/>
              </w:rPr>
            </w:pPr>
            <w:r w:rsidRPr="008B53A9">
              <w:rPr>
                <w:rFonts w:cs="Calibri"/>
                <w:lang w:val="cs-CZ" w:eastAsia="cs-CZ"/>
              </w:rPr>
              <w:t>EaSI</w:t>
            </w:r>
          </w:p>
        </w:tc>
        <w:tc>
          <w:tcPr>
            <w:tcW w:w="6836" w:type="dxa"/>
            <w:shd w:val="clear" w:color="auto" w:fill="auto"/>
          </w:tcPr>
          <w:p w:rsidR="00253374" w:rsidRPr="008B53A9" w:rsidRDefault="00253374" w:rsidP="00142A82">
            <w:pPr>
              <w:pStyle w:val="Tabulka"/>
              <w:jc w:val="left"/>
              <w:rPr>
                <w:rStyle w:val="st1"/>
                <w:szCs w:val="24"/>
                <w:lang w:val="cs-CZ" w:eastAsia="cs-CZ"/>
              </w:rPr>
            </w:pPr>
            <w:r w:rsidRPr="008B53A9">
              <w:rPr>
                <w:rStyle w:val="st1"/>
                <w:szCs w:val="24"/>
                <w:lang w:val="cs-CZ" w:eastAsia="cs-CZ"/>
              </w:rPr>
              <w:t>Program Evropské unie pro zaměstnanost a sociální inovace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EFRR</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Evropský fond pro regionální rozvoj</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EIA</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Posuzování vlivů záměru na životní prostředí</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EK</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Evropská komise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EMFF</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Evropský námořní a rybářské fond</w:t>
            </w:r>
          </w:p>
        </w:tc>
      </w:tr>
      <w:tr w:rsidR="00DA544B" w:rsidRPr="008B53A9">
        <w:tc>
          <w:tcPr>
            <w:tcW w:w="2376" w:type="dxa"/>
            <w:shd w:val="clear" w:color="auto" w:fill="auto"/>
          </w:tcPr>
          <w:p w:rsidR="00DA544B" w:rsidRPr="008B53A9" w:rsidRDefault="00DA544B" w:rsidP="00142A82">
            <w:pPr>
              <w:pStyle w:val="Tabulka"/>
              <w:jc w:val="left"/>
              <w:rPr>
                <w:rFonts w:cs="Calibri"/>
                <w:lang w:val="cs-CZ" w:eastAsia="cs-CZ"/>
              </w:rPr>
            </w:pPr>
            <w:r w:rsidRPr="008B53A9">
              <w:rPr>
                <w:rFonts w:cs="Calibri"/>
                <w:lang w:val="cs-CZ" w:eastAsia="cs-CZ"/>
              </w:rPr>
              <w:t>ERÚ</w:t>
            </w:r>
          </w:p>
        </w:tc>
        <w:tc>
          <w:tcPr>
            <w:tcW w:w="6836" w:type="dxa"/>
            <w:shd w:val="clear" w:color="auto" w:fill="auto"/>
          </w:tcPr>
          <w:p w:rsidR="00DA544B" w:rsidRPr="008B53A9" w:rsidRDefault="00DA544B" w:rsidP="00142A82">
            <w:pPr>
              <w:pStyle w:val="Tabulka"/>
              <w:jc w:val="left"/>
              <w:rPr>
                <w:rFonts w:cs="Calibri"/>
                <w:lang w:val="cs-CZ" w:eastAsia="cs-CZ"/>
              </w:rPr>
            </w:pPr>
            <w:r w:rsidRPr="008B53A9">
              <w:rPr>
                <w:rFonts w:cs="Calibri"/>
                <w:lang w:val="cs-CZ" w:eastAsia="cs-CZ"/>
              </w:rPr>
              <w:t>Energetický regulační úřad</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ESF</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Evropský sociální fond</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ESIF / fondy ESI</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Evropské strukturální a investiční fondy</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EU</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Evropská unie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EZFRV</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Evropský zemědělský fondu pro rozvoj venkova</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FET</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Style w:val="Zvraznn"/>
                <w:b w:val="0"/>
                <w:szCs w:val="24"/>
                <w:lang w:val="cs-CZ" w:eastAsia="cs-CZ"/>
              </w:rPr>
              <w:t>Budoucí</w:t>
            </w:r>
            <w:r w:rsidRPr="008B53A9">
              <w:rPr>
                <w:rStyle w:val="st1"/>
                <w:szCs w:val="24"/>
                <w:lang w:val="cs-CZ" w:eastAsia="cs-CZ"/>
              </w:rPr>
              <w:t xml:space="preserve"> a vznikající </w:t>
            </w:r>
            <w:r w:rsidRPr="008B53A9">
              <w:rPr>
                <w:rStyle w:val="Zvraznn"/>
                <w:b w:val="0"/>
                <w:szCs w:val="24"/>
                <w:lang w:val="cs-CZ" w:eastAsia="cs-CZ"/>
              </w:rPr>
              <w:t>technologie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FS</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Fond soudržnosti</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ICT / IKT</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Informační a komunikační technologie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Investiční priorita</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IROP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Integrovaný regionální operační program</w:t>
            </w:r>
          </w:p>
        </w:tc>
      </w:tr>
      <w:tr w:rsidR="00A841AE" w:rsidRPr="008B53A9">
        <w:tc>
          <w:tcPr>
            <w:tcW w:w="2376" w:type="dxa"/>
            <w:shd w:val="clear" w:color="auto" w:fill="auto"/>
          </w:tcPr>
          <w:p w:rsidR="00A841AE" w:rsidRPr="008B53A9" w:rsidRDefault="00A841AE" w:rsidP="00142A82">
            <w:pPr>
              <w:pStyle w:val="Tabulka"/>
              <w:jc w:val="left"/>
              <w:rPr>
                <w:rFonts w:cs="Calibri"/>
                <w:lang w:val="cs-CZ" w:eastAsia="cs-CZ"/>
              </w:rPr>
            </w:pPr>
            <w:r w:rsidRPr="008B53A9">
              <w:rPr>
                <w:rFonts w:cs="Calibri"/>
                <w:lang w:val="cs-CZ" w:eastAsia="cs-CZ"/>
              </w:rPr>
              <w:t>IS</w:t>
            </w:r>
          </w:p>
        </w:tc>
        <w:tc>
          <w:tcPr>
            <w:tcW w:w="6836" w:type="dxa"/>
            <w:shd w:val="clear" w:color="auto" w:fill="auto"/>
          </w:tcPr>
          <w:p w:rsidR="00A841AE" w:rsidRPr="008B53A9" w:rsidRDefault="00A841AE" w:rsidP="00142A82">
            <w:pPr>
              <w:pStyle w:val="Tabulka"/>
              <w:jc w:val="left"/>
              <w:rPr>
                <w:rFonts w:cs="Calibri"/>
                <w:lang w:val="cs-CZ" w:eastAsia="cs-CZ"/>
              </w:rPr>
            </w:pPr>
            <w:r w:rsidRPr="008B53A9">
              <w:rPr>
                <w:rFonts w:cs="Calibri"/>
                <w:lang w:val="cs-CZ" w:eastAsia="cs-CZ"/>
              </w:rPr>
              <w:t>Implementační struktura</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IT</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Informační technologie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ITI</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Integrované územní investice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KETs</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Key Enabling Technologies (klíčové průřezové technologie)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KTP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Knowledge Transfer Partnerships</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KVET</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Kombinovaná výroby elektřiny a tepla</w:t>
            </w:r>
          </w:p>
        </w:tc>
      </w:tr>
      <w:tr w:rsidR="003A7558" w:rsidRPr="008B53A9">
        <w:tc>
          <w:tcPr>
            <w:tcW w:w="2376" w:type="dxa"/>
            <w:shd w:val="clear" w:color="auto" w:fill="auto"/>
          </w:tcPr>
          <w:p w:rsidR="003A7558" w:rsidRPr="008B53A9" w:rsidRDefault="003A7558" w:rsidP="00142A82">
            <w:pPr>
              <w:pStyle w:val="Tabulka"/>
              <w:jc w:val="left"/>
              <w:rPr>
                <w:rFonts w:cs="Calibri"/>
                <w:lang w:val="cs-CZ" w:eastAsia="cs-CZ"/>
              </w:rPr>
            </w:pPr>
            <w:r w:rsidRPr="008B53A9">
              <w:rPr>
                <w:rFonts w:cs="Calibri"/>
                <w:lang w:val="cs-CZ" w:eastAsia="cs-CZ"/>
              </w:rPr>
              <w:t>MAS</w:t>
            </w:r>
          </w:p>
        </w:tc>
        <w:tc>
          <w:tcPr>
            <w:tcW w:w="6836" w:type="dxa"/>
            <w:shd w:val="clear" w:color="auto" w:fill="auto"/>
          </w:tcPr>
          <w:p w:rsidR="003A7558" w:rsidRPr="008B53A9" w:rsidRDefault="003A7558" w:rsidP="00142A82">
            <w:pPr>
              <w:pStyle w:val="Tabulka"/>
              <w:jc w:val="left"/>
              <w:rPr>
                <w:rFonts w:cs="Calibri"/>
                <w:lang w:val="cs-CZ" w:eastAsia="cs-CZ"/>
              </w:rPr>
            </w:pPr>
            <w:r w:rsidRPr="008B53A9">
              <w:rPr>
                <w:rFonts w:cs="Calibri"/>
                <w:lang w:val="cs-CZ" w:eastAsia="cs-CZ"/>
              </w:rPr>
              <w:t>Místní akční skupina</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MD</w:t>
            </w:r>
          </w:p>
        </w:tc>
        <w:tc>
          <w:tcPr>
            <w:tcW w:w="6836" w:type="dxa"/>
            <w:shd w:val="clear" w:color="auto" w:fill="auto"/>
          </w:tcPr>
          <w:p w:rsidR="00F37CF9" w:rsidRPr="008B53A9" w:rsidRDefault="000E47D9" w:rsidP="00142A82">
            <w:pPr>
              <w:pStyle w:val="Tabulka"/>
              <w:jc w:val="left"/>
              <w:rPr>
                <w:rFonts w:cs="Calibri"/>
                <w:lang w:val="cs-CZ" w:eastAsia="cs-CZ"/>
              </w:rPr>
            </w:pPr>
            <w:r w:rsidRPr="008B53A9">
              <w:rPr>
                <w:rFonts w:cs="Calibri"/>
                <w:lang w:val="cs-CZ" w:eastAsia="cs-CZ"/>
              </w:rPr>
              <w:t>Ministerstvo dopravy</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lastRenderedPageBreak/>
              <w:t>MF</w:t>
            </w:r>
          </w:p>
        </w:tc>
        <w:tc>
          <w:tcPr>
            <w:tcW w:w="6836" w:type="dxa"/>
            <w:shd w:val="clear" w:color="auto" w:fill="auto"/>
          </w:tcPr>
          <w:p w:rsidR="00F37CF9" w:rsidRPr="008B53A9" w:rsidRDefault="000E47D9" w:rsidP="00142A82">
            <w:pPr>
              <w:pStyle w:val="Tabulka"/>
              <w:jc w:val="left"/>
              <w:rPr>
                <w:rFonts w:cs="Calibri"/>
                <w:lang w:val="cs-CZ" w:eastAsia="cs-CZ"/>
              </w:rPr>
            </w:pPr>
            <w:r w:rsidRPr="008B53A9">
              <w:rPr>
                <w:rFonts w:cs="Calibri"/>
                <w:lang w:val="cs-CZ" w:eastAsia="cs-CZ"/>
              </w:rPr>
              <w:t>Ministerstvo financí</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MHMP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Magistrát hlavního města Prahy</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MK</w:t>
            </w:r>
          </w:p>
        </w:tc>
        <w:tc>
          <w:tcPr>
            <w:tcW w:w="6836" w:type="dxa"/>
            <w:shd w:val="clear" w:color="auto" w:fill="auto"/>
          </w:tcPr>
          <w:p w:rsidR="00F37CF9" w:rsidRPr="008B53A9" w:rsidRDefault="000E47D9" w:rsidP="00142A82">
            <w:pPr>
              <w:pStyle w:val="Tabulka"/>
              <w:jc w:val="left"/>
              <w:rPr>
                <w:rFonts w:cs="Calibri"/>
                <w:lang w:val="cs-CZ" w:eastAsia="cs-CZ"/>
              </w:rPr>
            </w:pPr>
            <w:r w:rsidRPr="008B53A9">
              <w:rPr>
                <w:rFonts w:cs="Calibri"/>
                <w:lang w:val="cs-CZ" w:eastAsia="cs-CZ"/>
              </w:rPr>
              <w:t>Ministerstvo kultury</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MMR-NOK</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Ministerstvo pro místní rozvoj – Národní orgán pro koordinaci</w:t>
            </w:r>
          </w:p>
        </w:tc>
      </w:tr>
      <w:tr w:rsidR="00A14FE7" w:rsidRPr="008B53A9">
        <w:tc>
          <w:tcPr>
            <w:tcW w:w="2376" w:type="dxa"/>
            <w:shd w:val="clear" w:color="auto" w:fill="auto"/>
          </w:tcPr>
          <w:p w:rsidR="00A14FE7" w:rsidRPr="008B53A9" w:rsidRDefault="00A14FE7" w:rsidP="00A14FE7">
            <w:pPr>
              <w:pStyle w:val="Tabulka"/>
              <w:jc w:val="left"/>
              <w:rPr>
                <w:rFonts w:cs="Calibri"/>
                <w:lang w:val="cs-CZ" w:eastAsia="cs-CZ"/>
              </w:rPr>
            </w:pPr>
            <w:r w:rsidRPr="008B53A9">
              <w:rPr>
                <w:rFonts w:cs="Calibri"/>
                <w:lang w:val="cs-CZ" w:eastAsia="cs-CZ"/>
              </w:rPr>
              <w:t>MMR-OSMS</w:t>
            </w:r>
          </w:p>
        </w:tc>
        <w:tc>
          <w:tcPr>
            <w:tcW w:w="6836" w:type="dxa"/>
            <w:shd w:val="clear" w:color="auto" w:fill="auto"/>
          </w:tcPr>
          <w:p w:rsidR="00A14FE7" w:rsidRPr="008B53A9" w:rsidRDefault="00A14FE7" w:rsidP="00142A82">
            <w:pPr>
              <w:pStyle w:val="Tabulka"/>
              <w:jc w:val="left"/>
              <w:rPr>
                <w:rFonts w:cs="Calibri"/>
                <w:lang w:val="cs-CZ" w:eastAsia="cs-CZ"/>
              </w:rPr>
            </w:pPr>
            <w:r w:rsidRPr="008B53A9">
              <w:rPr>
                <w:rFonts w:cs="Calibri"/>
                <w:lang w:val="cs-CZ" w:eastAsia="cs-CZ"/>
              </w:rPr>
              <w:t>Ministerstvo pro místní rozvoj – odbor správy monitorovacího systému</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Metodický pokyn</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MPO</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Mi</w:t>
            </w:r>
            <w:r w:rsidR="000E47D9" w:rsidRPr="008B53A9">
              <w:rPr>
                <w:rFonts w:cs="Calibri"/>
                <w:lang w:val="cs-CZ" w:eastAsia="cs-CZ"/>
              </w:rPr>
              <w:t>nisterstvo průmyslu a obchodu</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MPSV</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Minis</w:t>
            </w:r>
            <w:r w:rsidR="000E47D9" w:rsidRPr="008B53A9">
              <w:rPr>
                <w:rFonts w:cs="Calibri"/>
                <w:lang w:val="cs-CZ" w:eastAsia="cs-CZ"/>
              </w:rPr>
              <w:t>terstvo práce a sociální věcí</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MS 2014+</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 xml:space="preserve">Jednotný monitorovací systém </w:t>
            </w:r>
            <w:r w:rsidR="00EF3400" w:rsidRPr="008B53A9">
              <w:rPr>
                <w:rFonts w:cs="Calibri"/>
                <w:lang w:val="cs-CZ" w:eastAsia="cs-CZ"/>
              </w:rPr>
              <w:t>pro programovací období 2014 - 2020</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MSP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Malé a střední podniky</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MSp</w:t>
            </w:r>
          </w:p>
        </w:tc>
        <w:tc>
          <w:tcPr>
            <w:tcW w:w="6836" w:type="dxa"/>
            <w:shd w:val="clear" w:color="auto" w:fill="auto"/>
          </w:tcPr>
          <w:p w:rsidR="00F37CF9" w:rsidRPr="008B53A9" w:rsidRDefault="000E47D9" w:rsidP="00142A82">
            <w:pPr>
              <w:pStyle w:val="Tabulka"/>
              <w:jc w:val="left"/>
              <w:rPr>
                <w:rFonts w:cs="Calibri"/>
                <w:lang w:val="cs-CZ" w:eastAsia="cs-CZ"/>
              </w:rPr>
            </w:pPr>
            <w:r w:rsidRPr="008B53A9">
              <w:rPr>
                <w:rFonts w:cs="Calibri"/>
                <w:lang w:val="cs-CZ" w:eastAsia="cs-CZ"/>
              </w:rPr>
              <w:t>Ministerstvo spravedlnosti</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MŠMT</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Ministerstvo školství, ml</w:t>
            </w:r>
            <w:r w:rsidR="000E47D9" w:rsidRPr="008B53A9">
              <w:rPr>
                <w:rFonts w:cs="Calibri"/>
                <w:lang w:val="cs-CZ" w:eastAsia="cs-CZ"/>
              </w:rPr>
              <w:t>ádeže a tělovýchovy</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MV</w:t>
            </w:r>
          </w:p>
        </w:tc>
        <w:tc>
          <w:tcPr>
            <w:tcW w:w="6836" w:type="dxa"/>
            <w:shd w:val="clear" w:color="auto" w:fill="auto"/>
          </w:tcPr>
          <w:p w:rsidR="00F37CF9" w:rsidRPr="008B53A9" w:rsidRDefault="000E47D9" w:rsidP="00142A82">
            <w:pPr>
              <w:pStyle w:val="Tabulka"/>
              <w:jc w:val="left"/>
              <w:rPr>
                <w:rFonts w:cs="Calibri"/>
                <w:lang w:val="cs-CZ" w:eastAsia="cs-CZ"/>
              </w:rPr>
            </w:pPr>
            <w:r w:rsidRPr="008B53A9">
              <w:rPr>
                <w:rFonts w:cs="Calibri"/>
                <w:lang w:val="cs-CZ" w:eastAsia="cs-CZ"/>
              </w:rPr>
              <w:t>Ministerstvo vnitra</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MZe</w:t>
            </w:r>
          </w:p>
        </w:tc>
        <w:tc>
          <w:tcPr>
            <w:tcW w:w="6836" w:type="dxa"/>
            <w:shd w:val="clear" w:color="auto" w:fill="auto"/>
          </w:tcPr>
          <w:p w:rsidR="00F37CF9" w:rsidRPr="008B53A9" w:rsidRDefault="000E47D9" w:rsidP="00142A82">
            <w:pPr>
              <w:pStyle w:val="Tabulka"/>
              <w:jc w:val="left"/>
              <w:rPr>
                <w:rFonts w:cs="Calibri"/>
                <w:lang w:val="cs-CZ" w:eastAsia="cs-CZ"/>
              </w:rPr>
            </w:pPr>
            <w:r w:rsidRPr="008B53A9">
              <w:rPr>
                <w:rFonts w:cs="Calibri"/>
                <w:lang w:val="cs-CZ" w:eastAsia="cs-CZ"/>
              </w:rPr>
              <w:t>Ministerstvo zemědělství</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MŽP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Min</w:t>
            </w:r>
            <w:r w:rsidR="000E47D9" w:rsidRPr="008B53A9">
              <w:rPr>
                <w:rFonts w:cs="Calibri"/>
                <w:lang w:val="cs-CZ" w:eastAsia="cs-CZ"/>
              </w:rPr>
              <w:t>isterstvo životního prostředí</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NAP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Národní akční plán ČR</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NČI 2014+</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 xml:space="preserve">Národní číselník indikátorů </w:t>
            </w:r>
            <w:r w:rsidR="00EF3400" w:rsidRPr="008B53A9">
              <w:rPr>
                <w:rFonts w:cs="Calibri"/>
                <w:lang w:val="cs-CZ" w:eastAsia="cs-CZ"/>
              </w:rPr>
              <w:t xml:space="preserve">pro programovací období </w:t>
            </w:r>
            <w:r w:rsidRPr="008B53A9">
              <w:rPr>
                <w:rFonts w:cs="Calibri"/>
                <w:lang w:val="cs-CZ" w:eastAsia="cs-CZ"/>
              </w:rPr>
              <w:t>2014 - 2020</w:t>
            </w:r>
          </w:p>
        </w:tc>
      </w:tr>
      <w:tr w:rsidR="00AA3134" w:rsidRPr="008B53A9">
        <w:tc>
          <w:tcPr>
            <w:tcW w:w="2376" w:type="dxa"/>
            <w:shd w:val="clear" w:color="auto" w:fill="auto"/>
          </w:tcPr>
          <w:p w:rsidR="00AA3134" w:rsidRPr="008B53A9" w:rsidRDefault="00AA3134" w:rsidP="00142A82">
            <w:pPr>
              <w:pStyle w:val="Tabulka"/>
              <w:jc w:val="left"/>
              <w:rPr>
                <w:rFonts w:cs="Calibri"/>
                <w:lang w:val="cs-CZ" w:eastAsia="cs-CZ"/>
              </w:rPr>
            </w:pPr>
            <w:r w:rsidRPr="008B53A9">
              <w:rPr>
                <w:rFonts w:cs="Calibri"/>
                <w:lang w:val="cs-CZ" w:eastAsia="cs-CZ"/>
              </w:rPr>
              <w:t>NDÚD</w:t>
            </w:r>
          </w:p>
        </w:tc>
        <w:tc>
          <w:tcPr>
            <w:tcW w:w="6836" w:type="dxa"/>
            <w:shd w:val="clear" w:color="auto" w:fill="auto"/>
          </w:tcPr>
          <w:p w:rsidR="00AA3134" w:rsidRPr="008B53A9" w:rsidRDefault="00AA3134" w:rsidP="00142A82">
            <w:pPr>
              <w:pStyle w:val="Tabulka"/>
              <w:jc w:val="left"/>
              <w:rPr>
                <w:rFonts w:cs="Calibri"/>
                <w:lang w:val="cs-CZ" w:eastAsia="cs-CZ"/>
              </w:rPr>
            </w:pPr>
            <w:r w:rsidRPr="008B53A9">
              <w:rPr>
                <w:rFonts w:cs="Calibri"/>
                <w:lang w:val="cs-CZ" w:eastAsia="cs-CZ"/>
              </w:rPr>
              <w:t>Národní dokument k územní dimenzi</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NIS</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Národní inovační strategie ČR</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NNO</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 xml:space="preserve">Nestátní nezisková </w:t>
            </w:r>
            <w:r w:rsidRPr="008B53A9">
              <w:rPr>
                <w:rFonts w:cs="Calibri"/>
                <w:bCs/>
                <w:lang w:val="cs-CZ" w:eastAsia="cs-CZ"/>
              </w:rPr>
              <w:t>organizace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NP VaVaI</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Aktualizace Národní politiky výzkumu, vývoje a inovací České republiky na léta 2009 až 2015 s výhledem do roku 2020</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NPR</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Národní program reforem ČR</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NS MAS</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Národní sítí Místních akčních skupin</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NUTS</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Style w:val="st1"/>
                <w:szCs w:val="24"/>
                <w:lang w:val="cs-CZ" w:eastAsia="cs-CZ"/>
              </w:rPr>
              <w:t>Nomenklatura územních statistických jednotek</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 D</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Operační program Doprava</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 PIK</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Operační program Podnikání a inovace pro konkurenceschopnost 2014 - 2020</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 PPR</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Operační program Praha - pól růstu ČR</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 R</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Operační program Rybářství</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 VVV</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Operační program Výzkum, vývoj a vzdělávání</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 Z</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Operační program Zaměstnanost</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 ŽP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Operační program Životní prostředí</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OPPI</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Operační program Podnikání a inovace 2007-2013</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OSS</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Organizační složky státu</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OSVČ</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Style w:val="st1"/>
                <w:szCs w:val="24"/>
                <w:lang w:val="cs-CZ" w:eastAsia="cs-CZ"/>
              </w:rPr>
              <w:t>Osoba samostatně výdělečně činná</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lastRenderedPageBreak/>
              <w:t>OZE</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Obnovitelné zdroje energie</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PCO</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Platební a certifikační orgán</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PCP</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Pre-commercial public procurement</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PD</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Programový dokument</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PO</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Prioritní osa</w:t>
            </w:r>
          </w:p>
        </w:tc>
      </w:tr>
      <w:tr w:rsidR="00F37CF9" w:rsidRPr="008B53A9">
        <w:tc>
          <w:tcPr>
            <w:tcW w:w="237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PRV</w:t>
            </w:r>
          </w:p>
        </w:tc>
        <w:tc>
          <w:tcPr>
            <w:tcW w:w="6836" w:type="dxa"/>
            <w:shd w:val="clear" w:color="auto" w:fill="auto"/>
          </w:tcPr>
          <w:p w:rsidR="00F37CF9" w:rsidRPr="008B53A9" w:rsidRDefault="00F37CF9" w:rsidP="00142A82">
            <w:pPr>
              <w:pStyle w:val="Tabulka"/>
              <w:jc w:val="left"/>
              <w:rPr>
                <w:rFonts w:cs="Calibri"/>
                <w:lang w:val="cs-CZ" w:eastAsia="cs-CZ"/>
              </w:rPr>
            </w:pPr>
            <w:r w:rsidRPr="008B53A9">
              <w:rPr>
                <w:rFonts w:cs="Calibri"/>
                <w:lang w:val="cs-CZ" w:eastAsia="cs-CZ"/>
              </w:rPr>
              <w:t>Program rozvoje venkova</w:t>
            </w:r>
          </w:p>
        </w:tc>
      </w:tr>
      <w:tr w:rsidR="00F37CF9" w:rsidRPr="008B53A9">
        <w:tc>
          <w:tcPr>
            <w:tcW w:w="2376" w:type="dxa"/>
            <w:shd w:val="clear" w:color="auto" w:fill="auto"/>
          </w:tcPr>
          <w:p w:rsidR="00F37CF9" w:rsidRPr="008B53A9" w:rsidRDefault="00241CA3" w:rsidP="00142A82">
            <w:pPr>
              <w:pStyle w:val="Tabulka"/>
              <w:jc w:val="left"/>
              <w:rPr>
                <w:rFonts w:cs="Calibri"/>
                <w:lang w:val="cs-CZ" w:eastAsia="cs-CZ"/>
              </w:rPr>
            </w:pPr>
            <w:r w:rsidRPr="008B53A9">
              <w:rPr>
                <w:rFonts w:cs="Calibri"/>
                <w:lang w:val="cs-CZ" w:eastAsia="cs-CZ"/>
              </w:rPr>
              <w:t>PS</w:t>
            </w:r>
          </w:p>
        </w:tc>
        <w:tc>
          <w:tcPr>
            <w:tcW w:w="6836" w:type="dxa"/>
            <w:shd w:val="clear" w:color="auto" w:fill="auto"/>
          </w:tcPr>
          <w:p w:rsidR="00F37CF9" w:rsidRPr="008B53A9" w:rsidRDefault="00241CA3" w:rsidP="00142A82">
            <w:pPr>
              <w:pStyle w:val="Tabulka"/>
              <w:jc w:val="left"/>
              <w:rPr>
                <w:rFonts w:cs="Calibri"/>
                <w:lang w:val="cs-CZ" w:eastAsia="cs-CZ"/>
              </w:rPr>
            </w:pPr>
            <w:r w:rsidRPr="008B53A9">
              <w:rPr>
                <w:rFonts w:cs="Calibri"/>
                <w:lang w:val="cs-CZ" w:eastAsia="cs-CZ"/>
              </w:rPr>
              <w:t>Pracovní skupina</w:t>
            </w:r>
          </w:p>
        </w:tc>
      </w:tr>
      <w:tr w:rsidR="00241CA3" w:rsidRPr="008B53A9">
        <w:tc>
          <w:tcPr>
            <w:tcW w:w="2376" w:type="dxa"/>
            <w:shd w:val="clear" w:color="auto" w:fill="auto"/>
          </w:tcPr>
          <w:p w:rsidR="00241CA3" w:rsidRPr="008B53A9" w:rsidRDefault="00092326" w:rsidP="00142A82">
            <w:pPr>
              <w:pStyle w:val="Tabulka"/>
              <w:jc w:val="left"/>
              <w:rPr>
                <w:rFonts w:cs="Calibri"/>
                <w:lang w:val="cs-CZ" w:eastAsia="cs-CZ"/>
              </w:rPr>
            </w:pPr>
            <w:r w:rsidRPr="008B53A9">
              <w:rPr>
                <w:rFonts w:cs="Calibri"/>
                <w:lang w:val="cs-CZ" w:eastAsia="cs-CZ"/>
              </w:rPr>
              <w:t>RIS3</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Strategie inteligentní specializace ČR</w:t>
            </w:r>
          </w:p>
        </w:tc>
      </w:tr>
      <w:tr w:rsidR="00092326" w:rsidRPr="008B53A9">
        <w:tc>
          <w:tcPr>
            <w:tcW w:w="2376" w:type="dxa"/>
            <w:shd w:val="clear" w:color="auto" w:fill="auto"/>
          </w:tcPr>
          <w:p w:rsidR="00092326" w:rsidRPr="008B53A9" w:rsidRDefault="00092326" w:rsidP="00142A82">
            <w:pPr>
              <w:pStyle w:val="Tabulka"/>
              <w:jc w:val="left"/>
              <w:rPr>
                <w:rFonts w:cs="Calibri"/>
                <w:lang w:val="cs-CZ" w:eastAsia="cs-CZ"/>
              </w:rPr>
            </w:pPr>
            <w:r w:rsidRPr="008B53A9">
              <w:rPr>
                <w:rFonts w:cs="Calibri"/>
                <w:lang w:val="cs-CZ" w:eastAsia="cs-CZ"/>
              </w:rPr>
              <w:t>ŘO</w:t>
            </w:r>
          </w:p>
        </w:tc>
        <w:tc>
          <w:tcPr>
            <w:tcW w:w="6836" w:type="dxa"/>
            <w:shd w:val="clear" w:color="auto" w:fill="auto"/>
          </w:tcPr>
          <w:p w:rsidR="00092326" w:rsidRPr="008B53A9" w:rsidRDefault="00092326" w:rsidP="00142A82">
            <w:pPr>
              <w:pStyle w:val="Tabulka"/>
              <w:jc w:val="left"/>
              <w:rPr>
                <w:rFonts w:cs="Calibri"/>
                <w:lang w:val="cs-CZ" w:eastAsia="cs-CZ"/>
              </w:rPr>
            </w:pPr>
            <w:r w:rsidRPr="008B53A9">
              <w:rPr>
                <w:rFonts w:cs="Calibri"/>
                <w:lang w:val="cs-CZ" w:eastAsia="cs-CZ"/>
              </w:rPr>
              <w:t>Řídící orgán</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SBA</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Small Business Act</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SC</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Specifický cíl</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SEA</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Posuzování vlivů koncepce na životní prostředí</w:t>
            </w:r>
          </w:p>
        </w:tc>
      </w:tr>
      <w:tr w:rsidR="00A83DD9" w:rsidRPr="008B53A9">
        <w:tc>
          <w:tcPr>
            <w:tcW w:w="2376" w:type="dxa"/>
            <w:shd w:val="clear" w:color="auto" w:fill="auto"/>
          </w:tcPr>
          <w:p w:rsidR="00A83DD9" w:rsidRPr="008B53A9" w:rsidRDefault="00A83DD9" w:rsidP="00142A82">
            <w:pPr>
              <w:pStyle w:val="Tabulka"/>
              <w:jc w:val="left"/>
              <w:rPr>
                <w:rFonts w:cs="Calibri"/>
                <w:lang w:val="cs-CZ" w:eastAsia="cs-CZ"/>
              </w:rPr>
            </w:pPr>
            <w:r w:rsidRPr="008B53A9">
              <w:rPr>
                <w:rFonts w:cs="Calibri"/>
                <w:lang w:val="cs-CZ" w:eastAsia="cs-CZ"/>
              </w:rPr>
              <w:t>SEI</w:t>
            </w:r>
          </w:p>
        </w:tc>
        <w:tc>
          <w:tcPr>
            <w:tcW w:w="6836" w:type="dxa"/>
            <w:shd w:val="clear" w:color="auto" w:fill="auto"/>
          </w:tcPr>
          <w:p w:rsidR="00A83DD9" w:rsidRPr="008B53A9" w:rsidRDefault="00A83DD9" w:rsidP="00142A82">
            <w:pPr>
              <w:pStyle w:val="Tabulka"/>
              <w:jc w:val="left"/>
              <w:rPr>
                <w:rFonts w:cs="Calibri"/>
                <w:lang w:val="cs-CZ" w:eastAsia="cs-CZ"/>
              </w:rPr>
            </w:pPr>
            <w:r w:rsidRPr="008B53A9">
              <w:rPr>
                <w:rFonts w:cs="Calibri"/>
                <w:lang w:val="cs-CZ" w:eastAsia="cs-CZ"/>
              </w:rPr>
              <w:t>Státní energetická inspekce ČR</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SEK</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Státní energetická koncepce ČR</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SFEU</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Smlouva o fungování EU</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SMK</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Strategie mezinárodní konkurenceschopnosti ČR</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SRR</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Strategie regionálního rozvoje ČR pro období 2014 – 2020</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SRUR</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Strategický rámec udržitelného rozvoje ČR</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SSR</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Společný strategický rámec</w:t>
            </w:r>
          </w:p>
        </w:tc>
      </w:tr>
      <w:tr w:rsidR="0037504E" w:rsidRPr="008B53A9">
        <w:tc>
          <w:tcPr>
            <w:tcW w:w="2376" w:type="dxa"/>
            <w:shd w:val="clear" w:color="auto" w:fill="auto"/>
          </w:tcPr>
          <w:p w:rsidR="0037504E" w:rsidRPr="008B53A9" w:rsidRDefault="0037504E" w:rsidP="00142A82">
            <w:pPr>
              <w:pStyle w:val="Tabulka"/>
              <w:jc w:val="left"/>
              <w:rPr>
                <w:rFonts w:cs="Calibri"/>
                <w:lang w:val="cs-CZ" w:eastAsia="cs-CZ"/>
              </w:rPr>
            </w:pPr>
            <w:r w:rsidRPr="008B53A9">
              <w:rPr>
                <w:rFonts w:cs="Calibri"/>
                <w:lang w:val="cs-CZ" w:eastAsia="cs-CZ"/>
              </w:rPr>
              <w:t>SÚPM-SVČ</w:t>
            </w:r>
          </w:p>
        </w:tc>
        <w:tc>
          <w:tcPr>
            <w:tcW w:w="6836" w:type="dxa"/>
            <w:shd w:val="clear" w:color="auto" w:fill="auto"/>
          </w:tcPr>
          <w:p w:rsidR="0037504E" w:rsidRPr="008B53A9" w:rsidRDefault="0037504E" w:rsidP="00142A82">
            <w:pPr>
              <w:pStyle w:val="Tabulka"/>
              <w:jc w:val="left"/>
              <w:rPr>
                <w:rFonts w:cs="Calibri"/>
                <w:lang w:val="cs-CZ" w:eastAsia="cs-CZ"/>
              </w:rPr>
            </w:pPr>
            <w:r w:rsidRPr="008B53A9">
              <w:rPr>
                <w:rFonts w:cs="Calibri"/>
                <w:lang w:val="cs-CZ" w:eastAsia="cs-CZ"/>
              </w:rPr>
              <w:t>Společensky účelné pracovní místo zřízené uchazečem o zaměstnání za účelem výkonu samostatně výdělečné činnosti</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TA ČR</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Technologická agentura České republiky</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TC</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Tematický cíl</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TC AV</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Technologické centrum Akademie věd ČR</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ÚOHS</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Úřad pro ochranu hospodářské soutěže</w:t>
            </w:r>
          </w:p>
        </w:tc>
      </w:tr>
      <w:tr w:rsidR="00E94BD9" w:rsidRPr="008B53A9">
        <w:tc>
          <w:tcPr>
            <w:tcW w:w="2376" w:type="dxa"/>
            <w:shd w:val="clear" w:color="auto" w:fill="auto"/>
          </w:tcPr>
          <w:p w:rsidR="00E94BD9" w:rsidRPr="008B53A9" w:rsidRDefault="00E94BD9" w:rsidP="00142A82">
            <w:pPr>
              <w:pStyle w:val="Tabulka"/>
              <w:jc w:val="left"/>
              <w:rPr>
                <w:rFonts w:cs="Calibri"/>
                <w:lang w:val="cs-CZ" w:eastAsia="cs-CZ"/>
              </w:rPr>
            </w:pPr>
            <w:r w:rsidRPr="008B53A9">
              <w:rPr>
                <w:rFonts w:cs="Calibri"/>
                <w:lang w:val="cs-CZ" w:eastAsia="cs-CZ"/>
              </w:rPr>
              <w:t>ÚP ČP</w:t>
            </w:r>
          </w:p>
        </w:tc>
        <w:tc>
          <w:tcPr>
            <w:tcW w:w="6836" w:type="dxa"/>
            <w:shd w:val="clear" w:color="auto" w:fill="auto"/>
          </w:tcPr>
          <w:p w:rsidR="00E94BD9" w:rsidRPr="008B53A9" w:rsidRDefault="00E94BD9" w:rsidP="00142A82">
            <w:pPr>
              <w:pStyle w:val="Tabulka"/>
              <w:jc w:val="left"/>
              <w:rPr>
                <w:rFonts w:cs="Calibri"/>
                <w:lang w:val="cs-CZ" w:eastAsia="cs-CZ"/>
              </w:rPr>
            </w:pPr>
            <w:r w:rsidRPr="008B53A9">
              <w:rPr>
                <w:rFonts w:cs="Calibri"/>
                <w:lang w:val="cs-CZ" w:eastAsia="cs-CZ"/>
              </w:rPr>
              <w:t xml:space="preserve">Úřad práce </w:t>
            </w:r>
            <w:r w:rsidR="002D1B8D" w:rsidRPr="008B53A9">
              <w:rPr>
                <w:rFonts w:cs="Calibri"/>
                <w:lang w:val="cs-CZ" w:eastAsia="cs-CZ"/>
              </w:rPr>
              <w:t>Č</w:t>
            </w:r>
            <w:r w:rsidRPr="008B53A9">
              <w:rPr>
                <w:rFonts w:cs="Calibri"/>
                <w:lang w:val="cs-CZ" w:eastAsia="cs-CZ"/>
              </w:rPr>
              <w:t>eské republiky</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UV</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Usnesení vlády ČR</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ÚV</w:t>
            </w:r>
            <w:r w:rsidR="00DC60E3" w:rsidRPr="008B53A9">
              <w:rPr>
                <w:rFonts w:cs="Calibri"/>
                <w:lang w:val="cs-CZ" w:eastAsia="cs-CZ"/>
              </w:rPr>
              <w:t xml:space="preserve"> ČR</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 xml:space="preserve">Úřad vlády </w:t>
            </w:r>
            <w:r w:rsidR="0048329A" w:rsidRPr="008B53A9">
              <w:rPr>
                <w:rFonts w:cs="Calibri"/>
                <w:lang w:val="cs-CZ" w:eastAsia="cs-CZ"/>
              </w:rPr>
              <w:t>Č</w:t>
            </w:r>
            <w:r w:rsidR="00DC60E3" w:rsidRPr="008B53A9">
              <w:rPr>
                <w:rFonts w:cs="Calibri"/>
                <w:lang w:val="cs-CZ" w:eastAsia="cs-CZ"/>
              </w:rPr>
              <w:t>eské republiky</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VaVaI</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Výzkum, vývoj a inovace</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VP</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Veřejná podpora</w:t>
            </w:r>
          </w:p>
        </w:tc>
      </w:tr>
      <w:tr w:rsidR="00414568" w:rsidRPr="008B53A9">
        <w:tc>
          <w:tcPr>
            <w:tcW w:w="2376" w:type="dxa"/>
            <w:shd w:val="clear" w:color="auto" w:fill="auto"/>
          </w:tcPr>
          <w:p w:rsidR="009118D7" w:rsidRPr="008B53A9" w:rsidRDefault="009118D7" w:rsidP="00142A82">
            <w:pPr>
              <w:pStyle w:val="Tabulka"/>
              <w:jc w:val="left"/>
              <w:rPr>
                <w:rFonts w:cs="Calibri"/>
                <w:lang w:val="cs-CZ" w:eastAsia="cs-CZ"/>
              </w:rPr>
            </w:pPr>
            <w:r w:rsidRPr="008B53A9">
              <w:rPr>
                <w:rFonts w:cs="Calibri"/>
                <w:lang w:val="cs-CZ" w:eastAsia="cs-CZ"/>
              </w:rPr>
              <w:t>VŠE</w:t>
            </w:r>
          </w:p>
          <w:p w:rsidR="00414568" w:rsidRPr="008B53A9" w:rsidRDefault="00414568" w:rsidP="00142A82">
            <w:pPr>
              <w:pStyle w:val="Tabulka"/>
              <w:jc w:val="left"/>
              <w:rPr>
                <w:rFonts w:cs="Calibri"/>
                <w:lang w:val="cs-CZ" w:eastAsia="cs-CZ"/>
              </w:rPr>
            </w:pPr>
            <w:r w:rsidRPr="008B53A9">
              <w:rPr>
                <w:rFonts w:cs="Calibri"/>
                <w:lang w:val="cs-CZ" w:eastAsia="cs-CZ"/>
              </w:rPr>
              <w:t>VTP</w:t>
            </w:r>
          </w:p>
        </w:tc>
        <w:tc>
          <w:tcPr>
            <w:tcW w:w="6836" w:type="dxa"/>
            <w:shd w:val="clear" w:color="auto" w:fill="auto"/>
          </w:tcPr>
          <w:p w:rsidR="009118D7" w:rsidRPr="008B53A9" w:rsidRDefault="009118D7" w:rsidP="009118D7">
            <w:pPr>
              <w:pStyle w:val="Tabulka"/>
              <w:tabs>
                <w:tab w:val="left" w:pos="3388"/>
              </w:tabs>
              <w:jc w:val="left"/>
              <w:rPr>
                <w:rFonts w:cs="Calibri"/>
                <w:lang w:val="cs-CZ" w:eastAsia="cs-CZ"/>
              </w:rPr>
            </w:pPr>
            <w:r w:rsidRPr="008B53A9">
              <w:rPr>
                <w:rFonts w:cs="Calibri"/>
                <w:lang w:val="cs-CZ" w:eastAsia="cs-CZ"/>
              </w:rPr>
              <w:t xml:space="preserve">Vysoká škola ekonomická </w:t>
            </w:r>
            <w:r w:rsidR="00120476" w:rsidRPr="008B53A9">
              <w:rPr>
                <w:rFonts w:cs="Calibri"/>
                <w:lang w:val="cs-CZ" w:eastAsia="cs-CZ"/>
              </w:rPr>
              <w:t xml:space="preserve">v </w:t>
            </w:r>
            <w:r w:rsidRPr="008B53A9">
              <w:rPr>
                <w:rFonts w:cs="Calibri"/>
                <w:lang w:val="cs-CZ" w:eastAsia="cs-CZ"/>
              </w:rPr>
              <w:t>Pra</w:t>
            </w:r>
            <w:r w:rsidR="00120476" w:rsidRPr="008B53A9">
              <w:rPr>
                <w:rFonts w:cs="Calibri"/>
                <w:lang w:val="cs-CZ" w:eastAsia="cs-CZ"/>
              </w:rPr>
              <w:t>ze</w:t>
            </w:r>
          </w:p>
          <w:p w:rsidR="00414568" w:rsidRPr="008B53A9" w:rsidRDefault="00414568" w:rsidP="00142A82">
            <w:pPr>
              <w:pStyle w:val="Tabulka"/>
              <w:jc w:val="left"/>
              <w:rPr>
                <w:rFonts w:cs="Calibri"/>
                <w:lang w:val="cs-CZ" w:eastAsia="cs-CZ"/>
              </w:rPr>
            </w:pPr>
            <w:r w:rsidRPr="008B53A9">
              <w:rPr>
                <w:rFonts w:cs="Calibri"/>
                <w:lang w:val="cs-CZ" w:eastAsia="cs-CZ"/>
              </w:rPr>
              <w:t>Vědecko</w:t>
            </w:r>
            <w:r w:rsidR="0038384A" w:rsidRPr="008B53A9">
              <w:rPr>
                <w:rFonts w:cs="Calibri"/>
                <w:lang w:val="cs-CZ" w:eastAsia="cs-CZ"/>
              </w:rPr>
              <w:t>technický</w:t>
            </w:r>
            <w:r w:rsidRPr="008B53A9">
              <w:rPr>
                <w:rFonts w:cs="Calibri"/>
                <w:lang w:val="cs-CZ" w:eastAsia="cs-CZ"/>
              </w:rPr>
              <w:t xml:space="preserve"> park</w:t>
            </w:r>
          </w:p>
        </w:tc>
      </w:tr>
      <w:tr w:rsidR="00241CA3" w:rsidRPr="008B53A9">
        <w:tc>
          <w:tcPr>
            <w:tcW w:w="2376" w:type="dxa"/>
            <w:shd w:val="clear" w:color="auto" w:fill="auto"/>
          </w:tcPr>
          <w:p w:rsidR="00241CA3" w:rsidRPr="008B53A9" w:rsidRDefault="00241CA3" w:rsidP="00142A82">
            <w:pPr>
              <w:pStyle w:val="Tabulka"/>
              <w:jc w:val="left"/>
              <w:rPr>
                <w:rFonts w:cs="Calibri"/>
                <w:lang w:val="cs-CZ" w:eastAsia="cs-CZ"/>
              </w:rPr>
            </w:pPr>
            <w:r w:rsidRPr="008B53A9">
              <w:rPr>
                <w:rFonts w:cs="Calibri"/>
                <w:lang w:val="cs-CZ" w:eastAsia="cs-CZ"/>
              </w:rPr>
              <w:t>VVI</w:t>
            </w:r>
          </w:p>
        </w:tc>
        <w:tc>
          <w:tcPr>
            <w:tcW w:w="6836" w:type="dxa"/>
            <w:shd w:val="clear" w:color="auto" w:fill="auto"/>
          </w:tcPr>
          <w:p w:rsidR="00241CA3" w:rsidRPr="008B53A9" w:rsidRDefault="00241CA3" w:rsidP="00142A82">
            <w:pPr>
              <w:pStyle w:val="Tabulka"/>
              <w:jc w:val="left"/>
              <w:rPr>
                <w:rFonts w:cs="Calibri"/>
                <w:lang w:val="cs-CZ" w:eastAsia="cs-CZ"/>
              </w:rPr>
            </w:pPr>
            <w:r w:rsidRPr="008B53A9">
              <w:rPr>
                <w:rStyle w:val="st1"/>
                <w:szCs w:val="24"/>
                <w:lang w:val="cs-CZ" w:eastAsia="cs-CZ"/>
              </w:rPr>
              <w:t xml:space="preserve">Veřejná výzkumná </w:t>
            </w:r>
            <w:r w:rsidRPr="008B53A9">
              <w:rPr>
                <w:rStyle w:val="Zvraznn"/>
                <w:b w:val="0"/>
                <w:szCs w:val="24"/>
                <w:lang w:val="cs-CZ" w:eastAsia="cs-CZ"/>
              </w:rPr>
              <w:t>instituce</w:t>
            </w:r>
          </w:p>
        </w:tc>
      </w:tr>
      <w:tr w:rsidR="0046425C" w:rsidRPr="008B53A9">
        <w:tc>
          <w:tcPr>
            <w:tcW w:w="2376" w:type="dxa"/>
            <w:shd w:val="clear" w:color="auto" w:fill="auto"/>
          </w:tcPr>
          <w:p w:rsidR="0046425C" w:rsidRPr="008B53A9" w:rsidRDefault="0046425C" w:rsidP="00142A82">
            <w:pPr>
              <w:pStyle w:val="Tabulka"/>
              <w:jc w:val="left"/>
              <w:rPr>
                <w:rFonts w:cs="Calibri"/>
                <w:lang w:val="cs-CZ" w:eastAsia="cs-CZ"/>
              </w:rPr>
            </w:pPr>
            <w:r w:rsidRPr="008B53A9">
              <w:rPr>
                <w:rFonts w:cs="Calibri"/>
                <w:lang w:val="cs-CZ" w:eastAsia="cs-CZ"/>
              </w:rPr>
              <w:t>ZS</w:t>
            </w:r>
          </w:p>
        </w:tc>
        <w:tc>
          <w:tcPr>
            <w:tcW w:w="6836" w:type="dxa"/>
            <w:shd w:val="clear" w:color="auto" w:fill="auto"/>
          </w:tcPr>
          <w:p w:rsidR="0046425C" w:rsidRPr="008B53A9" w:rsidRDefault="0046425C" w:rsidP="00142A82">
            <w:pPr>
              <w:pStyle w:val="Tabulka"/>
              <w:jc w:val="left"/>
              <w:rPr>
                <w:rStyle w:val="st1"/>
                <w:szCs w:val="24"/>
                <w:lang w:val="cs-CZ" w:eastAsia="cs-CZ"/>
              </w:rPr>
            </w:pPr>
            <w:r w:rsidRPr="008B53A9">
              <w:rPr>
                <w:rStyle w:val="st1"/>
                <w:szCs w:val="24"/>
                <w:lang w:val="cs-CZ" w:eastAsia="cs-CZ"/>
              </w:rPr>
              <w:t>Zprostředkující subjekt</w:t>
            </w:r>
          </w:p>
        </w:tc>
      </w:tr>
    </w:tbl>
    <w:p w:rsidR="000C44FC" w:rsidRPr="008B53A9" w:rsidRDefault="000C44FC" w:rsidP="000C44FC">
      <w:pPr>
        <w:pStyle w:val="Standardntext"/>
      </w:pPr>
    </w:p>
    <w:p w:rsidR="00D44AFC" w:rsidRPr="008B53A9" w:rsidRDefault="00D44AFC" w:rsidP="00D44AFC">
      <w:pPr>
        <w:rPr>
          <w:rFonts w:ascii="Calibri" w:hAnsi="Calibri" w:cs="Calibri"/>
        </w:rPr>
      </w:pPr>
      <w:r w:rsidRPr="008B53A9">
        <w:rPr>
          <w:rFonts w:ascii="Calibri" w:hAnsi="Calibri" w:cs="Calibri"/>
        </w:rPr>
        <w:br w:type="page"/>
      </w:r>
    </w:p>
    <w:p w:rsidR="0029795B" w:rsidRPr="008B53A9" w:rsidRDefault="00F203B2" w:rsidP="00F203B2">
      <w:pPr>
        <w:pStyle w:val="Nadpis1"/>
      </w:pPr>
      <w:bookmarkStart w:id="1" w:name="_Toc391539593"/>
      <w:r w:rsidRPr="008B53A9">
        <w:lastRenderedPageBreak/>
        <w:t>Strategie, na jejímž základě bude operační program přispívat ke strategii Unie pro inteligentní a udržitelný růst podporující začlenění a k dosažení hospodářské, sociální a územní soudržnosti</w:t>
      </w:r>
      <w:bookmarkEnd w:id="1"/>
    </w:p>
    <w:p w:rsidR="00394685" w:rsidRPr="008B53A9" w:rsidRDefault="00F203B2" w:rsidP="00F203B2">
      <w:pPr>
        <w:pStyle w:val="Nadpis2"/>
        <w:rPr>
          <w:rFonts w:cs="Calibri"/>
        </w:rPr>
      </w:pPr>
      <w:bookmarkStart w:id="2" w:name="_Toc391539594"/>
      <w:r w:rsidRPr="008B53A9">
        <w:rPr>
          <w:rFonts w:cs="Calibri"/>
        </w:rPr>
        <w:t>Strategie, na jejímž základě bude operační program přispívat ke strategii Unie pro inteligentní a udržitelný růst podporující začlenění a k dosažení hospodářské, sociální a územní soudržnosti</w:t>
      </w:r>
      <w:bookmarkEnd w:id="2"/>
      <w:r w:rsidR="00394685" w:rsidRPr="008B53A9">
        <w:rPr>
          <w:rFonts w:cs="Calibri"/>
        </w:rPr>
        <w:t xml:space="preserve"> </w:t>
      </w:r>
    </w:p>
    <w:p w:rsidR="00606523" w:rsidRPr="008B53A9" w:rsidRDefault="00606523" w:rsidP="00405487">
      <w:pPr>
        <w:pStyle w:val="Nadpis3"/>
        <w:rPr>
          <w:rFonts w:cs="Calibri"/>
        </w:rPr>
      </w:pPr>
      <w:bookmarkStart w:id="3" w:name="_Toc391539595"/>
      <w:r w:rsidRPr="008B53A9">
        <w:rPr>
          <w:rFonts w:cs="Calibri"/>
        </w:rPr>
        <w:t>Popis strategie programu, pokud jde o jeho příspěvek k plnění strategie Unie pro inteligentní a udržitelný růst podporující začlenění a k dosažení hospodářské, sociální a územní soudržnosti.</w:t>
      </w:r>
      <w:bookmarkEnd w:id="3"/>
    </w:p>
    <w:p w:rsidR="00A71047" w:rsidRPr="008B53A9" w:rsidRDefault="00C467C3" w:rsidP="00405487">
      <w:pPr>
        <w:pStyle w:val="Standardntext"/>
      </w:pPr>
      <w:r w:rsidRPr="008B53A9">
        <w:rPr>
          <w:b/>
        </w:rPr>
        <w:t>Operační program Podnikání a inovace pro konkurenceschopnost</w:t>
      </w:r>
      <w:r w:rsidR="000979A5" w:rsidRPr="008B53A9">
        <w:rPr>
          <w:b/>
        </w:rPr>
        <w:t xml:space="preserve"> 2014 - 2020</w:t>
      </w:r>
      <w:r w:rsidRPr="008B53A9">
        <w:t xml:space="preserve"> (dále také </w:t>
      </w:r>
      <w:r w:rsidR="00AE6F01" w:rsidRPr="008B53A9">
        <w:t>„Operační program“</w:t>
      </w:r>
      <w:r w:rsidR="003929E7" w:rsidRPr="008B53A9">
        <w:t xml:space="preserve"> nebo „OP PIK“</w:t>
      </w:r>
      <w:r w:rsidRPr="008B53A9">
        <w:t xml:space="preserve">) je dokument vypracovaný </w:t>
      </w:r>
      <w:r w:rsidR="00C70ED3" w:rsidRPr="008B53A9">
        <w:t xml:space="preserve">Řídícím orgánem OP PIK </w:t>
      </w:r>
      <w:r w:rsidR="00A71047" w:rsidRPr="008B53A9">
        <w:t xml:space="preserve">(Ministerstvem průmyslu a obchodu, MPO) </w:t>
      </w:r>
      <w:r w:rsidR="00C70ED3" w:rsidRPr="008B53A9">
        <w:t>ve spolupráci s partnery</w:t>
      </w:r>
      <w:r w:rsidRPr="008B53A9">
        <w:t>, který stanov</w:t>
      </w:r>
      <w:r w:rsidR="001E12B2" w:rsidRPr="008B53A9">
        <w:t>uje</w:t>
      </w:r>
      <w:r w:rsidRPr="008B53A9">
        <w:t xml:space="preserve"> cíle </w:t>
      </w:r>
      <w:r w:rsidR="00C24653" w:rsidRPr="008B53A9">
        <w:t xml:space="preserve">a priority pro efektivní využívání </w:t>
      </w:r>
      <w:r w:rsidR="00C70ED3" w:rsidRPr="008B53A9">
        <w:t>Evropského fondu pro regionální rozvoj</w:t>
      </w:r>
      <w:r w:rsidR="00C24653" w:rsidRPr="008B53A9">
        <w:t xml:space="preserve"> (dále také „</w:t>
      </w:r>
      <w:r w:rsidR="00C70ED3" w:rsidRPr="008B53A9">
        <w:t>EFRR</w:t>
      </w:r>
      <w:r w:rsidR="00C24653" w:rsidRPr="008B53A9">
        <w:t>“) za účelem dosažení konkurenceschopné a udržitelné ekonomiky založené na znalostech a inovacích. OP PIK je realizován v rámci cíle Investice pro růst a zaměstnanost spadající</w:t>
      </w:r>
      <w:r w:rsidR="003929E7" w:rsidRPr="008B53A9">
        <w:t>ho</w:t>
      </w:r>
      <w:r w:rsidR="00C24653" w:rsidRPr="008B53A9">
        <w:t xml:space="preserve"> pod politiku soudržnosti EU</w:t>
      </w:r>
      <w:r w:rsidR="00C70ED3" w:rsidRPr="008B53A9">
        <w:t>.</w:t>
      </w:r>
      <w:r w:rsidR="00AE6F01" w:rsidRPr="008B53A9">
        <w:t xml:space="preserve"> Operační program byl zpracován v souladu s čl. 2</w:t>
      </w:r>
      <w:r w:rsidR="00F3192F" w:rsidRPr="008B53A9">
        <w:t>7</w:t>
      </w:r>
      <w:r w:rsidR="00AE6F01" w:rsidRPr="008B53A9">
        <w:t xml:space="preserve"> </w:t>
      </w:r>
      <w:r w:rsidR="000D4E8C" w:rsidRPr="008B53A9">
        <w:t>obecného nařízení</w:t>
      </w:r>
      <w:r w:rsidR="000D4E8C" w:rsidRPr="008B53A9">
        <w:rPr>
          <w:rStyle w:val="Znakapoznpodarou"/>
        </w:rPr>
        <w:footnoteReference w:id="2"/>
      </w:r>
      <w:r w:rsidR="000D4E8C" w:rsidRPr="008B53A9">
        <w:t>, který stanovuje jeho obsah, a zároveň v souladu s</w:t>
      </w:r>
      <w:r w:rsidR="006C2664" w:rsidRPr="008B53A9">
        <w:t>e</w:t>
      </w:r>
      <w:r w:rsidR="000D4E8C" w:rsidRPr="008B53A9">
        <w:t> šablon</w:t>
      </w:r>
      <w:r w:rsidR="000C5A23" w:rsidRPr="008B53A9">
        <w:t>ami</w:t>
      </w:r>
      <w:r w:rsidR="000D4E8C" w:rsidRPr="008B53A9">
        <w:t xml:space="preserve"> Evropské komise</w:t>
      </w:r>
      <w:r w:rsidR="00AC4DAC" w:rsidRPr="008B53A9">
        <w:t xml:space="preserve"> (dále také „Komise“ nebo „EK“)</w:t>
      </w:r>
      <w:r w:rsidR="000D4E8C" w:rsidRPr="008B53A9">
        <w:rPr>
          <w:rStyle w:val="Znakapoznpodarou"/>
        </w:rPr>
        <w:footnoteReference w:id="3"/>
      </w:r>
      <w:r w:rsidR="00A71047" w:rsidRPr="008B53A9">
        <w:t xml:space="preserve">. V rámci cíle Investice pro růst a zaměstnanost bude OP PIK svou realizací přispívat k naplňování tematických cílů 1 až 4 </w:t>
      </w:r>
      <w:r w:rsidR="00F053F5" w:rsidRPr="008B53A9">
        <w:t xml:space="preserve">a tematického cíle 7 </w:t>
      </w:r>
      <w:r w:rsidR="00A71047" w:rsidRPr="008B53A9">
        <w:t xml:space="preserve">definovaných v čl. 9 návrhu obecného nařízení. </w:t>
      </w:r>
    </w:p>
    <w:p w:rsidR="006C2664" w:rsidRPr="008B53A9" w:rsidRDefault="00BD6D31" w:rsidP="00405487">
      <w:pPr>
        <w:pStyle w:val="Standardntext"/>
      </w:pPr>
      <w:r w:rsidRPr="008B53A9">
        <w:t xml:space="preserve">Operační program stanovuje strategii, na základě které bude přispívat ke </w:t>
      </w:r>
      <w:r w:rsidR="007A0BCD" w:rsidRPr="008B53A9">
        <w:t>S</w:t>
      </w:r>
      <w:r w:rsidRPr="008B53A9">
        <w:t>trategii Unie pro inteligentní a udržitelný růst podporující začlenění</w:t>
      </w:r>
      <w:r w:rsidR="007A0BCD" w:rsidRPr="008B53A9">
        <w:t xml:space="preserve"> </w:t>
      </w:r>
      <w:r w:rsidR="007A0BCD" w:rsidRPr="008B53A9">
        <w:rPr>
          <w:bCs/>
        </w:rPr>
        <w:t>(dále také „</w:t>
      </w:r>
      <w:r w:rsidR="007A0BCD" w:rsidRPr="008B53A9">
        <w:t>Strategie Evropa 2020“</w:t>
      </w:r>
      <w:r w:rsidR="00DF4F92" w:rsidRPr="008B53A9">
        <w:t xml:space="preserve"> nebo „EU 2020“</w:t>
      </w:r>
      <w:r w:rsidR="007A0BCD" w:rsidRPr="008B53A9">
        <w:t>)</w:t>
      </w:r>
      <w:r w:rsidR="007A0BCD" w:rsidRPr="008B53A9">
        <w:rPr>
          <w:rStyle w:val="Znakapoznpodarou"/>
        </w:rPr>
        <w:footnoteReference w:id="4"/>
      </w:r>
      <w:r w:rsidRPr="008B53A9">
        <w:t>, a která je v souladu s ustanoveními obsaženými v obecné</w:t>
      </w:r>
      <w:r w:rsidR="00A30521" w:rsidRPr="008B53A9">
        <w:t>m</w:t>
      </w:r>
      <w:r w:rsidRPr="008B53A9">
        <w:t xml:space="preserve"> nařízení</w:t>
      </w:r>
      <w:r w:rsidR="00A30521" w:rsidRPr="008B53A9">
        <w:t xml:space="preserve"> a</w:t>
      </w:r>
      <w:r w:rsidRPr="008B53A9">
        <w:t xml:space="preserve"> </w:t>
      </w:r>
      <w:r w:rsidR="00A30521" w:rsidRPr="008B53A9">
        <w:t xml:space="preserve">nařízení </w:t>
      </w:r>
      <w:r w:rsidR="00BF360E" w:rsidRPr="008B53A9">
        <w:t>o</w:t>
      </w:r>
      <w:r w:rsidR="00A30521" w:rsidRPr="008B53A9">
        <w:t xml:space="preserve"> EFRR</w:t>
      </w:r>
      <w:r w:rsidRPr="008B53A9">
        <w:rPr>
          <w:rStyle w:val="Znakapoznpodarou"/>
        </w:rPr>
        <w:footnoteReference w:id="5"/>
      </w:r>
      <w:r w:rsidRPr="008B53A9">
        <w:t xml:space="preserve"> a s obsahem Dohody o partnerství pro programové období 2014-2020</w:t>
      </w:r>
      <w:r w:rsidR="00B1783A" w:rsidRPr="008B53A9">
        <w:t xml:space="preserve"> (dále také „Dohoda o partnerství“ nebo „Dohoda“)</w:t>
      </w:r>
      <w:r w:rsidRPr="008B53A9">
        <w:t>.</w:t>
      </w:r>
    </w:p>
    <w:p w:rsidR="009759AE" w:rsidRPr="008B53A9" w:rsidRDefault="009A7F3F" w:rsidP="00802850">
      <w:pPr>
        <w:pStyle w:val="Standardntext"/>
      </w:pPr>
      <w:r w:rsidRPr="008B53A9">
        <w:t xml:space="preserve">Strategie Operačního programu je založena na dvou základních pilířích, které se vzájemně protínají. Jedním jsou </w:t>
      </w:r>
      <w:r w:rsidR="00B1783A" w:rsidRPr="008B53A9">
        <w:t xml:space="preserve">společné </w:t>
      </w:r>
      <w:r w:rsidRPr="008B53A9">
        <w:t xml:space="preserve">myšlenky a cíle </w:t>
      </w:r>
      <w:r w:rsidR="00EE3244" w:rsidRPr="008B53A9">
        <w:t xml:space="preserve">vtělené do Strategie Evropa 2020 a druhým jsou </w:t>
      </w:r>
      <w:r w:rsidRPr="008B53A9">
        <w:t>priorit</w:t>
      </w:r>
      <w:r w:rsidR="00EE3244" w:rsidRPr="008B53A9">
        <w:t>y</w:t>
      </w:r>
      <w:r w:rsidRPr="008B53A9">
        <w:t xml:space="preserve"> a potřeb</w:t>
      </w:r>
      <w:r w:rsidR="00EE3244" w:rsidRPr="008B53A9">
        <w:t>y</w:t>
      </w:r>
      <w:r w:rsidRPr="008B53A9">
        <w:t xml:space="preserve"> České republiky identifikovan</w:t>
      </w:r>
      <w:r w:rsidR="00EE3244" w:rsidRPr="008B53A9">
        <w:t>é</w:t>
      </w:r>
      <w:r w:rsidRPr="008B53A9">
        <w:t xml:space="preserve"> ve stěžejních strategických dokumentech jak na národní, tak evropské úrovni. </w:t>
      </w:r>
      <w:r w:rsidR="00AC4DAC" w:rsidRPr="008B53A9">
        <w:t xml:space="preserve">Důraz na vazbu na Strategii Evropa 2020 je z hlediska evropské legislativy uplatněn prostřednictvím principu tematické koncentrace. Ten má odraz </w:t>
      </w:r>
      <w:r w:rsidR="00AC4DAC" w:rsidRPr="008B53A9">
        <w:lastRenderedPageBreak/>
        <w:t>v podobě tematických cílů a investičních priorit, z nichž vychází jak Dohoda o partnerství, tak jednotlivé programy, včetně OP PIK. Stanovisko k výzvám a prioritám financování v ČR pro programovací období 2014-2020 je ze strany Evropské komise vyjádřeno v</w:t>
      </w:r>
      <w:r w:rsidR="00A71047" w:rsidRPr="008B53A9">
        <w:t xml:space="preserve"> tzv. </w:t>
      </w:r>
      <w:r w:rsidR="00AC4DAC" w:rsidRPr="008B53A9">
        <w:t>Pozičním dokumentu</w:t>
      </w:r>
      <w:r w:rsidR="00A71047" w:rsidRPr="008B53A9">
        <w:rPr>
          <w:rStyle w:val="Znakapoznpodarou"/>
        </w:rPr>
        <w:footnoteReference w:id="6"/>
      </w:r>
      <w:r w:rsidR="00AC4DAC" w:rsidRPr="008B53A9">
        <w:t>. Při zpracování Dohody o partnerství a programů, včetně OP PIK, byla rovněž respektována specifická Doporučení Rady Evropské unie, která vychází z pravidelného vyhodnocování plnění Národního programu reforem ČR. Vazby Operačního programu na tyto a další</w:t>
      </w:r>
      <w:r w:rsidR="009759AE" w:rsidRPr="008B53A9">
        <w:t xml:space="preserve"> průřezové či sektorové strategie</w:t>
      </w:r>
      <w:r w:rsidR="00AC4DAC" w:rsidRPr="008B53A9">
        <w:t xml:space="preserve"> jsou uvedeny </w:t>
      </w:r>
      <w:r w:rsidR="00F41111" w:rsidRPr="008B53A9">
        <w:t>níže</w:t>
      </w:r>
      <w:r w:rsidRPr="008B53A9">
        <w:t xml:space="preserve">. </w:t>
      </w:r>
      <w:r w:rsidR="009759AE" w:rsidRPr="008B53A9">
        <w:t>Katalyzátorem všech těchto strategických dokumentů je potom Dohoda o partnerství, která představuje analytickou a ideovou základnu Operačního programu.</w:t>
      </w:r>
    </w:p>
    <w:p w:rsidR="000C1224" w:rsidRPr="008B53A9" w:rsidRDefault="009A7F3F" w:rsidP="009A7F3F">
      <w:pPr>
        <w:pStyle w:val="Standardntext"/>
      </w:pPr>
      <w:r w:rsidRPr="008B53A9">
        <w:t>Při stanovování strategie OP PIK byly rovněž zohledněny zkušenosti s přípravou a implementací operačních programů dvou předchozích programových období, kterými byly OP Průmysl a podnikání 2004-2006 a OP Podnikání a inovace 2007-</w:t>
      </w:r>
      <w:r w:rsidR="00B1783A" w:rsidRPr="008B53A9">
        <w:t>2013</w:t>
      </w:r>
      <w:r w:rsidR="00F734D1" w:rsidRPr="008B53A9">
        <w:rPr>
          <w:rStyle w:val="Znakapoznpodarou"/>
        </w:rPr>
        <w:footnoteReference w:id="7"/>
      </w:r>
      <w:r w:rsidR="00B1783A" w:rsidRPr="008B53A9">
        <w:t>.</w:t>
      </w:r>
      <w:r w:rsidR="00F734D1" w:rsidRPr="008B53A9">
        <w:t xml:space="preserve"> </w:t>
      </w:r>
      <w:r w:rsidR="00B1783A" w:rsidRPr="008B53A9">
        <w:t>Velice důležitý</w:t>
      </w:r>
      <w:r w:rsidRPr="008B53A9">
        <w:t xml:space="preserve"> prv</w:t>
      </w:r>
      <w:r w:rsidR="00B1783A" w:rsidRPr="008B53A9">
        <w:t>ek představovaly</w:t>
      </w:r>
      <w:r w:rsidRPr="008B53A9">
        <w:t xml:space="preserve"> také četné diskuse s partnery, kteří se v rámci principu partnerství podíleli na přípravě Operačního programu.</w:t>
      </w:r>
    </w:p>
    <w:p w:rsidR="000C1224" w:rsidRPr="008B53A9" w:rsidRDefault="000C1224" w:rsidP="009A7F3F">
      <w:pPr>
        <w:pStyle w:val="Standardntext"/>
      </w:pPr>
      <w:r w:rsidRPr="008B53A9">
        <w:t xml:space="preserve">Vysokou přidanou hodnotu z hlediska kvality programování přineslo ex-ante (předběžné) hodnocení OP PIK, v rámci něhož byly posuzovány především identifikované potřeby, navržená strategie a cíle Operačního programu, míra zohlednění priorit Evropské unie, systém přidělování a využití rozpočtových zdrojů Operačního programu, kvalita navržených postupů pro implementaci, monitorování, hodnocení a řízení Operačního programu </w:t>
      </w:r>
      <w:r w:rsidR="004A3ABC" w:rsidRPr="008B53A9">
        <w:t>či</w:t>
      </w:r>
      <w:r w:rsidRPr="008B53A9">
        <w:t xml:space="preserve"> </w:t>
      </w:r>
      <w:r w:rsidR="004A3ABC" w:rsidRPr="008B53A9">
        <w:t>s</w:t>
      </w:r>
      <w:r w:rsidRPr="008B53A9">
        <w:t>ynergické efekty jednotlivých specifických cílů</w:t>
      </w:r>
      <w:r w:rsidR="004A3ABC" w:rsidRPr="008B53A9">
        <w:t xml:space="preserve"> OP PIK</w:t>
      </w:r>
      <w:r w:rsidR="00F31452" w:rsidRPr="008B53A9">
        <w:t xml:space="preserve"> v souladu s čl. 55 bodem 3 obecného nařízení. </w:t>
      </w:r>
      <w:r w:rsidR="002D1A9A" w:rsidRPr="008B53A9">
        <w:t>Zpráva o ex-ante hodnocení a jeho shrnutí</w:t>
      </w:r>
      <w:r w:rsidR="00F053F5" w:rsidRPr="008B53A9">
        <w:rPr>
          <w:rStyle w:val="Znakapoznpodarou"/>
        </w:rPr>
        <w:footnoteReference w:id="8"/>
      </w:r>
      <w:r w:rsidR="002D1A9A" w:rsidRPr="008B53A9">
        <w:t>, které je povinnou přílohou Operačního programu, je obsaženo v</w:t>
      </w:r>
      <w:r w:rsidR="00BD3D1A" w:rsidRPr="008B53A9">
        <w:t> Příloze č. I</w:t>
      </w:r>
      <w:r w:rsidR="004A3ABC" w:rsidRPr="008B53A9">
        <w:t>.</w:t>
      </w:r>
    </w:p>
    <w:p w:rsidR="003E654D" w:rsidRPr="008B53A9" w:rsidRDefault="003E654D" w:rsidP="001F7CAF">
      <w:pPr>
        <w:pStyle w:val="ClOP"/>
      </w:pPr>
      <w:r w:rsidRPr="008B53A9">
        <w:t>Cílem Operačního programu Podnikání a inovace pro konkurenceschopnost 2014 - 2020 je dosažení konkurenceschopné a udržitelné ekonomiky založené na znalostech a inovacích.</w:t>
      </w:r>
    </w:p>
    <w:p w:rsidR="00E2669C" w:rsidRPr="008B53A9" w:rsidRDefault="00BD427D" w:rsidP="00D20E3C">
      <w:pPr>
        <w:pStyle w:val="Standardntext"/>
        <w:rPr>
          <w:b/>
        </w:rPr>
      </w:pPr>
      <w:r w:rsidRPr="008B53A9">
        <w:t xml:space="preserve">Pojem „konkurenceschopný“ zahrnuje schopnost místních </w:t>
      </w:r>
      <w:r w:rsidR="005821F5" w:rsidRPr="008B53A9">
        <w:t>podniků</w:t>
      </w:r>
      <w:r w:rsidRPr="008B53A9">
        <w:t xml:space="preserve"> prosazovat se na světových trzích a vytvářet dostatek pracovních míst. Pojem „udržitelný“ zvýrazňuje dlouhodobý horizont konkurenční schopnosti, což zahrnuje mj. i environmentální dimenzi hospodářského rozvoje.</w:t>
      </w:r>
      <w:r w:rsidR="009A7F3F" w:rsidRPr="008B53A9">
        <w:t xml:space="preserve"> Takto definovaný cíl Operačního programu představuje příspěvek České republiky k naplňování priorit Strategie Evropa 2020, </w:t>
      </w:r>
      <w:r w:rsidR="009A7F3F" w:rsidRPr="008B53A9">
        <w:rPr>
          <w:b/>
        </w:rPr>
        <w:t>kterými jsou rozvoj ekonomiky založené na znalostech a inovacích, podpora konkurenceschopnější a ekologičtější ekonomiky méně náročné na zdroje a podpora ekonomiky s vysokou zaměstnaností.</w:t>
      </w:r>
    </w:p>
    <w:p w:rsidR="00E85A21" w:rsidRPr="008B53A9" w:rsidRDefault="00E2669C" w:rsidP="00D20E3C">
      <w:pPr>
        <w:pStyle w:val="Standardntext"/>
      </w:pPr>
      <w:r w:rsidRPr="008B53A9">
        <w:t>Operační program je primárně zaměřen na podporu malých a středních podniků</w:t>
      </w:r>
      <w:r w:rsidRPr="008B53A9">
        <w:rPr>
          <w:b/>
        </w:rPr>
        <w:t xml:space="preserve"> </w:t>
      </w:r>
      <w:r w:rsidRPr="008B53A9">
        <w:t>(dále také „MSP“), nicméně z objektivních důvodů daných především specifiky české ekonomiky a z hlediska charakteru některých podporovaných aktivit programu budou mezi příjemce podpory v relevantních specifických cílech (blíže viz oddíl 2) a v souladu s evropskou legislativou</w:t>
      </w:r>
      <w:r w:rsidRPr="008B53A9">
        <w:rPr>
          <w:rStyle w:val="Znakapoznpodarou"/>
        </w:rPr>
        <w:footnoteReference w:id="9"/>
      </w:r>
      <w:r w:rsidRPr="008B53A9">
        <w:t xml:space="preserve"> </w:t>
      </w:r>
      <w:r w:rsidRPr="008B53A9">
        <w:lastRenderedPageBreak/>
        <w:t>zařazeny také velké podniky</w:t>
      </w:r>
      <w:r w:rsidR="00157DC6" w:rsidRPr="008B53A9">
        <w:t xml:space="preserve"> (ve smyslu podniků nesplňujících evropskou definici MSP), </w:t>
      </w:r>
      <w:r w:rsidRPr="008B53A9">
        <w:t>pro něž bude vyčleněno max. 25 % celkové finanční alokace OP PIK.</w:t>
      </w:r>
      <w:r w:rsidR="00081A31" w:rsidRPr="008B53A9">
        <w:rPr>
          <w:rStyle w:val="Znakapoznpodarou"/>
        </w:rPr>
        <w:footnoteReference w:id="10"/>
      </w:r>
    </w:p>
    <w:p w:rsidR="007A0BCD" w:rsidRPr="008B53A9" w:rsidRDefault="00BD427D" w:rsidP="00D20E3C">
      <w:pPr>
        <w:pStyle w:val="Standardntext"/>
      </w:pPr>
      <w:r w:rsidRPr="008B53A9">
        <w:t xml:space="preserve">Operační program </w:t>
      </w:r>
      <w:r w:rsidR="00E85A21" w:rsidRPr="008B53A9">
        <w:t xml:space="preserve">stojí na </w:t>
      </w:r>
      <w:r w:rsidR="00221FD6" w:rsidRPr="008B53A9">
        <w:t>následujících</w:t>
      </w:r>
      <w:r w:rsidR="00E85A21" w:rsidRPr="008B53A9">
        <w:t xml:space="preserve"> vzájemně se doplňujících prioritách, které přispívají k naplnění </w:t>
      </w:r>
      <w:r w:rsidR="0039342A" w:rsidRPr="008B53A9">
        <w:t xml:space="preserve">výše formulovaného </w:t>
      </w:r>
      <w:r w:rsidR="00E85A21" w:rsidRPr="008B53A9">
        <w:t>cíle</w:t>
      </w:r>
      <w:r w:rsidR="007A0BCD" w:rsidRPr="008B53A9">
        <w:t>:</w:t>
      </w:r>
    </w:p>
    <w:p w:rsidR="007A0BCD" w:rsidRPr="008B53A9" w:rsidRDefault="007A0BCD" w:rsidP="005F43DF">
      <w:pPr>
        <w:pStyle w:val="Standardntext"/>
        <w:numPr>
          <w:ilvl w:val="0"/>
          <w:numId w:val="34"/>
        </w:numPr>
      </w:pPr>
      <w:r w:rsidRPr="008B53A9">
        <w:t>Z</w:t>
      </w:r>
      <w:r w:rsidR="00BD427D" w:rsidRPr="008B53A9">
        <w:t xml:space="preserve">výšení počtu </w:t>
      </w:r>
      <w:r w:rsidR="005821F5" w:rsidRPr="008B53A9">
        <w:t>podniků</w:t>
      </w:r>
      <w:r w:rsidR="00BD427D" w:rsidRPr="008B53A9">
        <w:t xml:space="preserve"> </w:t>
      </w:r>
      <w:r w:rsidR="009F527A" w:rsidRPr="008B53A9">
        <w:rPr>
          <w:bCs/>
        </w:rPr>
        <w:t>s potenciálem posunout</w:t>
      </w:r>
      <w:r w:rsidR="00BD427D" w:rsidRPr="008B53A9">
        <w:t xml:space="preserve"> technologickou hranici ve svém oboru</w:t>
      </w:r>
      <w:r w:rsidR="00BD427D" w:rsidRPr="008B53A9">
        <w:rPr>
          <w:rFonts w:eastAsia="Calibri"/>
        </w:rPr>
        <w:t>, přičemž důraz</w:t>
      </w:r>
      <w:r w:rsidR="00BD427D" w:rsidRPr="008B53A9">
        <w:t xml:space="preserve"> bude kladen na rozvoj podnikových výzkumných, vývojových a inovačních kapacit a jejich </w:t>
      </w:r>
      <w:r w:rsidRPr="008B53A9">
        <w:t>propojení s okolním prostředím;</w:t>
      </w:r>
    </w:p>
    <w:p w:rsidR="007A0BCD" w:rsidRPr="008B53A9" w:rsidRDefault="00BD427D" w:rsidP="005F43DF">
      <w:pPr>
        <w:pStyle w:val="Standardntext"/>
        <w:numPr>
          <w:ilvl w:val="0"/>
          <w:numId w:val="34"/>
        </w:numPr>
      </w:pPr>
      <w:r w:rsidRPr="008B53A9">
        <w:t xml:space="preserve">Rozvoj podnikání </w:t>
      </w:r>
      <w:r w:rsidR="004D45D3" w:rsidRPr="008B53A9">
        <w:t>podporou projektů inovací nižších řádů</w:t>
      </w:r>
      <w:r w:rsidR="004D45D3" w:rsidRPr="008B53A9">
        <w:rPr>
          <w:vertAlign w:val="superscript"/>
        </w:rPr>
        <w:footnoteReference w:id="11"/>
      </w:r>
      <w:r w:rsidR="004D45D3" w:rsidRPr="008B53A9">
        <w:t>, tzn. modernizačních a rozvojových projektů zaměřených</w:t>
      </w:r>
      <w:r w:rsidR="004D45D3" w:rsidRPr="008B53A9" w:rsidDel="004D45D3">
        <w:t xml:space="preserve"> </w:t>
      </w:r>
      <w:r w:rsidRPr="008B53A9">
        <w:t xml:space="preserve">zejména na podporu realizace nových podnikatelských záměrů, včetně rozvoje služeb vedoucích ke zvýšení konkurenční výhody jednotlivých </w:t>
      </w:r>
      <w:r w:rsidR="005821F5" w:rsidRPr="008B53A9">
        <w:t>podniků</w:t>
      </w:r>
      <w:r w:rsidR="007A0BCD" w:rsidRPr="008B53A9">
        <w:t xml:space="preserve"> v mezinárodním prostředí;</w:t>
      </w:r>
    </w:p>
    <w:p w:rsidR="007A0BCD" w:rsidRPr="008B53A9" w:rsidRDefault="00BD427D" w:rsidP="005F43DF">
      <w:pPr>
        <w:pStyle w:val="Standardntext"/>
        <w:numPr>
          <w:ilvl w:val="0"/>
          <w:numId w:val="34"/>
        </w:numPr>
      </w:pPr>
      <w:r w:rsidRPr="008B53A9">
        <w:t>Posun k energeticky účinnému, nízkouhlíkovému hospodářství spočívající především ve zvyšování energetické účinnosti podnikatelského sektoru, využívání obnovitelných zdrojů energie, modernizaci energetické infrastruktury a zavádění nových technologií v oblasti nakládán</w:t>
      </w:r>
      <w:r w:rsidR="007A0BCD" w:rsidRPr="008B53A9">
        <w:t>í energií a druhotných surovin;</w:t>
      </w:r>
    </w:p>
    <w:p w:rsidR="00BD427D" w:rsidRPr="008B53A9" w:rsidRDefault="00BD427D" w:rsidP="005F43DF">
      <w:pPr>
        <w:pStyle w:val="Standardntext"/>
        <w:numPr>
          <w:ilvl w:val="0"/>
          <w:numId w:val="34"/>
        </w:numPr>
      </w:pPr>
      <w:r w:rsidRPr="008B53A9">
        <w:t>Usnadnění rozvoje podnikání, služeb a přístupu ke službám státu prostřednictvím vysokorychlostního přístupu k internetu a širší nabídkou služeb informačních a komunikačních technologií (dále také „ICT“)</w:t>
      </w:r>
      <w:r w:rsidRPr="008B53A9">
        <w:rPr>
          <w:rFonts w:eastAsia="Calibri"/>
        </w:rPr>
        <w:t>, neboť</w:t>
      </w:r>
      <w:r w:rsidRPr="008B53A9">
        <w:t xml:space="preserve"> konkurenceschopnost informační společnosti je založena právě na efektivním využívání moderních služeb ICT.</w:t>
      </w:r>
    </w:p>
    <w:p w:rsidR="00B1783A" w:rsidRPr="008B53A9" w:rsidRDefault="00221FD6" w:rsidP="00D20E3C">
      <w:pPr>
        <w:pStyle w:val="Standardntext"/>
      </w:pPr>
      <w:r w:rsidRPr="008B53A9">
        <w:t>Tyto</w:t>
      </w:r>
      <w:r w:rsidR="00B1783A" w:rsidRPr="008B53A9">
        <w:t xml:space="preserve"> priority</w:t>
      </w:r>
      <w:r w:rsidRPr="008B53A9">
        <w:t xml:space="preserve"> Operačního programu</w:t>
      </w:r>
      <w:r w:rsidR="00B1783A" w:rsidRPr="008B53A9">
        <w:t xml:space="preserve"> jsou reflexí </w:t>
      </w:r>
      <w:r w:rsidRPr="008B53A9">
        <w:t xml:space="preserve">čtyř ze sedmi </w:t>
      </w:r>
      <w:r w:rsidR="00B1783A" w:rsidRPr="008B53A9">
        <w:t xml:space="preserve">stěžejních </w:t>
      </w:r>
      <w:r w:rsidR="00AF04F5" w:rsidRPr="008B53A9">
        <w:t>iniciativ</w:t>
      </w:r>
      <w:r w:rsidR="00B1783A" w:rsidRPr="008B53A9">
        <w:t xml:space="preserve"> EU 2020</w:t>
      </w:r>
      <w:r w:rsidR="00E478A8" w:rsidRPr="008B53A9">
        <w:t>, které jsou závazné jak pro Evropskou unii, tak pro členské státy</w:t>
      </w:r>
      <w:r w:rsidRPr="008B53A9">
        <w:t>:</w:t>
      </w:r>
    </w:p>
    <w:p w:rsidR="00221FD6" w:rsidRPr="008B53A9" w:rsidRDefault="00221FD6" w:rsidP="005F43DF">
      <w:pPr>
        <w:pStyle w:val="Standardntext"/>
        <w:numPr>
          <w:ilvl w:val="0"/>
          <w:numId w:val="35"/>
        </w:numPr>
      </w:pPr>
      <w:r w:rsidRPr="008B53A9">
        <w:t>„Inovace v Unii“ spočívající ve zlepšení rámcových podmínek a přístupu k financování výzkumu a inovací;</w:t>
      </w:r>
    </w:p>
    <w:p w:rsidR="00221FD6" w:rsidRPr="008B53A9" w:rsidRDefault="00221FD6" w:rsidP="005F43DF">
      <w:pPr>
        <w:pStyle w:val="Standardntext"/>
        <w:numPr>
          <w:ilvl w:val="0"/>
          <w:numId w:val="35"/>
        </w:numPr>
      </w:pPr>
      <w:r w:rsidRPr="008B53A9">
        <w:t xml:space="preserve">„Průmyslová politika pro éru globalizace“ </w:t>
      </w:r>
      <w:r w:rsidR="00E478A8" w:rsidRPr="008B53A9">
        <w:t>orientující se na</w:t>
      </w:r>
      <w:r w:rsidRPr="008B53A9">
        <w:t xml:space="preserve"> zlepšení podnikatelského prostředí, zejména</w:t>
      </w:r>
      <w:r w:rsidR="00E478A8" w:rsidRPr="008B53A9">
        <w:t xml:space="preserve"> pro malé a střední podniky;</w:t>
      </w:r>
    </w:p>
    <w:p w:rsidR="00221FD6" w:rsidRPr="008B53A9" w:rsidRDefault="00221FD6" w:rsidP="005F43DF">
      <w:pPr>
        <w:pStyle w:val="Standardntext"/>
        <w:numPr>
          <w:ilvl w:val="0"/>
          <w:numId w:val="35"/>
        </w:numPr>
      </w:pPr>
      <w:r w:rsidRPr="008B53A9">
        <w:t>„Evropa méně náročná na zdroje“ podporující přechod na nízkouhlíkovou ekonomiku;</w:t>
      </w:r>
    </w:p>
    <w:p w:rsidR="00221FD6" w:rsidRPr="008B53A9" w:rsidRDefault="00221FD6" w:rsidP="005F43DF">
      <w:pPr>
        <w:pStyle w:val="Standardntext"/>
        <w:numPr>
          <w:ilvl w:val="0"/>
          <w:numId w:val="35"/>
        </w:numPr>
      </w:pPr>
      <w:r w:rsidRPr="008B53A9">
        <w:t xml:space="preserve">„Digitální </w:t>
      </w:r>
      <w:r w:rsidR="001B092B" w:rsidRPr="008B53A9">
        <w:t>agenda</w:t>
      </w:r>
      <w:r w:rsidRPr="008B53A9">
        <w:t xml:space="preserve"> pro Evropu“ zaměřující se na urychlení rozvoje vysokorychlostního internetu a využití jednotného digitálního trhu domácnostmi a podniky.</w:t>
      </w:r>
    </w:p>
    <w:p w:rsidR="005066D6" w:rsidRPr="008B53A9" w:rsidRDefault="005066D6" w:rsidP="005066D6">
      <w:pPr>
        <w:pStyle w:val="Standardntext"/>
      </w:pPr>
      <w:r w:rsidRPr="008B53A9">
        <w:t>Základem Strategie Evropa 2020 je pět měřitelných cílů, (i) zvýšit zaměstnanost v kategorii 20–64 let na 75 %, (ii) investovat do výzkumu a vývoje 3 % HDP, (iii) v oblasti klimatu a energie by mělo být dosaženo cílů „20-20-20“ (tzn. zvýšit energetickou účinnost o 20 %; zvýšit podíl obnovitelných zdrojů energie v konečné spotřebě energie na 20 %, snížit emise skleníkových plynů o 20 %), (iv) snížit podíl dětí, které předčasně ukončí školní docházku, pod hranici 10 % a zvýšit dosažení terciární úrovně vzdělávání o nejméně 40 % u mladší generace, (v) snížit počet osob ohrožených chudobou o 20 milionů. Zde lze spatřovat hlavní přínos OP PIK především v případě cíle (ii) a (iii) prostřednictvím implementace prioritní osy 1, resp. prioritní osy 3. Z dlouhodobého hlediska přispěje OP PIK prostřednictvím růstu konkurenceschopnosti firem a rozvoje podnikání rovněž k naplňování cíle (i).</w:t>
      </w:r>
    </w:p>
    <w:p w:rsidR="006E695D" w:rsidRPr="008B53A9" w:rsidRDefault="006E695D" w:rsidP="00396141">
      <w:pPr>
        <w:pStyle w:val="Modrnadpis"/>
      </w:pPr>
      <w:r w:rsidRPr="008B53A9">
        <w:lastRenderedPageBreak/>
        <w:t>Tematická koncentrace a prioritní osy Operačního programu</w:t>
      </w:r>
    </w:p>
    <w:p w:rsidR="006E695D" w:rsidRPr="008B53A9" w:rsidRDefault="006E695D" w:rsidP="006E695D">
      <w:pPr>
        <w:pStyle w:val="Standardntext"/>
        <w:keepNext/>
        <w:keepLines/>
      </w:pPr>
      <w:r w:rsidRPr="008B53A9">
        <w:t>Priority a cíle Strategie Evropa 2020 založené na tematickém přístupu byly dále rozpracovány ve Společném strategickém rámci</w:t>
      </w:r>
      <w:r w:rsidRPr="008B53A9">
        <w:rPr>
          <w:b/>
        </w:rPr>
        <w:t xml:space="preserve"> </w:t>
      </w:r>
      <w:r w:rsidRPr="008B53A9">
        <w:t xml:space="preserve">(dále také „SSR“). Jde o dokument Evropské komise, jehož cílem je v rámci kohezní politiky koncentrovat zdroje na cíle obsažené ve Strategii Evropa 2020. </w:t>
      </w:r>
      <w:r w:rsidR="0044640B" w:rsidRPr="008B53A9">
        <w:t>Tematická koncentrace významně zvyšuje účinnost veřejných financí k dosažení vytyčených cílů se skutečným dopadem na socioekonomickou situaci ČR.</w:t>
      </w:r>
      <w:r w:rsidR="00F41111" w:rsidRPr="008B53A9">
        <w:t xml:space="preserve"> </w:t>
      </w:r>
      <w:r w:rsidRPr="008B53A9">
        <w:t xml:space="preserve">Při formulování strategie Operačního programu plnil SSR pomocnou roli při výběru relevantních tematických cílů (dle čl. 9 obecného nařízení) a jim odpovídajících investičních priorit (dle čl. 5 </w:t>
      </w:r>
      <w:r w:rsidR="008D522A" w:rsidRPr="008B53A9">
        <w:t xml:space="preserve">nařízení </w:t>
      </w:r>
      <w:r w:rsidR="00BF360E" w:rsidRPr="008B53A9">
        <w:t>o</w:t>
      </w:r>
      <w:r w:rsidRPr="008B53A9">
        <w:t xml:space="preserve"> EFRR). </w:t>
      </w:r>
    </w:p>
    <w:p w:rsidR="006E695D" w:rsidRPr="008B53A9" w:rsidRDefault="006E695D" w:rsidP="006A4943">
      <w:pPr>
        <w:pStyle w:val="Standardntext"/>
      </w:pPr>
      <w:r w:rsidRPr="008B53A9">
        <w:t>V návaznosti na Dohodu o partnerství jsou v rámci Operačního programu podporovány intervence z</w:t>
      </w:r>
      <w:r w:rsidR="008D6CED" w:rsidRPr="008B53A9">
        <w:t xml:space="preserve"> pěti </w:t>
      </w:r>
      <w:r w:rsidRPr="008B53A9">
        <w:t>tematických cílů</w:t>
      </w:r>
      <w:r w:rsidR="00F41111" w:rsidRPr="008B53A9">
        <w:t xml:space="preserve"> pro Evropské strukturální a investiční fondy (dále také „fondy ESI“ nebo „ESIF“)</w:t>
      </w:r>
      <w:r w:rsidR="00F41111" w:rsidRPr="008B53A9">
        <w:rPr>
          <w:rStyle w:val="Znakapoznpodarou"/>
        </w:rPr>
        <w:footnoteReference w:id="12"/>
      </w:r>
      <w:r w:rsidR="00F41111" w:rsidRPr="008B53A9">
        <w:t>, na něž navazují čtyři věcně zaměřené prioritní osy a jedna prioritní osa na technickou pomoc.</w:t>
      </w:r>
      <w:r w:rsidR="006A4943" w:rsidRPr="008B53A9">
        <w:t xml:space="preserve"> Zaměření prioritních os je blíže specifikováno v kapitole 2.</w:t>
      </w:r>
    </w:p>
    <w:p w:rsidR="006E695D" w:rsidRPr="008B53A9" w:rsidRDefault="006E695D" w:rsidP="005F43DF">
      <w:pPr>
        <w:pStyle w:val="Standardntext"/>
        <w:keepNext/>
        <w:keepLines/>
        <w:numPr>
          <w:ilvl w:val="0"/>
          <w:numId w:val="36"/>
        </w:numPr>
        <w:ind w:left="714" w:hanging="357"/>
      </w:pPr>
      <w:r w:rsidRPr="008B53A9">
        <w:t>Prioritní osa 1 „</w:t>
      </w:r>
      <w:r w:rsidRPr="008B53A9">
        <w:rPr>
          <w:b/>
        </w:rPr>
        <w:t>Rozvoj výzkumu a vývoje pro inovace</w:t>
      </w:r>
      <w:r w:rsidRPr="008B53A9">
        <w:t>“,</w:t>
      </w:r>
    </w:p>
    <w:p w:rsidR="006E695D" w:rsidRPr="008B53A9" w:rsidRDefault="006E695D" w:rsidP="005F43DF">
      <w:pPr>
        <w:pStyle w:val="Standardntext"/>
        <w:keepNext/>
        <w:keepLines/>
        <w:numPr>
          <w:ilvl w:val="0"/>
          <w:numId w:val="36"/>
        </w:numPr>
        <w:ind w:left="714" w:hanging="357"/>
      </w:pPr>
      <w:r w:rsidRPr="008B53A9">
        <w:t>Prioritní osa 2 „</w:t>
      </w:r>
      <w:r w:rsidRPr="008B53A9">
        <w:rPr>
          <w:b/>
        </w:rPr>
        <w:t xml:space="preserve">Rozvoj podnikání a konkurenceschopnosti malých a středních </w:t>
      </w:r>
      <w:r w:rsidR="005821F5" w:rsidRPr="008B53A9">
        <w:rPr>
          <w:b/>
        </w:rPr>
        <w:t>podniků</w:t>
      </w:r>
      <w:r w:rsidRPr="008B53A9">
        <w:t>“,</w:t>
      </w:r>
    </w:p>
    <w:p w:rsidR="006E695D" w:rsidRPr="008B53A9" w:rsidRDefault="006E695D" w:rsidP="005F43DF">
      <w:pPr>
        <w:pStyle w:val="Standardntext"/>
        <w:numPr>
          <w:ilvl w:val="0"/>
          <w:numId w:val="36"/>
        </w:numPr>
      </w:pPr>
      <w:r w:rsidRPr="008B53A9">
        <w:t>Prioritní osa 3 „</w:t>
      </w:r>
      <w:r w:rsidRPr="008B53A9">
        <w:rPr>
          <w:b/>
        </w:rPr>
        <w:t>Účinné nakládání energií, rozvoj energetické infrastruktury a obnovitelných zdrojů energie, podpora zavádění nových technologií v oblasti nakládání energií a druhotných surovin</w:t>
      </w:r>
      <w:r w:rsidRPr="008B53A9">
        <w:t>“,</w:t>
      </w:r>
    </w:p>
    <w:p w:rsidR="006E695D" w:rsidRPr="008B53A9" w:rsidRDefault="006E695D" w:rsidP="005F43DF">
      <w:pPr>
        <w:pStyle w:val="Standardntext"/>
        <w:numPr>
          <w:ilvl w:val="0"/>
          <w:numId w:val="36"/>
        </w:numPr>
      </w:pPr>
      <w:r w:rsidRPr="008B53A9">
        <w:t>Prioritní osa 4 „</w:t>
      </w:r>
      <w:r w:rsidRPr="008B53A9">
        <w:rPr>
          <w:b/>
        </w:rPr>
        <w:t>Rozvoj vysokorychlostních přístupových sítí k internetu a informačních a komunikačních technologií</w:t>
      </w:r>
      <w:r w:rsidRPr="008B53A9">
        <w:t>“,</w:t>
      </w:r>
    </w:p>
    <w:p w:rsidR="006E695D" w:rsidRPr="008B53A9" w:rsidRDefault="006E695D" w:rsidP="005F43DF">
      <w:pPr>
        <w:pStyle w:val="Standardntext"/>
        <w:numPr>
          <w:ilvl w:val="0"/>
          <w:numId w:val="36"/>
        </w:numPr>
      </w:pPr>
      <w:r w:rsidRPr="008B53A9">
        <w:t>Prioritní osa 5 „</w:t>
      </w:r>
      <w:r w:rsidRPr="008B53A9">
        <w:rPr>
          <w:b/>
        </w:rPr>
        <w:t>Technická pomoc</w:t>
      </w:r>
      <w:r w:rsidRPr="008B53A9">
        <w:t>“.</w:t>
      </w:r>
    </w:p>
    <w:p w:rsidR="006E695D" w:rsidRPr="008B53A9" w:rsidRDefault="006E695D" w:rsidP="006E695D">
      <w:pPr>
        <w:pStyle w:val="Standardntext"/>
      </w:pPr>
      <w:r w:rsidRPr="008B53A9">
        <w:t xml:space="preserve">K návrhu struktury operačního programu ve smyslu nadefinování jednotlivých prioritních os bylo přistoupeno </w:t>
      </w:r>
      <w:r w:rsidR="008D6CED" w:rsidRPr="008B53A9">
        <w:t xml:space="preserve">v počátku jeho přípravy </w:t>
      </w:r>
      <w:r w:rsidRPr="008B53A9">
        <w:t xml:space="preserve">se záměrem nekombinovat v rámci jedné prioritní osy </w:t>
      </w:r>
      <w:r w:rsidR="00F41111" w:rsidRPr="008B53A9">
        <w:t>investiční</w:t>
      </w:r>
      <w:r w:rsidRPr="008B53A9">
        <w:t xml:space="preserve"> priority z více tematických cílů, pokud </w:t>
      </w:r>
      <w:r w:rsidR="004E4E99" w:rsidRPr="008B53A9">
        <w:t>nebude prokázáno</w:t>
      </w:r>
      <w:r w:rsidR="00F41111" w:rsidRPr="008B53A9">
        <w:t xml:space="preserve"> odůvodnění takovéto kombinace</w:t>
      </w:r>
      <w:r w:rsidR="008D6CED" w:rsidRPr="008B53A9">
        <w:t xml:space="preserve">. Následně byla prokázána a s EK vyjednána potřeba intervencí v oblasti energetiky do vysokonapěťových přenosových sítí, což vyústilo v příslušné prioritní ose programu ve vazbu na dva tematické cíle dle čl. 96 bodu 1, písm. c) obecného nařízení </w:t>
      </w:r>
      <w:r w:rsidR="004E4E99" w:rsidRPr="008B53A9">
        <w:t>(</w:t>
      </w:r>
      <w:r w:rsidR="008D6CED" w:rsidRPr="008B53A9">
        <w:t xml:space="preserve">blíže </w:t>
      </w:r>
      <w:r w:rsidR="004E4E99" w:rsidRPr="008B53A9">
        <w:t>viz prioritní osa 3)</w:t>
      </w:r>
      <w:r w:rsidR="00F41111" w:rsidRPr="008B53A9">
        <w:t>.</w:t>
      </w:r>
    </w:p>
    <w:p w:rsidR="006D193A" w:rsidRPr="008B53A9" w:rsidRDefault="006D193A" w:rsidP="00396141">
      <w:pPr>
        <w:pStyle w:val="Modrnadpis"/>
      </w:pPr>
      <w:r w:rsidRPr="008B53A9">
        <w:t>Vazba Operačního programu na Dohodu o partnerství</w:t>
      </w:r>
    </w:p>
    <w:p w:rsidR="004A7124" w:rsidRPr="008B53A9" w:rsidRDefault="004A7124" w:rsidP="00D966D3">
      <w:pPr>
        <w:pStyle w:val="Standardntext"/>
      </w:pPr>
      <w:r w:rsidRPr="008B53A9">
        <w:t>Zcela specifické postavení má ve vztahu</w:t>
      </w:r>
      <w:r w:rsidR="008819EE" w:rsidRPr="008B53A9">
        <w:t xml:space="preserve"> k Operačnímu programu výše zmiňovaná</w:t>
      </w:r>
      <w:r w:rsidRPr="008B53A9">
        <w:t xml:space="preserve"> </w:t>
      </w:r>
      <w:r w:rsidR="001E12B2" w:rsidRPr="008B53A9">
        <w:t>Dohoda</w:t>
      </w:r>
      <w:r w:rsidR="000979A5" w:rsidRPr="008B53A9">
        <w:t xml:space="preserve"> o partnerství</w:t>
      </w:r>
      <w:r w:rsidR="000022FB" w:rsidRPr="008B53A9">
        <w:t>, která byla schválena usnesením vlády ČR ze dne 9. dubna 2014 č. 242</w:t>
      </w:r>
      <w:r w:rsidR="00090786" w:rsidRPr="008B53A9">
        <w:t xml:space="preserve"> a která byla dne 17. dubna 2014 zaslána Evropské komisi. </w:t>
      </w:r>
      <w:r w:rsidR="000979A5" w:rsidRPr="008B53A9">
        <w:t>Jde o</w:t>
      </w:r>
      <w:r w:rsidRPr="008B53A9">
        <w:t xml:space="preserve"> </w:t>
      </w:r>
      <w:r w:rsidR="001E12B2" w:rsidRPr="008B53A9">
        <w:t>klíčový</w:t>
      </w:r>
      <w:r w:rsidRPr="008B53A9">
        <w:t xml:space="preserve"> dokument pro programové období 2014</w:t>
      </w:r>
      <w:r w:rsidR="001E12B2" w:rsidRPr="008B53A9">
        <w:t>-</w:t>
      </w:r>
      <w:r w:rsidRPr="008B53A9">
        <w:t xml:space="preserve">2020, který </w:t>
      </w:r>
      <w:r w:rsidR="001E12B2" w:rsidRPr="008B53A9">
        <w:t>stanovuje</w:t>
      </w:r>
      <w:r w:rsidRPr="008B53A9">
        <w:t xml:space="preserve"> </w:t>
      </w:r>
      <w:r w:rsidR="001E12B2" w:rsidRPr="008B53A9">
        <w:t xml:space="preserve">priority České republiky pro účinné a efektivní </w:t>
      </w:r>
      <w:r w:rsidRPr="008B53A9">
        <w:t xml:space="preserve">využívání fondů </w:t>
      </w:r>
      <w:r w:rsidR="00F41111" w:rsidRPr="008B53A9">
        <w:t>ESI</w:t>
      </w:r>
      <w:r w:rsidRPr="008B53A9">
        <w:t xml:space="preserve"> </w:t>
      </w:r>
      <w:r w:rsidR="00AC0977" w:rsidRPr="008B53A9">
        <w:t xml:space="preserve">a je zastřešujícím dokumentem pro </w:t>
      </w:r>
      <w:r w:rsidR="001E12B2" w:rsidRPr="008B53A9">
        <w:t>jednotlivé programy financované z fondů ESI</w:t>
      </w:r>
      <w:r w:rsidR="00AC0977" w:rsidRPr="008B53A9">
        <w:t>.</w:t>
      </w:r>
      <w:r w:rsidR="001E12B2" w:rsidRPr="008B53A9">
        <w:t xml:space="preserve"> </w:t>
      </w:r>
      <w:r w:rsidR="00AC0977" w:rsidRPr="008B53A9">
        <w:t xml:space="preserve">Z titulu této funkce </w:t>
      </w:r>
      <w:r w:rsidR="00DC45DF" w:rsidRPr="008B53A9">
        <w:t xml:space="preserve">zároveň Dohoda </w:t>
      </w:r>
      <w:r w:rsidR="00AC0977" w:rsidRPr="008B53A9">
        <w:t xml:space="preserve">plní roli </w:t>
      </w:r>
      <w:r w:rsidR="00DC45DF" w:rsidRPr="008B53A9">
        <w:t xml:space="preserve">výchozího analytického a strategického dokumentu pro OP PIK. </w:t>
      </w:r>
      <w:r w:rsidR="00BB4A60" w:rsidRPr="008B53A9">
        <w:t xml:space="preserve">V Dohodě obsažená </w:t>
      </w:r>
      <w:r w:rsidR="001E12B2" w:rsidRPr="008B53A9">
        <w:t>analýz</w:t>
      </w:r>
      <w:r w:rsidR="00BB4A60" w:rsidRPr="008B53A9">
        <w:t>a</w:t>
      </w:r>
      <w:r w:rsidR="001E12B2" w:rsidRPr="008B53A9">
        <w:t xml:space="preserve"> disparit, rozvojových potřeb a </w:t>
      </w:r>
      <w:r w:rsidR="00DC45DF" w:rsidRPr="008B53A9">
        <w:t xml:space="preserve">růstového </w:t>
      </w:r>
      <w:r w:rsidR="001E12B2" w:rsidRPr="008B53A9">
        <w:t xml:space="preserve">potenciálu ČR </w:t>
      </w:r>
      <w:r w:rsidR="00DC45DF" w:rsidRPr="008B53A9">
        <w:t>pro jednotlivé problémové oblasti národního hospodářství</w:t>
      </w:r>
      <w:r w:rsidR="006B3B6A" w:rsidRPr="008B53A9">
        <w:t xml:space="preserve"> </w:t>
      </w:r>
      <w:r w:rsidR="00BB4A60" w:rsidRPr="008B53A9">
        <w:t>jednoznačně předurčuje zaměření OP PIK</w:t>
      </w:r>
      <w:r w:rsidR="00DC45DF" w:rsidRPr="008B53A9">
        <w:t xml:space="preserve">. Na základě této analýzy následně </w:t>
      </w:r>
      <w:r w:rsidR="00BB4A60" w:rsidRPr="008B53A9">
        <w:t xml:space="preserve">Dohoda </w:t>
      </w:r>
      <w:r w:rsidR="00DC45DF" w:rsidRPr="008B53A9">
        <w:t>formuluje</w:t>
      </w:r>
      <w:r w:rsidR="00AC0977" w:rsidRPr="008B53A9">
        <w:t xml:space="preserve"> hlavní </w:t>
      </w:r>
      <w:r w:rsidR="00AC0977" w:rsidRPr="008B53A9">
        <w:lastRenderedPageBreak/>
        <w:t>strategické cíle</w:t>
      </w:r>
      <w:r w:rsidR="000561F7" w:rsidRPr="008B53A9">
        <w:t xml:space="preserve"> a od nich odvozené priority financování</w:t>
      </w:r>
      <w:r w:rsidR="001E12B2" w:rsidRPr="008B53A9">
        <w:t xml:space="preserve">, k jejichž </w:t>
      </w:r>
      <w:r w:rsidR="000561F7" w:rsidRPr="008B53A9">
        <w:t>naplnění</w:t>
      </w:r>
      <w:r w:rsidR="001E12B2" w:rsidRPr="008B53A9">
        <w:t xml:space="preserve"> musí věcné zaměření pro programové období 2014-2020 v ČR směřovat</w:t>
      </w:r>
      <w:r w:rsidR="00AC0977" w:rsidRPr="008B53A9">
        <w:t>.</w:t>
      </w:r>
    </w:p>
    <w:p w:rsidR="00D966D3" w:rsidRPr="008B53A9" w:rsidRDefault="00D966D3" w:rsidP="00850113">
      <w:pPr>
        <w:pStyle w:val="Standardntext"/>
      </w:pPr>
      <w:r w:rsidRPr="008B53A9">
        <w:t xml:space="preserve">OP PIK představuje klíčový operační program, jehož prostřednictvím dojde k naplnění </w:t>
      </w:r>
      <w:r w:rsidR="0058033A" w:rsidRPr="008B53A9">
        <w:t xml:space="preserve">strategického </w:t>
      </w:r>
      <w:r w:rsidR="00120744" w:rsidRPr="008B53A9">
        <w:t xml:space="preserve">cíle </w:t>
      </w:r>
      <w:r w:rsidRPr="008B53A9">
        <w:t xml:space="preserve">Dohody </w:t>
      </w:r>
      <w:r w:rsidR="00C80312" w:rsidRPr="008B53A9">
        <w:t>„</w:t>
      </w:r>
      <w:r w:rsidR="00735782" w:rsidRPr="008B53A9">
        <w:t>Vytvoření kvalitního podnikatelské prostředí, které podpoří konkurenceschopnost ČR na evropském i globálním trhu, povede k zakládání nových podniků, zvýší inovační schopnost stávajících podniků a posílí atraktivitu ČR pro domácí a zahraniční investory</w:t>
      </w:r>
      <w:r w:rsidR="00C80312" w:rsidRPr="008B53A9">
        <w:t>“</w:t>
      </w:r>
      <w:r w:rsidR="00394685" w:rsidRPr="008B53A9">
        <w:t>.</w:t>
      </w:r>
      <w:r w:rsidR="00C80312" w:rsidRPr="008B53A9">
        <w:t xml:space="preserve"> </w:t>
      </w:r>
      <w:r w:rsidR="00850113" w:rsidRPr="008B53A9">
        <w:t>Mezi p</w:t>
      </w:r>
      <w:r w:rsidR="00C80312" w:rsidRPr="008B53A9">
        <w:t xml:space="preserve">riority financování </w:t>
      </w:r>
      <w:r w:rsidR="00850113" w:rsidRPr="008B53A9">
        <w:t>obsažené v Dohodě o partnerství</w:t>
      </w:r>
      <w:r w:rsidR="00C80312" w:rsidRPr="008B53A9">
        <w:t xml:space="preserve">, </w:t>
      </w:r>
      <w:r w:rsidR="00850113" w:rsidRPr="008B53A9">
        <w:t>které formulují strategické zaměření</w:t>
      </w:r>
      <w:r w:rsidR="00C80312" w:rsidRPr="008B53A9">
        <w:t xml:space="preserve"> OP PIK</w:t>
      </w:r>
      <w:r w:rsidR="009F1237" w:rsidRPr="008B53A9">
        <w:t>,</w:t>
      </w:r>
      <w:r w:rsidR="00850113" w:rsidRPr="008B53A9">
        <w:t xml:space="preserve"> patří:</w:t>
      </w:r>
    </w:p>
    <w:p w:rsidR="00850113" w:rsidRPr="008B53A9" w:rsidRDefault="00735782" w:rsidP="00735782">
      <w:pPr>
        <w:pStyle w:val="Standardntext"/>
        <w:numPr>
          <w:ilvl w:val="0"/>
          <w:numId w:val="4"/>
        </w:numPr>
        <w:spacing w:after="0"/>
      </w:pPr>
      <w:r w:rsidRPr="008B53A9">
        <w:t>Výzkumný a inovační systém založený na kvalitním výzkumu propojeném s aplikační sférou a směřujícím ke komerčně využitelným výsledkům</w:t>
      </w:r>
      <w:r w:rsidR="00850113" w:rsidRPr="008B53A9">
        <w:t>;</w:t>
      </w:r>
    </w:p>
    <w:p w:rsidR="00850113" w:rsidRPr="008B53A9" w:rsidRDefault="00735782" w:rsidP="00735782">
      <w:pPr>
        <w:pStyle w:val="Standardntext"/>
        <w:numPr>
          <w:ilvl w:val="0"/>
          <w:numId w:val="4"/>
        </w:numPr>
        <w:spacing w:after="0"/>
      </w:pPr>
      <w:r w:rsidRPr="008B53A9">
        <w:t>Podniky využívající výsledků VaV, konkurenceschopné na globálním trhu a přispívající k nízkouhlíkovému hospodářství</w:t>
      </w:r>
      <w:r w:rsidR="00850113" w:rsidRPr="008B53A9">
        <w:t>;</w:t>
      </w:r>
    </w:p>
    <w:p w:rsidR="00850113" w:rsidRPr="008B53A9" w:rsidRDefault="00735782" w:rsidP="00735782">
      <w:pPr>
        <w:pStyle w:val="Standardntext"/>
        <w:numPr>
          <w:ilvl w:val="0"/>
          <w:numId w:val="4"/>
        </w:numPr>
        <w:spacing w:after="0"/>
      </w:pPr>
      <w:r w:rsidRPr="008B53A9">
        <w:t>Udržitelná infrastruktura umožňující konkurenceschopnost ekonomiky a odpovídající obslužnost území</w:t>
      </w:r>
      <w:r w:rsidR="00850113" w:rsidRPr="008B53A9">
        <w:t>;</w:t>
      </w:r>
    </w:p>
    <w:p w:rsidR="00850113" w:rsidRPr="008B53A9" w:rsidRDefault="00850113" w:rsidP="008A18EF">
      <w:pPr>
        <w:pStyle w:val="Standardntext"/>
        <w:numPr>
          <w:ilvl w:val="0"/>
          <w:numId w:val="4"/>
        </w:numPr>
        <w:ind w:left="714" w:hanging="357"/>
      </w:pPr>
      <w:r w:rsidRPr="008B53A9">
        <w:t>a částečně také Ochrana životního prostředí a krajiny a přizpůsobení se změně klimatu.</w:t>
      </w:r>
    </w:p>
    <w:p w:rsidR="006E3639" w:rsidRPr="008B53A9" w:rsidRDefault="004166BF" w:rsidP="00BD427D">
      <w:pPr>
        <w:pStyle w:val="Standardntext"/>
      </w:pPr>
      <w:r w:rsidRPr="008B53A9">
        <w:t xml:space="preserve">Smyslem těchto priorit financování je odstranit či alespoň zmírnit bariéry dalšího rozvoje ČR identifikované v analytické části Dohody </w:t>
      </w:r>
      <w:r w:rsidR="00206375" w:rsidRPr="008B53A9">
        <w:t>o</w:t>
      </w:r>
      <w:r w:rsidRPr="008B53A9">
        <w:t xml:space="preserve"> partnerství. Z</w:t>
      </w:r>
      <w:r w:rsidR="006E3639" w:rsidRPr="008B53A9">
        <w:t> </w:t>
      </w:r>
      <w:r w:rsidRPr="008B53A9">
        <w:t>pohledu</w:t>
      </w:r>
      <w:r w:rsidR="006E3639" w:rsidRPr="008B53A9">
        <w:t xml:space="preserve"> příspěvku</w:t>
      </w:r>
      <w:r w:rsidRPr="008B53A9">
        <w:t xml:space="preserve"> </w:t>
      </w:r>
      <w:r w:rsidR="00BD427D" w:rsidRPr="008B53A9">
        <w:t>OP PIK</w:t>
      </w:r>
      <w:r w:rsidR="006E3639" w:rsidRPr="008B53A9">
        <w:t xml:space="preserve"> k řešení problémových oblastí patří</w:t>
      </w:r>
      <w:r w:rsidRPr="008B53A9">
        <w:t xml:space="preserve"> mezi</w:t>
      </w:r>
      <w:r w:rsidR="00BD427D" w:rsidRPr="008B53A9">
        <w:t xml:space="preserve"> zásadní </w:t>
      </w:r>
      <w:r w:rsidRPr="008B53A9">
        <w:t>ty, které Dohoda o partnerství</w:t>
      </w:r>
      <w:r w:rsidR="006E3639" w:rsidRPr="008B53A9">
        <w:t xml:space="preserve"> syntetizuje do bloků</w:t>
      </w:r>
      <w:r w:rsidRPr="008B53A9">
        <w:t xml:space="preserve"> „</w:t>
      </w:r>
      <w:r w:rsidR="00BD427D" w:rsidRPr="008B53A9">
        <w:t>Konkurenceschopnost ekonomiky</w:t>
      </w:r>
      <w:r w:rsidRPr="008B53A9">
        <w:t>“</w:t>
      </w:r>
      <w:r w:rsidR="00BD427D" w:rsidRPr="008B53A9">
        <w:t xml:space="preserve">, </w:t>
      </w:r>
      <w:r w:rsidRPr="008B53A9">
        <w:t>„</w:t>
      </w:r>
      <w:r w:rsidR="00BD427D" w:rsidRPr="008B53A9">
        <w:t>Infrastruktura</w:t>
      </w:r>
      <w:r w:rsidRPr="008B53A9">
        <w:t>“</w:t>
      </w:r>
      <w:r w:rsidR="00BD427D" w:rsidRPr="008B53A9">
        <w:t xml:space="preserve"> a </w:t>
      </w:r>
      <w:r w:rsidRPr="008B53A9">
        <w:t>„</w:t>
      </w:r>
      <w:r w:rsidR="00BD427D" w:rsidRPr="008B53A9">
        <w:t>Životní prostředí</w:t>
      </w:r>
      <w:r w:rsidRPr="008B53A9">
        <w:t>“</w:t>
      </w:r>
      <w:r w:rsidR="006E3639" w:rsidRPr="008B53A9">
        <w:t>.</w:t>
      </w:r>
    </w:p>
    <w:p w:rsidR="00193874" w:rsidRPr="008B53A9" w:rsidRDefault="00BD427D" w:rsidP="008F14D6">
      <w:pPr>
        <w:pStyle w:val="Standardntext"/>
      </w:pPr>
      <w:r w:rsidRPr="008B53A9">
        <w:t xml:space="preserve">V rámci prvně jmenované problémové oblasti </w:t>
      </w:r>
      <w:r w:rsidR="004047C8" w:rsidRPr="008B53A9">
        <w:t xml:space="preserve">„Konkurenceschopnost ekonomiky“ </w:t>
      </w:r>
      <w:r w:rsidR="00EB008C" w:rsidRPr="008B53A9">
        <w:t>jsou z pohledu OP PIK</w:t>
      </w:r>
      <w:r w:rsidR="00193874" w:rsidRPr="008B53A9">
        <w:t>, jmenovitě prioritní osy 1,</w:t>
      </w:r>
      <w:r w:rsidR="00EB008C" w:rsidRPr="008B53A9">
        <w:t xml:space="preserve"> nejzásadnější tyto potřeby rozvoje:</w:t>
      </w:r>
      <w:r w:rsidRPr="008B53A9">
        <w:t xml:space="preserve"> </w:t>
      </w:r>
      <w:r w:rsidR="00676B8B" w:rsidRPr="008B53A9">
        <w:t>vy</w:t>
      </w:r>
      <w:r w:rsidR="008E1526" w:rsidRPr="008B53A9">
        <w:t>u</w:t>
      </w:r>
      <w:r w:rsidR="00676B8B" w:rsidRPr="008B53A9">
        <w:t>žití</w:t>
      </w:r>
      <w:r w:rsidR="00676B8B" w:rsidRPr="008B53A9">
        <w:rPr>
          <w:bCs/>
        </w:rPr>
        <w:t xml:space="preserve"> výzkumně-vývojové kapacity podniků a výzkumných organizací s cílem zavedení nových aplikací na trhu v technologicky náročnějších oblastech</w:t>
      </w:r>
      <w:r w:rsidR="00735782" w:rsidRPr="008B53A9">
        <w:rPr>
          <w:bCs/>
        </w:rPr>
        <w:t>, zvýšení kvality a intenzity spolupráce veřejného a soukromého sektoru v oblasti VaVaI, rozšíření kapacit průmyslového výzkumu a vývoje v podnicích, vývoj a zavádění procesních a produktových inovací</w:t>
      </w:r>
      <w:r w:rsidR="00193874" w:rsidRPr="008B53A9">
        <w:t>. Prioritní osa 1 reprezentuje příspěvek Operačního programu ke zvýšení kvality výzkumného a inovačního systému ČR.</w:t>
      </w:r>
    </w:p>
    <w:p w:rsidR="00BD427D" w:rsidRPr="008B53A9" w:rsidRDefault="00BD427D" w:rsidP="008F14D6">
      <w:pPr>
        <w:pStyle w:val="Standardntext"/>
      </w:pPr>
      <w:r w:rsidRPr="008B53A9">
        <w:t>Další</w:t>
      </w:r>
      <w:r w:rsidR="00EB008C" w:rsidRPr="008B53A9">
        <w:t>mi</w:t>
      </w:r>
      <w:r w:rsidRPr="008B53A9">
        <w:t xml:space="preserve"> potřeb</w:t>
      </w:r>
      <w:r w:rsidR="00EB008C" w:rsidRPr="008B53A9">
        <w:t>ami</w:t>
      </w:r>
      <w:r w:rsidRPr="008B53A9">
        <w:t xml:space="preserve"> rozvoje </w:t>
      </w:r>
      <w:r w:rsidR="00EB008C" w:rsidRPr="008B53A9">
        <w:t>jsou</w:t>
      </w:r>
      <w:r w:rsidRPr="008B53A9">
        <w:t xml:space="preserve"> zvýšení schopnosti </w:t>
      </w:r>
      <w:r w:rsidR="00E2669C" w:rsidRPr="008B53A9">
        <w:t xml:space="preserve">MSP </w:t>
      </w:r>
      <w:r w:rsidR="00EB008C" w:rsidRPr="008B53A9">
        <w:t>samostatně se prosazovat na náročných a vzdálených zahraničních trzích</w:t>
      </w:r>
      <w:r w:rsidR="003412FC" w:rsidRPr="008B53A9">
        <w:t xml:space="preserve">, </w:t>
      </w:r>
      <w:r w:rsidR="008F14D6" w:rsidRPr="008B53A9">
        <w:t>zvýšení dostupnosti vnějšího financování pro začínající podnikatele a inovační podniky, včetně rizikového kapitálu, zajištění kvalitních služeb pro začínající podnikatele a v neposle</w:t>
      </w:r>
      <w:r w:rsidR="003418FF" w:rsidRPr="008B53A9">
        <w:t>d</w:t>
      </w:r>
      <w:r w:rsidR="008F14D6" w:rsidRPr="008B53A9">
        <w:t xml:space="preserve">ní řadě </w:t>
      </w:r>
      <w:r w:rsidR="00EB008C" w:rsidRPr="008B53A9">
        <w:t>rozvoj infrastruktury a služeb podporující potřeby rozvoje podniků</w:t>
      </w:r>
      <w:r w:rsidR="008F14D6" w:rsidRPr="008B53A9">
        <w:t>.</w:t>
      </w:r>
      <w:r w:rsidR="006E3639" w:rsidRPr="008B53A9">
        <w:t xml:space="preserve"> Reakce OP PIK na </w:t>
      </w:r>
      <w:r w:rsidR="00641FA4" w:rsidRPr="008B53A9">
        <w:t>Dohod</w:t>
      </w:r>
      <w:r w:rsidR="00C410F3" w:rsidRPr="008B53A9">
        <w:t>ou</w:t>
      </w:r>
      <w:r w:rsidR="00641FA4" w:rsidRPr="008B53A9">
        <w:t xml:space="preserve"> takto akcentované</w:t>
      </w:r>
      <w:r w:rsidR="006E3639" w:rsidRPr="008B53A9">
        <w:t xml:space="preserve"> potřeby </w:t>
      </w:r>
      <w:r w:rsidR="00735782" w:rsidRPr="008B53A9">
        <w:t xml:space="preserve">rozvoje </w:t>
      </w:r>
      <w:r w:rsidR="006E3639" w:rsidRPr="008B53A9">
        <w:t>ČR je vtělena do prioritní os</w:t>
      </w:r>
      <w:r w:rsidR="00641FA4" w:rsidRPr="008B53A9">
        <w:t>y</w:t>
      </w:r>
      <w:r w:rsidR="006E3639" w:rsidRPr="008B53A9">
        <w:t xml:space="preserve"> 2, </w:t>
      </w:r>
      <w:r w:rsidR="00641FA4" w:rsidRPr="008B53A9">
        <w:t>kter</w:t>
      </w:r>
      <w:r w:rsidR="00193874" w:rsidRPr="008B53A9">
        <w:t>á</w:t>
      </w:r>
      <w:r w:rsidR="00641FA4" w:rsidRPr="008B53A9">
        <w:t xml:space="preserve"> prostřednictvím svých specifických cílů představuj</w:t>
      </w:r>
      <w:r w:rsidR="00193874" w:rsidRPr="008B53A9">
        <w:t xml:space="preserve">e </w:t>
      </w:r>
      <w:r w:rsidR="00F222F4" w:rsidRPr="008B53A9">
        <w:t xml:space="preserve">příspěvek </w:t>
      </w:r>
      <w:r w:rsidR="00193874" w:rsidRPr="008B53A9">
        <w:t>OP PIK</w:t>
      </w:r>
      <w:r w:rsidR="00F222F4" w:rsidRPr="008B53A9">
        <w:t xml:space="preserve"> ke</w:t>
      </w:r>
      <w:r w:rsidR="00641FA4" w:rsidRPr="008B53A9">
        <w:t xml:space="preserve"> zvýšení konkurenceschopnosti </w:t>
      </w:r>
      <w:r w:rsidR="00193874" w:rsidRPr="008B53A9">
        <w:t xml:space="preserve">malých a středních </w:t>
      </w:r>
      <w:r w:rsidR="00641FA4" w:rsidRPr="008B53A9">
        <w:t>podniků.</w:t>
      </w:r>
    </w:p>
    <w:p w:rsidR="000B20CD" w:rsidRPr="008B53A9" w:rsidRDefault="00BD427D" w:rsidP="00BD427D">
      <w:pPr>
        <w:pStyle w:val="Standardntext"/>
      </w:pPr>
      <w:r w:rsidRPr="008B53A9">
        <w:t xml:space="preserve">Pokud jde o problémovou oblast </w:t>
      </w:r>
      <w:r w:rsidR="00C410F3" w:rsidRPr="008B53A9">
        <w:t>„</w:t>
      </w:r>
      <w:r w:rsidRPr="008B53A9">
        <w:t>Infrastruktura</w:t>
      </w:r>
      <w:r w:rsidR="00C410F3" w:rsidRPr="008B53A9">
        <w:t>“</w:t>
      </w:r>
      <w:r w:rsidRPr="008B53A9">
        <w:t xml:space="preserve">, </w:t>
      </w:r>
      <w:r w:rsidR="007A74A6" w:rsidRPr="008B53A9">
        <w:t>cíle OP PIK promítající se do prioritní osy 3 a 4</w:t>
      </w:r>
      <w:r w:rsidR="00FD737A" w:rsidRPr="008B53A9">
        <w:t xml:space="preserve"> reagují na rozvojové potřeby v oblasti </w:t>
      </w:r>
      <w:r w:rsidR="00DF31CF" w:rsidRPr="008B53A9">
        <w:t xml:space="preserve">ICT a energetické </w:t>
      </w:r>
      <w:r w:rsidR="00FD737A" w:rsidRPr="008B53A9">
        <w:t>infrastruktury.</w:t>
      </w:r>
      <w:r w:rsidRPr="008B53A9">
        <w:t xml:space="preserve"> </w:t>
      </w:r>
      <w:r w:rsidR="00DF31CF" w:rsidRPr="008B53A9">
        <w:t>V případě ICT infrastruktury řadí Dohoda mezi rozvojové potřeby České republiky rozvoj infrastruktury pro vysokorychlostní přístup k internetu umožňující minimální přenosové rychlosti 30 Mbit/s důrazem na území bez stávající možnosti přístupu k vysokorychlostnímu internetu a dále posílení tvorby a fungování ICT aplikací a služeb, včetně sdílených služeb zahrnujících budování a modernizaci datových center. Tyto potřeby rozvoje pokrývá prioritní osa 4 OP PIK.</w:t>
      </w:r>
    </w:p>
    <w:p w:rsidR="008F14D6" w:rsidRPr="008B53A9" w:rsidRDefault="00050A91" w:rsidP="00BD427D">
      <w:pPr>
        <w:pStyle w:val="Standardntext"/>
      </w:pPr>
      <w:r w:rsidRPr="008B53A9">
        <w:t>Co se týká</w:t>
      </w:r>
      <w:r w:rsidR="00DF31CF" w:rsidRPr="008B53A9">
        <w:t xml:space="preserve"> </w:t>
      </w:r>
      <w:r w:rsidR="006E19EB" w:rsidRPr="008B53A9">
        <w:t>oblast</w:t>
      </w:r>
      <w:r w:rsidRPr="008B53A9">
        <w:t>i</w:t>
      </w:r>
      <w:r w:rsidR="006E19EB" w:rsidRPr="008B53A9">
        <w:t xml:space="preserve"> energetiky</w:t>
      </w:r>
      <w:r w:rsidR="00DF31CF" w:rsidRPr="008B53A9">
        <w:t xml:space="preserve">, Dohoda o partnerství identifikuje tyto potřeby rozvoje: </w:t>
      </w:r>
      <w:r w:rsidR="006E19EB" w:rsidRPr="008B53A9">
        <w:t xml:space="preserve">zvyšování podílu obnovitelných zdrojů energie (zejména biomasa a bioplyn) na spotřebě, posílení a modernizace přenosové soustavy a distribučních soustav s důrazem na zavádění prvků inteligentních sítí, </w:t>
      </w:r>
      <w:r w:rsidR="00DF31CF" w:rsidRPr="008B53A9">
        <w:t xml:space="preserve">snižování energetické a surovinové náročnosti výrobních a technologických </w:t>
      </w:r>
      <w:r w:rsidR="00DF31CF" w:rsidRPr="008B53A9">
        <w:lastRenderedPageBreak/>
        <w:t>procesů v průmyslu, zavádění eko-inovací do výrobních procesů a produktů,</w:t>
      </w:r>
      <w:r w:rsidR="006E19EB" w:rsidRPr="008B53A9">
        <w:t xml:space="preserve"> výstavba a modernizace systémů zásobování tepelnou energií a zdrojů kombinované výroby elektřiny a tepla. Na všechny tyto rozvojové potřeby re</w:t>
      </w:r>
      <w:r w:rsidR="000D2E9F" w:rsidRPr="008B53A9">
        <w:t>a</w:t>
      </w:r>
      <w:r w:rsidR="006E19EB" w:rsidRPr="008B53A9">
        <w:t>gují jednotlivé specifické cíle prioritní osy 3 Operačního programu.</w:t>
      </w:r>
    </w:p>
    <w:p w:rsidR="00BD427D" w:rsidRPr="008B53A9" w:rsidRDefault="00BD427D" w:rsidP="00BD427D">
      <w:pPr>
        <w:pStyle w:val="Standardntext"/>
      </w:pPr>
      <w:r w:rsidRPr="008B53A9">
        <w:t xml:space="preserve">S tím souvisí i poslední problémová oblast významná z hlediska OP PIK, kterou je </w:t>
      </w:r>
      <w:r w:rsidR="00C410F3" w:rsidRPr="008B53A9">
        <w:t>„</w:t>
      </w:r>
      <w:r w:rsidRPr="008B53A9">
        <w:t>Životní prostředí</w:t>
      </w:r>
      <w:r w:rsidR="00C410F3" w:rsidRPr="008B53A9">
        <w:t>“</w:t>
      </w:r>
      <w:r w:rsidRPr="008B53A9">
        <w:t xml:space="preserve">. </w:t>
      </w:r>
      <w:r w:rsidR="00403BC4" w:rsidRPr="008B53A9">
        <w:t xml:space="preserve">Mezi potřeby </w:t>
      </w:r>
      <w:r w:rsidR="006E19EB" w:rsidRPr="008B53A9">
        <w:t xml:space="preserve">rozvoje </w:t>
      </w:r>
      <w:r w:rsidR="00403BC4" w:rsidRPr="008B53A9">
        <w:t xml:space="preserve">v oblasti životního prostředí zahrnuje Dohoda o partnerství </w:t>
      </w:r>
      <w:r w:rsidR="00A868CE" w:rsidRPr="008B53A9">
        <w:t>podporu opatření vedoucích k energetickým úsporám</w:t>
      </w:r>
      <w:r w:rsidR="00403BC4" w:rsidRPr="008B53A9">
        <w:t xml:space="preserve"> </w:t>
      </w:r>
      <w:r w:rsidR="00A868CE" w:rsidRPr="008B53A9">
        <w:t>a využití OZE v podnikatelských budovách. Snížení energetické náročnosti české ekonomiky je přitom klíčovou oblastí, na níž se zaměřuje prioritní osa 3 Operačního programu. Do problémové oblasti „Životní prostředí“ dále spadá také podpora</w:t>
      </w:r>
      <w:r w:rsidRPr="008B53A9">
        <w:t xml:space="preserve"> regenerace brownfield</w:t>
      </w:r>
      <w:r w:rsidR="004038F0" w:rsidRPr="008B53A9">
        <w:t>ů</w:t>
      </w:r>
      <w:r w:rsidR="00403BC4" w:rsidRPr="008B53A9">
        <w:t xml:space="preserve">, což je zároveň jedna z priorit, na </w:t>
      </w:r>
      <w:r w:rsidR="00EC418B" w:rsidRPr="008B53A9">
        <w:t>kterou</w:t>
      </w:r>
      <w:r w:rsidR="00403BC4" w:rsidRPr="008B53A9">
        <w:t xml:space="preserve"> se soustředí prioritní osa 2 OP PIK</w:t>
      </w:r>
      <w:r w:rsidRPr="008B53A9">
        <w:t>.</w:t>
      </w:r>
    </w:p>
    <w:p w:rsidR="006D193A" w:rsidRPr="008B53A9" w:rsidRDefault="006D193A" w:rsidP="00396141">
      <w:pPr>
        <w:pStyle w:val="Modrnadpis"/>
      </w:pPr>
      <w:r w:rsidRPr="008B53A9">
        <w:t>Vazba Operačního programu na klíčové strategické dokumenty</w:t>
      </w:r>
    </w:p>
    <w:p w:rsidR="00394685" w:rsidRPr="008B53A9" w:rsidRDefault="006A3907" w:rsidP="005F73F8">
      <w:pPr>
        <w:pStyle w:val="Standardntext"/>
      </w:pPr>
      <w:r w:rsidRPr="008B53A9">
        <w:t xml:space="preserve">Dohoda o partnerství ve své analytické části obsahuje vazby </w:t>
      </w:r>
      <w:r w:rsidR="00764AC0" w:rsidRPr="008B53A9">
        <w:t>jednotlivých problémových oblastí</w:t>
      </w:r>
      <w:r w:rsidRPr="008B53A9">
        <w:t xml:space="preserve"> na strategické dokumenty EU a ČR. </w:t>
      </w:r>
      <w:r w:rsidR="009D4711" w:rsidRPr="008B53A9">
        <w:t>Ty tvoří společn</w:t>
      </w:r>
      <w:r w:rsidR="008F311E" w:rsidRPr="008B53A9">
        <w:t>ě</w:t>
      </w:r>
      <w:r w:rsidR="009D4711" w:rsidRPr="008B53A9">
        <w:t xml:space="preserve"> s vlastním analytickým podkladem </w:t>
      </w:r>
      <w:r w:rsidR="00764AC0" w:rsidRPr="008B53A9">
        <w:t xml:space="preserve">Dohody </w:t>
      </w:r>
      <w:r w:rsidR="009D4711" w:rsidRPr="008B53A9">
        <w:t>základ</w:t>
      </w:r>
      <w:r w:rsidR="00764AC0" w:rsidRPr="008B53A9">
        <w:t>ní stavební kámen</w:t>
      </w:r>
      <w:r w:rsidR="009D4711" w:rsidRPr="008B53A9">
        <w:t xml:space="preserve"> </w:t>
      </w:r>
      <w:r w:rsidR="00764AC0" w:rsidRPr="008B53A9">
        <w:t>pro strategii OP PIK</w:t>
      </w:r>
      <w:r w:rsidR="00BD3426" w:rsidRPr="008B53A9">
        <w:t>, neboť identifikují klíčové problémové oblasti národního hospodářství a na ně reagující priority, cíle či konkrétní opatření</w:t>
      </w:r>
      <w:r w:rsidR="00764AC0" w:rsidRPr="008B53A9">
        <w:t>.</w:t>
      </w:r>
      <w:r w:rsidR="008F311E" w:rsidRPr="008B53A9">
        <w:t xml:space="preserve"> K jednotlivým dokumentům klíčovým pro Dohodu o partnerství lze z pohledu OP PIK uvést následující.</w:t>
      </w:r>
    </w:p>
    <w:p w:rsidR="00394685" w:rsidRPr="008B53A9" w:rsidRDefault="008F311E" w:rsidP="005F73F8">
      <w:pPr>
        <w:pStyle w:val="Standardntext"/>
        <w:rPr>
          <w:b/>
        </w:rPr>
      </w:pPr>
      <w:r w:rsidRPr="008B53A9">
        <w:rPr>
          <w:b/>
        </w:rPr>
        <w:t>Národní program reforem</w:t>
      </w:r>
      <w:r w:rsidR="00DB057D" w:rsidRPr="008B53A9">
        <w:rPr>
          <w:b/>
        </w:rPr>
        <w:t xml:space="preserve"> ČR</w:t>
      </w:r>
      <w:r w:rsidR="00774539" w:rsidRPr="008B53A9">
        <w:rPr>
          <w:b/>
        </w:rPr>
        <w:t xml:space="preserve"> </w:t>
      </w:r>
      <w:r w:rsidR="00774539" w:rsidRPr="008B53A9">
        <w:t>(dále také „NPR“)</w:t>
      </w:r>
    </w:p>
    <w:p w:rsidR="00D966D3" w:rsidRPr="008B53A9" w:rsidRDefault="00D966D3" w:rsidP="00D966D3">
      <w:pPr>
        <w:pStyle w:val="Standardntext"/>
        <w:rPr>
          <w:color w:val="FF0000"/>
        </w:rPr>
      </w:pPr>
      <w:r w:rsidRPr="008B53A9">
        <w:t>Národní program reforem ČR</w:t>
      </w:r>
      <w:r w:rsidR="00DB057D" w:rsidRPr="008B53A9">
        <w:t xml:space="preserve"> je dokument </w:t>
      </w:r>
      <w:r w:rsidRPr="008B53A9">
        <w:t xml:space="preserve">definující příspěvek České republiky k plnění cílů Strategie Evropa 2020. NPR stanovuje hlavní zásady reformních opatření ČR, zatímco konkrétní kroky a podrobné návrhy jsou obsaženy ve strategických dokumentech zpracovávaných v jednotlivých oblastech kompetenčně příslušnými orgány státní správy, příp. samosprávy. Vazba OP PIK na tyto strategické dokumenty je obsažena </w:t>
      </w:r>
      <w:r w:rsidR="00A146B9" w:rsidRPr="008B53A9">
        <w:t>dále v této kapitole</w:t>
      </w:r>
      <w:r w:rsidRPr="008B53A9">
        <w:t>.</w:t>
      </w:r>
    </w:p>
    <w:p w:rsidR="00DB057D" w:rsidRPr="008B53A9" w:rsidRDefault="00C92215" w:rsidP="00DB057D">
      <w:pPr>
        <w:pStyle w:val="Standardntext"/>
      </w:pPr>
      <w:r w:rsidRPr="008B53A9">
        <w:t>Národní program reforem ČR 2014</w:t>
      </w:r>
      <w:r w:rsidR="005F73F8" w:rsidRPr="008B53A9">
        <w:t xml:space="preserve">, který schválila vláda </w:t>
      </w:r>
      <w:r w:rsidR="00EA1D58" w:rsidRPr="008B53A9">
        <w:t xml:space="preserve">ČR </w:t>
      </w:r>
      <w:r w:rsidR="006B3259" w:rsidRPr="008B53A9">
        <w:t xml:space="preserve">dne 16. </w:t>
      </w:r>
      <w:r w:rsidR="00DE2C73" w:rsidRPr="008B53A9">
        <w:t>dubna</w:t>
      </w:r>
      <w:r w:rsidR="006B3259" w:rsidRPr="008B53A9">
        <w:t xml:space="preserve"> 2014</w:t>
      </w:r>
      <w:r w:rsidR="00760F8F" w:rsidRPr="008B53A9">
        <w:rPr>
          <w:rStyle w:val="Znakapoznpodarou"/>
        </w:rPr>
        <w:footnoteReference w:id="13"/>
      </w:r>
      <w:r w:rsidR="005F73F8" w:rsidRPr="008B53A9">
        <w:t>, je rámcově koncipován na celé období do roku 2020 a je každoročně aktualizován v rámci tzv. evropského semestru, a to s ohledem na vývoj naplňování cílů Strategie Evropa 2020 na celoevropské úrovni, na dosažený pokrok v České republice a na vývoj politických priorit vlády. NPR 201</w:t>
      </w:r>
      <w:r w:rsidR="006B3259" w:rsidRPr="008B53A9">
        <w:t>4</w:t>
      </w:r>
      <w:r w:rsidR="005F73F8" w:rsidRPr="008B53A9">
        <w:t xml:space="preserve"> </w:t>
      </w:r>
      <w:r w:rsidR="006B3259" w:rsidRPr="008B53A9">
        <w:t>zobrazuje reformní úsilí vlády ve čtyřech prioritách, přičemž</w:t>
      </w:r>
      <w:r w:rsidR="00DB057D" w:rsidRPr="008B53A9">
        <w:t xml:space="preserve"> </w:t>
      </w:r>
      <w:r w:rsidR="005F73F8" w:rsidRPr="008B53A9">
        <w:t>OP PIK bude přispívat k naplňování klíčových opatření obsažených především v prioritě č. 2</w:t>
      </w:r>
      <w:r w:rsidR="00DB057D" w:rsidRPr="008B53A9">
        <w:t xml:space="preserve"> „Atraktivní podnikatelské prostředí a rozvoj infrastruktury pro český průmysl“</w:t>
      </w:r>
      <w:r w:rsidR="005F73F8" w:rsidRPr="008B53A9">
        <w:t xml:space="preserve"> a prioritě č. 4</w:t>
      </w:r>
      <w:r w:rsidR="00DB057D" w:rsidRPr="008B53A9">
        <w:t xml:space="preserve"> „Růst založený na výzkumu</w:t>
      </w:r>
      <w:r w:rsidR="00FD5FD4" w:rsidRPr="008B53A9">
        <w:t xml:space="preserve"> a inovacích</w:t>
      </w:r>
      <w:r w:rsidR="00DB057D" w:rsidRPr="008B53A9">
        <w:t>“.</w:t>
      </w:r>
    </w:p>
    <w:p w:rsidR="00DE2C7F" w:rsidRPr="008B53A9" w:rsidRDefault="005F73F8" w:rsidP="00DB057D">
      <w:pPr>
        <w:pStyle w:val="Standardntext"/>
      </w:pPr>
      <w:r w:rsidRPr="008B53A9">
        <w:t xml:space="preserve">Priorita „Atraktivní podnikatelské prostředí a rozvoj infrastruktury pro český průmysl“ obsahuje celkem </w:t>
      </w:r>
      <w:r w:rsidR="006B3259" w:rsidRPr="008B53A9">
        <w:t>7</w:t>
      </w:r>
      <w:r w:rsidRPr="008B53A9">
        <w:t xml:space="preserve"> oblastí, přičemž OP PIK má vazbu na </w:t>
      </w:r>
      <w:r w:rsidR="00FD5FD4" w:rsidRPr="008B53A9">
        <w:t>čtyři</w:t>
      </w:r>
      <w:r w:rsidRPr="008B53A9">
        <w:t xml:space="preserve"> z nich. K naplňování oblasti „</w:t>
      </w:r>
      <w:r w:rsidRPr="008B53A9">
        <w:rPr>
          <w:i/>
        </w:rPr>
        <w:t>Zlepšování podnikatelského prostředí, rozvoj služeb pro podnikání</w:t>
      </w:r>
      <w:r w:rsidRPr="008B53A9">
        <w:t xml:space="preserve">“ OP PIK přispěje </w:t>
      </w:r>
      <w:r w:rsidR="008A0C51" w:rsidRPr="008B53A9">
        <w:rPr>
          <w:lang w:val="cs-CZ"/>
        </w:rPr>
        <w:t xml:space="preserve">právě </w:t>
      </w:r>
      <w:r w:rsidRPr="008B53A9">
        <w:t>rozvoje</w:t>
      </w:r>
      <w:r w:rsidR="008A0C51" w:rsidRPr="008B53A9">
        <w:rPr>
          <w:lang w:val="cs-CZ"/>
        </w:rPr>
        <w:t>m</w:t>
      </w:r>
      <w:r w:rsidRPr="008B53A9">
        <w:t xml:space="preserve"> podnikatelských služeb</w:t>
      </w:r>
      <w:r w:rsidR="008A0C51" w:rsidRPr="008B53A9">
        <w:rPr>
          <w:lang w:val="cs-CZ"/>
        </w:rPr>
        <w:t>.</w:t>
      </w:r>
      <w:r w:rsidRPr="008B53A9">
        <w:t xml:space="preserve"> V</w:t>
      </w:r>
      <w:r w:rsidR="00DE2C7F" w:rsidRPr="008B53A9">
        <w:t xml:space="preserve"> </w:t>
      </w:r>
      <w:r w:rsidRPr="008B53A9">
        <w:t>oblasti „</w:t>
      </w:r>
      <w:r w:rsidR="006B3259" w:rsidRPr="008B53A9">
        <w:rPr>
          <w:i/>
        </w:rPr>
        <w:t>Průmyslová politika</w:t>
      </w:r>
      <w:r w:rsidRPr="008B53A9">
        <w:t xml:space="preserve">“ patří </w:t>
      </w:r>
      <w:r w:rsidR="00785460" w:rsidRPr="008B53A9">
        <w:t xml:space="preserve">mezi klíčová opatření, která bude </w:t>
      </w:r>
      <w:r w:rsidRPr="008B53A9">
        <w:t>OP PIK</w:t>
      </w:r>
      <w:r w:rsidR="00785460" w:rsidRPr="008B53A9">
        <w:t xml:space="preserve"> svými aktivitami přímo naplňovat,</w:t>
      </w:r>
      <w:r w:rsidRPr="008B53A9">
        <w:t xml:space="preserve"> </w:t>
      </w:r>
      <w:r w:rsidR="00DE2C7F" w:rsidRPr="008B53A9">
        <w:t>jednoznačně podpora malých a středních podniků</w:t>
      </w:r>
      <w:r w:rsidR="00592BFC" w:rsidRPr="008B53A9">
        <w:t xml:space="preserve"> vycházející z Koncepce podpory MSP (viz níže)</w:t>
      </w:r>
      <w:r w:rsidR="00DE2C7F" w:rsidRPr="008B53A9">
        <w:t>. Oblast „</w:t>
      </w:r>
      <w:r w:rsidR="00DE2C7F" w:rsidRPr="008B53A9">
        <w:rPr>
          <w:i/>
        </w:rPr>
        <w:t>Digitální infrastruktura</w:t>
      </w:r>
      <w:r w:rsidR="00DE2C7F" w:rsidRPr="008B53A9">
        <w:t>“ identifikuje ve s</w:t>
      </w:r>
      <w:r w:rsidR="00592BFC" w:rsidRPr="008B53A9">
        <w:t xml:space="preserve">hodě s OP PIK potřebu </w:t>
      </w:r>
      <w:r w:rsidR="00DE2C7F" w:rsidRPr="008B53A9">
        <w:t>rozvoje vysokorychlostních přístupových sítí k</w:t>
      </w:r>
      <w:r w:rsidR="00592BFC" w:rsidRPr="008B53A9">
        <w:t> </w:t>
      </w:r>
      <w:r w:rsidR="00DE2C7F" w:rsidRPr="008B53A9">
        <w:t>internetu</w:t>
      </w:r>
      <w:r w:rsidR="00592BFC" w:rsidRPr="008B53A9">
        <w:t>, kde si vláda stanovila cíl v podobě snížení nákladů na jejich výstavbu, mj. v návaznosti na transpozici směrnice o opatřeních ke snížení nákladů na zavádění vysokorychlostních sítí elektronických komunikací</w:t>
      </w:r>
      <w:r w:rsidR="00DE2C7F" w:rsidRPr="008B53A9">
        <w:t>.</w:t>
      </w:r>
      <w:r w:rsidR="00592BFC" w:rsidRPr="008B53A9">
        <w:t xml:space="preserve"> Cílem vlády v oblasti „</w:t>
      </w:r>
      <w:r w:rsidR="00592BFC" w:rsidRPr="008B53A9">
        <w:rPr>
          <w:i/>
        </w:rPr>
        <w:t xml:space="preserve">Energetika a </w:t>
      </w:r>
      <w:r w:rsidR="00592BFC" w:rsidRPr="008B53A9">
        <w:rPr>
          <w:i/>
        </w:rPr>
        <w:lastRenderedPageBreak/>
        <w:t>ochrana klimatu</w:t>
      </w:r>
      <w:r w:rsidR="00592BFC" w:rsidRPr="008B53A9">
        <w:t xml:space="preserve">“ je zajištění efektivního přechodu na konkurenceschopné nízkouhlíkové hospodářství. Ve vztahu k OP PIK jde především o </w:t>
      </w:r>
      <w:r w:rsidR="00FD5FD4" w:rsidRPr="008B53A9">
        <w:t>zvyšování energetické účinnosti, posílení kapacity přenosových sítí v souvislosti s rozvojem obnovitelných zdrojů energie (dále také „OZE“), zvyšování účinnosti materiálového a energetického využití surovin a využití biomasy.</w:t>
      </w:r>
    </w:p>
    <w:p w:rsidR="005F73F8" w:rsidRPr="008B53A9" w:rsidRDefault="005F73F8" w:rsidP="00DB057D">
      <w:pPr>
        <w:pStyle w:val="Standardntext"/>
      </w:pPr>
      <w:r w:rsidRPr="008B53A9">
        <w:t xml:space="preserve">Priorita „Růst založený na </w:t>
      </w:r>
      <w:r w:rsidR="00FD5FD4" w:rsidRPr="008B53A9">
        <w:t>výzkumu a inovacích</w:t>
      </w:r>
      <w:r w:rsidRPr="008B53A9">
        <w:t xml:space="preserve">“ představuje jeden ze stavebních kamenů kohezní politiky let 2014 - 2020 vytvářející základní předpoklady konkurenceschopnosti ČR a dlouhodobého hospodářského růstu. Tato priorita obsahuje </w:t>
      </w:r>
      <w:r w:rsidR="00282C68" w:rsidRPr="008B53A9">
        <w:t>v </w:t>
      </w:r>
      <w:r w:rsidR="00B2096C" w:rsidRPr="008B53A9">
        <w:t>NPR</w:t>
      </w:r>
      <w:r w:rsidR="00282C68" w:rsidRPr="008B53A9">
        <w:t xml:space="preserve"> 2014 následující</w:t>
      </w:r>
      <w:r w:rsidRPr="008B53A9">
        <w:t xml:space="preserve"> oblasti s přímou vazbou na OP PIK. Prvně jde o oblast „</w:t>
      </w:r>
      <w:r w:rsidRPr="008B53A9">
        <w:rPr>
          <w:i/>
        </w:rPr>
        <w:t xml:space="preserve">Rozvoj spolupráce mezi podnikovou sférou a výzkumnými </w:t>
      </w:r>
      <w:r w:rsidR="00036F2B" w:rsidRPr="008B53A9">
        <w:rPr>
          <w:i/>
        </w:rPr>
        <w:t>organizacemi</w:t>
      </w:r>
      <w:r w:rsidRPr="008B53A9">
        <w:t xml:space="preserve">“, která klade důraz na podporu aplikovaného výzkumu a experimentálního vývoje pro potřeby průmyslu, přenos výsledků výzkumu a vývoje do praxe a jejich komercionalizaci a zvýšení ochrany a využití práv duševního vlastnictví. </w:t>
      </w:r>
      <w:r w:rsidR="008D0F65" w:rsidRPr="008B53A9">
        <w:t xml:space="preserve">V této oblasti bude OP PIK realizován v souladu s národní strategií </w:t>
      </w:r>
      <w:r w:rsidRPr="008B53A9">
        <w:t>inteligentní specializace</w:t>
      </w:r>
      <w:r w:rsidR="00282C68" w:rsidRPr="008B53A9">
        <w:t xml:space="preserve"> (viz níže)</w:t>
      </w:r>
      <w:r w:rsidRPr="008B53A9">
        <w:t>, což napomůže stimulaci inovačního potenciálu</w:t>
      </w:r>
      <w:r w:rsidR="008D0F65" w:rsidRPr="008B53A9">
        <w:t xml:space="preserve"> ČR jako celku i </w:t>
      </w:r>
      <w:r w:rsidRPr="008B53A9">
        <w:t>jednotlivých regionů</w:t>
      </w:r>
      <w:r w:rsidR="008D0F65" w:rsidRPr="008B53A9">
        <w:t xml:space="preserve">. </w:t>
      </w:r>
      <w:r w:rsidRPr="008B53A9">
        <w:t>Druhou oblastí je „</w:t>
      </w:r>
      <w:r w:rsidRPr="008B53A9">
        <w:rPr>
          <w:i/>
        </w:rPr>
        <w:t>Inovač</w:t>
      </w:r>
      <w:r w:rsidR="00036F2B" w:rsidRPr="008B53A9">
        <w:rPr>
          <w:i/>
        </w:rPr>
        <w:t>ní podnikání a rozvoj start-upů</w:t>
      </w:r>
      <w:r w:rsidRPr="008B53A9">
        <w:t>“, mezi jejíž klíčová opatření patří podpora pro poskytování rizikového kapitálu včetně naplňování účelu seed fondu a dále rozvoj systému monitoringu světových trhů a vývoje na poli výzkumu a technologií, který umožní odborně identifikovat sociální, ekonomické a technologické trendy na cizích trzích (technologický foresight).</w:t>
      </w:r>
      <w:r w:rsidR="00036F2B" w:rsidRPr="008B53A9">
        <w:t xml:space="preserve"> K poslední oblasti této priority, kterou jsou „</w:t>
      </w:r>
      <w:r w:rsidR="00036F2B" w:rsidRPr="008B53A9">
        <w:rPr>
          <w:i/>
        </w:rPr>
        <w:t>Kosmické aktivity</w:t>
      </w:r>
      <w:r w:rsidR="00036F2B" w:rsidRPr="008B53A9">
        <w:t>“, bude OP PIK přispívat dílčím způsobem prostřednictvím výzkumu a vývoje, což je součást jednoho z klíčových opatření NPR 2014 zaměřeného na podporu investic do kosmických aktivit.</w:t>
      </w:r>
    </w:p>
    <w:p w:rsidR="005F73F8" w:rsidRPr="008B53A9" w:rsidRDefault="00DB057D" w:rsidP="005F73F8">
      <w:pPr>
        <w:pStyle w:val="Standardntext"/>
      </w:pPr>
      <w:r w:rsidRPr="008B53A9">
        <w:rPr>
          <w:b/>
        </w:rPr>
        <w:t>Doporučení Rady k národnímu programu reforem České republiky na rok 2013</w:t>
      </w:r>
      <w:r w:rsidR="00774539" w:rsidRPr="008B53A9">
        <w:rPr>
          <w:b/>
        </w:rPr>
        <w:t xml:space="preserve"> </w:t>
      </w:r>
      <w:r w:rsidR="00774539" w:rsidRPr="008B53A9">
        <w:t>(dále také „Doporučení Rady“)</w:t>
      </w:r>
    </w:p>
    <w:p w:rsidR="005A41AA" w:rsidRPr="008B53A9" w:rsidRDefault="00CC4163" w:rsidP="005A41AA">
      <w:pPr>
        <w:pStyle w:val="Textkomente"/>
        <w:rPr>
          <w:rFonts w:ascii="Times New Roman" w:hAnsi="Times New Roman"/>
          <w:sz w:val="24"/>
          <w:szCs w:val="24"/>
        </w:rPr>
      </w:pPr>
      <w:r w:rsidRPr="008B53A9">
        <w:rPr>
          <w:rFonts w:ascii="Times New Roman" w:hAnsi="Times New Roman"/>
          <w:sz w:val="24"/>
          <w:szCs w:val="24"/>
        </w:rPr>
        <w:t xml:space="preserve">V návaznosti na NPR </w:t>
      </w:r>
      <w:r w:rsidR="005A41AA" w:rsidRPr="008B53A9">
        <w:rPr>
          <w:rFonts w:ascii="Times New Roman" w:hAnsi="Times New Roman"/>
          <w:sz w:val="24"/>
          <w:szCs w:val="24"/>
        </w:rPr>
        <w:t xml:space="preserve">2013 </w:t>
      </w:r>
      <w:r w:rsidRPr="008B53A9">
        <w:rPr>
          <w:rFonts w:ascii="Times New Roman" w:hAnsi="Times New Roman"/>
          <w:sz w:val="24"/>
          <w:szCs w:val="24"/>
        </w:rPr>
        <w:t>bylo vydáno Doporučení Rady, ve kterém Rada Evropské unie formulovala sedm doporučení pro ČR. Z hlediska OP PIK</w:t>
      </w:r>
      <w:r w:rsidR="008117E6" w:rsidRPr="008B53A9">
        <w:rPr>
          <w:rFonts w:ascii="Times New Roman" w:hAnsi="Times New Roman"/>
          <w:sz w:val="24"/>
          <w:szCs w:val="24"/>
        </w:rPr>
        <w:t>, konkrétně prioritní osy 3,</w:t>
      </w:r>
      <w:r w:rsidRPr="008B53A9">
        <w:rPr>
          <w:rFonts w:ascii="Times New Roman" w:hAnsi="Times New Roman"/>
          <w:sz w:val="24"/>
          <w:szCs w:val="24"/>
        </w:rPr>
        <w:t xml:space="preserve"> je významné především doporučení přijmout další opatření ke zlepšení energetické náročnosti budov a průmyslových odvětví. V průvodním dokumentu k Doporučení Rady, byla formulována další doporučení, která mají vazbu na OP PIK. Patří mezi ně např. snížení doby a nákladů na založení podniku (což se týká </w:t>
      </w:r>
      <w:r w:rsidR="008A0C51" w:rsidRPr="008B53A9">
        <w:rPr>
          <w:rFonts w:ascii="Times New Roman" w:hAnsi="Times New Roman"/>
          <w:sz w:val="24"/>
          <w:szCs w:val="24"/>
          <w:lang w:val="cs-CZ"/>
        </w:rPr>
        <w:t>rovněž</w:t>
      </w:r>
      <w:r w:rsidRPr="008B53A9">
        <w:rPr>
          <w:rFonts w:ascii="Times New Roman" w:hAnsi="Times New Roman"/>
          <w:sz w:val="24"/>
          <w:szCs w:val="24"/>
        </w:rPr>
        <w:t xml:space="preserve"> naplnění předběžné podmínky </w:t>
      </w:r>
      <w:r w:rsidR="008A0C51" w:rsidRPr="008B53A9">
        <w:rPr>
          <w:rFonts w:ascii="Times New Roman" w:hAnsi="Times New Roman"/>
          <w:sz w:val="24"/>
          <w:szCs w:val="24"/>
          <w:lang w:val="cs-CZ"/>
        </w:rPr>
        <w:t>3.1/</w:t>
      </w:r>
      <w:r w:rsidRPr="008B53A9">
        <w:rPr>
          <w:rFonts w:ascii="Times New Roman" w:hAnsi="Times New Roman"/>
          <w:sz w:val="24"/>
          <w:szCs w:val="24"/>
        </w:rPr>
        <w:t>8.2), nízké výdaje podniků na výzkum a vývoj nebo nízký počet patentových přihlášek.</w:t>
      </w:r>
      <w:r w:rsidR="006D193A" w:rsidRPr="008B53A9">
        <w:rPr>
          <w:rFonts w:ascii="Times New Roman" w:hAnsi="Times New Roman"/>
          <w:sz w:val="24"/>
          <w:szCs w:val="24"/>
        </w:rPr>
        <w:t xml:space="preserve"> </w:t>
      </w:r>
      <w:r w:rsidR="008117E6" w:rsidRPr="008B53A9">
        <w:rPr>
          <w:rFonts w:ascii="Times New Roman" w:hAnsi="Times New Roman"/>
          <w:sz w:val="24"/>
          <w:szCs w:val="24"/>
        </w:rPr>
        <w:t>Na tato doporučení reaguje zejména p</w:t>
      </w:r>
      <w:r w:rsidR="006D193A" w:rsidRPr="008B53A9">
        <w:rPr>
          <w:rFonts w:ascii="Times New Roman" w:hAnsi="Times New Roman"/>
          <w:sz w:val="24"/>
          <w:szCs w:val="24"/>
        </w:rPr>
        <w:t>rioritní osa 1</w:t>
      </w:r>
      <w:r w:rsidR="008117E6" w:rsidRPr="008B53A9">
        <w:rPr>
          <w:rFonts w:ascii="Times New Roman" w:hAnsi="Times New Roman"/>
          <w:sz w:val="24"/>
          <w:szCs w:val="24"/>
        </w:rPr>
        <w:t>.</w:t>
      </w:r>
      <w:r w:rsidR="005A41AA" w:rsidRPr="008B53A9">
        <w:rPr>
          <w:rFonts w:ascii="Times New Roman" w:hAnsi="Times New Roman"/>
          <w:sz w:val="24"/>
          <w:szCs w:val="24"/>
        </w:rPr>
        <w:t xml:space="preserve"> V návaznosti na NPR 2014 navrhuje EK Radě, aby doporučila České republice </w:t>
      </w:r>
      <w:r w:rsidR="00136D1D" w:rsidRPr="008B53A9">
        <w:rPr>
          <w:rFonts w:ascii="Times New Roman" w:hAnsi="Times New Roman"/>
          <w:sz w:val="24"/>
          <w:szCs w:val="24"/>
        </w:rPr>
        <w:t xml:space="preserve">pro oblast energetiky </w:t>
      </w:r>
      <w:r w:rsidR="005A41AA" w:rsidRPr="008B53A9">
        <w:rPr>
          <w:rFonts w:ascii="Times New Roman" w:hAnsi="Times New Roman"/>
          <w:sz w:val="24"/>
          <w:szCs w:val="24"/>
        </w:rPr>
        <w:t>pokračovat v úsilí o zvýšení energetické účinnosti v</w:t>
      </w:r>
      <w:r w:rsidR="008A0C51" w:rsidRPr="008B53A9">
        <w:rPr>
          <w:rFonts w:ascii="Times New Roman" w:hAnsi="Times New Roman"/>
          <w:sz w:val="24"/>
          <w:szCs w:val="24"/>
        </w:rPr>
        <w:t> </w:t>
      </w:r>
      <w:r w:rsidR="005A41AA" w:rsidRPr="008B53A9">
        <w:rPr>
          <w:rFonts w:ascii="Times New Roman" w:hAnsi="Times New Roman"/>
          <w:sz w:val="24"/>
          <w:szCs w:val="24"/>
        </w:rPr>
        <w:t>ekonomice</w:t>
      </w:r>
      <w:r w:rsidR="008A0C51" w:rsidRPr="008B53A9">
        <w:rPr>
          <w:rFonts w:ascii="Times New Roman" w:hAnsi="Times New Roman"/>
          <w:sz w:val="24"/>
          <w:szCs w:val="24"/>
          <w:lang w:val="cs-CZ"/>
        </w:rPr>
        <w:t>.</w:t>
      </w:r>
      <w:r w:rsidR="005A41AA" w:rsidRPr="008B53A9">
        <w:rPr>
          <w:rStyle w:val="Znakapoznpodarou"/>
          <w:rFonts w:ascii="Times New Roman" w:hAnsi="Times New Roman"/>
          <w:sz w:val="24"/>
          <w:szCs w:val="24"/>
        </w:rPr>
        <w:footnoteReference w:id="14"/>
      </w:r>
    </w:p>
    <w:p w:rsidR="008117E6" w:rsidRPr="008B53A9" w:rsidRDefault="00774539" w:rsidP="00CC4163">
      <w:pPr>
        <w:pStyle w:val="Standardntext"/>
        <w:rPr>
          <w:b/>
        </w:rPr>
      </w:pPr>
      <w:r w:rsidRPr="008B53A9">
        <w:rPr>
          <w:b/>
        </w:rPr>
        <w:t>Stanovisko útvarů Komise k vývoji v oblasti Dohody o partnerství a programů v České republice pro období 2014–2020</w:t>
      </w:r>
      <w:r w:rsidRPr="008B53A9">
        <w:t xml:space="preserve"> (dále také „</w:t>
      </w:r>
      <w:r w:rsidR="008117E6" w:rsidRPr="008B53A9">
        <w:t>Poziční dokument</w:t>
      </w:r>
      <w:r w:rsidRPr="008B53A9">
        <w:t>“)</w:t>
      </w:r>
    </w:p>
    <w:p w:rsidR="005F73F8" w:rsidRPr="008B53A9" w:rsidRDefault="008819EE" w:rsidP="008117E6">
      <w:pPr>
        <w:pStyle w:val="Standardntext"/>
      </w:pPr>
      <w:r w:rsidRPr="008B53A9">
        <w:t xml:space="preserve">Jak již bylo uvedeno, </w:t>
      </w:r>
      <w:r w:rsidR="00B05905" w:rsidRPr="008B53A9">
        <w:t>Poziční dokument</w:t>
      </w:r>
      <w:r w:rsidR="00137ED7" w:rsidRPr="008B53A9">
        <w:t xml:space="preserve"> </w:t>
      </w:r>
      <w:r w:rsidR="005F73F8" w:rsidRPr="008B53A9">
        <w:t xml:space="preserve">identifikuje specifické potřeby České republiky a uvádí pohled útvarů Komise na hlavní priority financování v ČR pro programové období 2014-2020. </w:t>
      </w:r>
      <w:r w:rsidR="005F73F8" w:rsidRPr="008B53A9">
        <w:rPr>
          <w:bCs/>
        </w:rPr>
        <w:t xml:space="preserve">Poziční dokument </w:t>
      </w:r>
      <w:r w:rsidR="005F73F8" w:rsidRPr="008B53A9">
        <w:t xml:space="preserve">obsahuje celkem pět priorit financování pro využití </w:t>
      </w:r>
      <w:r w:rsidR="00C509A0" w:rsidRPr="008B53A9">
        <w:t xml:space="preserve">ESIF </w:t>
      </w:r>
      <w:r w:rsidR="005F73F8" w:rsidRPr="008B53A9">
        <w:t xml:space="preserve">v ČR a k nim uvádí přidružené tematické cíle. Z pohledu OP PIK jsou stěžejní zejména </w:t>
      </w:r>
      <w:r w:rsidR="008117E6" w:rsidRPr="008B53A9">
        <w:t>dvě priority financování</w:t>
      </w:r>
      <w:r w:rsidR="00137ED7" w:rsidRPr="008B53A9">
        <w:t>:</w:t>
      </w:r>
      <w:r w:rsidR="008117E6" w:rsidRPr="008B53A9">
        <w:t xml:space="preserve"> „</w:t>
      </w:r>
      <w:r w:rsidR="005F73F8" w:rsidRPr="008B53A9">
        <w:t>podnikatelské prostředí příznivé pro inovace</w:t>
      </w:r>
      <w:r w:rsidR="008117E6" w:rsidRPr="008B53A9">
        <w:t>“ a „</w:t>
      </w:r>
      <w:r w:rsidR="005F73F8" w:rsidRPr="008B53A9">
        <w:t>hospodářství příznivé pro životní prostředí a nákladově efektivní hospodářství</w:t>
      </w:r>
      <w:r w:rsidR="008117E6" w:rsidRPr="008B53A9">
        <w:t>“</w:t>
      </w:r>
      <w:r w:rsidR="005F73F8" w:rsidRPr="008B53A9">
        <w:t>.</w:t>
      </w:r>
    </w:p>
    <w:p w:rsidR="005F73F8" w:rsidRPr="008B53A9" w:rsidRDefault="005F73F8" w:rsidP="005F73F8">
      <w:pPr>
        <w:pStyle w:val="Standardntext"/>
      </w:pPr>
      <w:r w:rsidRPr="008B53A9">
        <w:lastRenderedPageBreak/>
        <w:t xml:space="preserve">V rámci těchto priorit Poziční dokument identifikoval několik potřeb, které jsou pro OP PIK relevantní. </w:t>
      </w:r>
      <w:r w:rsidR="00BD3E49" w:rsidRPr="008B53A9">
        <w:t>J</w:t>
      </w:r>
      <w:r w:rsidRPr="008B53A9">
        <w:t>edná</w:t>
      </w:r>
      <w:r w:rsidR="00BD3E49" w:rsidRPr="008B53A9">
        <w:t xml:space="preserve"> se</w:t>
      </w:r>
      <w:r w:rsidRPr="008B53A9">
        <w:t xml:space="preserve"> především o zlepšení kvality infrastruktury pro výzkum a technologický rozvoj s prioritou modernizace a rozšíření výzkumného vybavení. Další prioritou je podpora podnikových investic do výzkumu a inovací, vývoje produktů a služeb, obchodování s výsledky výzkumu, přenosu technologií, vytváření sítí, rozvoje klastrů a aplikovaných inovací prostřednictvím inteligentní specializace. </w:t>
      </w:r>
      <w:r w:rsidR="00BD3E49" w:rsidRPr="008B53A9">
        <w:t>V</w:t>
      </w:r>
      <w:r w:rsidRPr="008B53A9">
        <w:t xml:space="preserve"> neposlední řadě jde o podporu technologického a aplikovaného výzkumu.</w:t>
      </w:r>
      <w:r w:rsidR="00BD3E49" w:rsidRPr="008B53A9">
        <w:t xml:space="preserve"> Realizaci těchto opatření bude zajišťovat prioritní osa 1 OP PIK.</w:t>
      </w:r>
    </w:p>
    <w:p w:rsidR="005F73F8" w:rsidRPr="008B53A9" w:rsidRDefault="005D2AC3" w:rsidP="005F73F8">
      <w:pPr>
        <w:pStyle w:val="Standardntext"/>
      </w:pPr>
      <w:r w:rsidRPr="008B53A9">
        <w:t xml:space="preserve">Mezi </w:t>
      </w:r>
      <w:r w:rsidR="00137ED7" w:rsidRPr="008B53A9">
        <w:t xml:space="preserve">další </w:t>
      </w:r>
      <w:r w:rsidRPr="008B53A9">
        <w:t>potřeby</w:t>
      </w:r>
      <w:r w:rsidR="00137ED7" w:rsidRPr="008B53A9">
        <w:t xml:space="preserve"> identifikované</w:t>
      </w:r>
      <w:r w:rsidRPr="008B53A9">
        <w:t xml:space="preserve"> </w:t>
      </w:r>
      <w:r w:rsidR="00137ED7" w:rsidRPr="008B53A9">
        <w:t xml:space="preserve">v </w:t>
      </w:r>
      <w:r w:rsidRPr="008B53A9">
        <w:t>Poziční</w:t>
      </w:r>
      <w:r w:rsidR="00137ED7" w:rsidRPr="008B53A9">
        <w:t>m</w:t>
      </w:r>
      <w:r w:rsidRPr="008B53A9">
        <w:t xml:space="preserve"> dokument</w:t>
      </w:r>
      <w:r w:rsidR="00137ED7" w:rsidRPr="008B53A9">
        <w:t>u</w:t>
      </w:r>
      <w:r w:rsidRPr="008B53A9">
        <w:t xml:space="preserve"> patří zlepšení přístupu k novým technologiím na podporu využívání inovací malými a středními podniky, zlepšení celkového podnikatelského prostředí pro malé a střední podniky prostřednictvím poskytnutí příslušné infrastruktury, modernizace a vylepšení stávajících průmyslových areálů a renovace brownfield</w:t>
      </w:r>
      <w:r w:rsidR="004038F0" w:rsidRPr="008B53A9">
        <w:t>ů</w:t>
      </w:r>
      <w:r w:rsidRPr="008B53A9">
        <w:t xml:space="preserve"> pro následné ekonomické využití. </w:t>
      </w:r>
      <w:r w:rsidR="00BD4942" w:rsidRPr="008B53A9">
        <w:t>Důraz je rovněž kladen na vytvoření škály finančních nástrojů, včetně nástrojů pro řízení rizik a vstupní kapitál, na podporu zakládání nových společností a pro rozvoj stávajících společností s potenciálem růstu. Dalšími potřebami jsou rozvoj služeb poradenství v podnikání, zejména v oblastech zakládání nových podniků, přenosu technologií, přístupu k novým trhům a s tím související poskytování podpory při internacionalizaci českých společností. Na všechna tato doporučení Pozičního dokumentu reaguje prioritní osa 2 OP PIK.</w:t>
      </w:r>
    </w:p>
    <w:p w:rsidR="005F73F8" w:rsidRPr="008B53A9" w:rsidRDefault="005F73F8" w:rsidP="005F73F8">
      <w:pPr>
        <w:pStyle w:val="Standardntext"/>
      </w:pPr>
      <w:r w:rsidRPr="008B53A9">
        <w:t>Poziční dokument</w:t>
      </w:r>
      <w:r w:rsidR="00BD3E49" w:rsidRPr="008B53A9">
        <w:t xml:space="preserve"> dále </w:t>
      </w:r>
      <w:r w:rsidRPr="008B53A9">
        <w:t>identifikoval potřeby spočívající v modernizaci zařízení na výrobu elektrické energie, distribuce a transformace za účelem zvýšení energetické účinnosti průmyslu a také zvýšení účinnosti distribučních tepelných sítí. V oblasti úspor energie je důležité rovněž zlepšení energetické náročnosti budov. Další prioritou je podpora využívání obnovitelných zdrojů energie ve výrobě elektrické energie, vytápění a chlazení, včetně příslušných investic do energetické infrastruktury a technologií. Potřeba byla identifikována</w:t>
      </w:r>
      <w:r w:rsidR="002F4154" w:rsidRPr="008B53A9">
        <w:t xml:space="preserve"> také v oblasti uplatňování eko</w:t>
      </w:r>
      <w:r w:rsidRPr="008B53A9">
        <w:t>inovací a ekologických technologií malými a středními podniky.</w:t>
      </w:r>
      <w:r w:rsidR="00BD3E49" w:rsidRPr="008B53A9">
        <w:t xml:space="preserve"> Tato doporučení jsou promítnuta do zaměření prioritní osy 3 OP PIK, přičemž oblast ekoinovací je obsažena v prioritní ose 1.</w:t>
      </w:r>
    </w:p>
    <w:p w:rsidR="005F73F8" w:rsidRPr="008B53A9" w:rsidRDefault="00BD3E49" w:rsidP="005F73F8">
      <w:pPr>
        <w:pStyle w:val="Standardntext"/>
      </w:pPr>
      <w:r w:rsidRPr="008B53A9">
        <w:t>V oblasti ICT byly</w:t>
      </w:r>
      <w:r w:rsidR="005F73F8" w:rsidRPr="008B53A9">
        <w:t> Pozičním dokumentu identifikovány dvě základní potřeby. Jednak jde o rozvoj digitálních služeb a kompetencí a kvality informačních a komunikačních technologií, zejména v méně rozvinutých oblastech k podpoře jejich udržitelnosti a konkurenceschopnosti. A dále se jedná o zlepšení přístupu k službám v rámci informačních a komunikačních technologií pro malé a střední podniky.</w:t>
      </w:r>
      <w:r w:rsidRPr="008B53A9">
        <w:t xml:space="preserve"> </w:t>
      </w:r>
      <w:r w:rsidR="00F74981" w:rsidRPr="008B53A9">
        <w:t>Na řešení těchto potřeb se orientuje prioritní osa 4 OP PIK.</w:t>
      </w:r>
    </w:p>
    <w:p w:rsidR="00F74981" w:rsidRPr="008B53A9" w:rsidRDefault="00F74981" w:rsidP="00F74981">
      <w:pPr>
        <w:pStyle w:val="Standardntext"/>
        <w:rPr>
          <w:b/>
        </w:rPr>
      </w:pPr>
      <w:r w:rsidRPr="008B53A9">
        <w:rPr>
          <w:b/>
        </w:rPr>
        <w:t>Strategie inteligentní specializace ČR</w:t>
      </w:r>
      <w:r w:rsidR="00774539" w:rsidRPr="008B53A9">
        <w:rPr>
          <w:b/>
        </w:rPr>
        <w:t xml:space="preserve"> </w:t>
      </w:r>
      <w:r w:rsidR="00774539" w:rsidRPr="008B53A9">
        <w:t>(dále také „</w:t>
      </w:r>
      <w:r w:rsidR="00092326" w:rsidRPr="008B53A9">
        <w:t>RIS3</w:t>
      </w:r>
      <w:r w:rsidR="00774539" w:rsidRPr="008B53A9">
        <w:t>“)</w:t>
      </w:r>
    </w:p>
    <w:p w:rsidR="00D21BF1" w:rsidRPr="008B53A9" w:rsidRDefault="002E6737" w:rsidP="00D21BF1">
      <w:pPr>
        <w:pStyle w:val="Standardntext"/>
      </w:pPr>
      <w:r w:rsidRPr="008B53A9">
        <w:t>RIS3</w:t>
      </w:r>
      <w:r w:rsidR="00D21BF1" w:rsidRPr="008B53A9">
        <w:t xml:space="preserve"> je v obecné rovině základním strategickým dokumentem pro zaměření národních i evropských zdrojů ve sféře výzkumu, vývoje a inovací. </w:t>
      </w:r>
      <w:r w:rsidRPr="008B53A9">
        <w:t>RIS3</w:t>
      </w:r>
      <w:r w:rsidR="0049441C" w:rsidRPr="008B53A9">
        <w:rPr>
          <w:rStyle w:val="Znakapoznpodarou"/>
        </w:rPr>
        <w:footnoteReference w:id="15"/>
      </w:r>
      <w:r w:rsidR="0049441C" w:rsidRPr="008B53A9">
        <w:t xml:space="preserve"> </w:t>
      </w:r>
      <w:r w:rsidR="00D21BF1" w:rsidRPr="008B53A9">
        <w:t>zohledňuje rozdíly v potenciálu i ve výzvách, kterým čelí jednotlivé kraje ČR, a na základě analýzy současného stavu a specifik krajských inovačních systémů navrhuje konkrétní, územně diferencované, priority. Opatření národní RIS3 zohledňují dvě základní dimenze. První dimenzi představují horizontální priority sloužící k dobudování, případně posílení inovačního systému jako takového. Druhou dimenzi tvoří vertikální priority spočívající v identifikaci domén perspektivní specializace.</w:t>
      </w:r>
    </w:p>
    <w:p w:rsidR="00D21BF1" w:rsidRPr="008B53A9" w:rsidRDefault="00D21BF1" w:rsidP="00D21BF1">
      <w:pPr>
        <w:pStyle w:val="Standardntext"/>
      </w:pPr>
      <w:r w:rsidRPr="008B53A9">
        <w:t xml:space="preserve">Národní RIS3 je zpracována v návaznosti na stávající strategické dokumenty ČR, a to především: </w:t>
      </w:r>
    </w:p>
    <w:p w:rsidR="00D21BF1" w:rsidRPr="008B53A9" w:rsidRDefault="00D21BF1" w:rsidP="005F43DF">
      <w:pPr>
        <w:pStyle w:val="Standardntext"/>
        <w:numPr>
          <w:ilvl w:val="0"/>
          <w:numId w:val="78"/>
        </w:numPr>
      </w:pPr>
      <w:r w:rsidRPr="008B53A9">
        <w:lastRenderedPageBreak/>
        <w:t>Národní inovační strategi</w:t>
      </w:r>
      <w:r w:rsidR="005C57E3" w:rsidRPr="008B53A9">
        <w:t>i ČR,</w:t>
      </w:r>
    </w:p>
    <w:p w:rsidR="00D21BF1" w:rsidRPr="008B53A9" w:rsidRDefault="00D21BF1" w:rsidP="005F43DF">
      <w:pPr>
        <w:pStyle w:val="Standardntext"/>
        <w:numPr>
          <w:ilvl w:val="0"/>
          <w:numId w:val="78"/>
        </w:numPr>
      </w:pPr>
      <w:r w:rsidRPr="008B53A9">
        <w:t>Strategi</w:t>
      </w:r>
      <w:r w:rsidR="005C57E3" w:rsidRPr="008B53A9">
        <w:t>i</w:t>
      </w:r>
      <w:r w:rsidRPr="008B53A9">
        <w:t xml:space="preserve"> mezinárodní konkurenceschopnosti</w:t>
      </w:r>
      <w:r w:rsidR="005C57E3" w:rsidRPr="008B53A9">
        <w:t xml:space="preserve"> ČR,</w:t>
      </w:r>
    </w:p>
    <w:p w:rsidR="00D21BF1" w:rsidRPr="008B53A9" w:rsidRDefault="005C57E3" w:rsidP="005F43DF">
      <w:pPr>
        <w:pStyle w:val="Standardntext"/>
        <w:numPr>
          <w:ilvl w:val="0"/>
          <w:numId w:val="78"/>
        </w:numPr>
      </w:pPr>
      <w:r w:rsidRPr="008B53A9">
        <w:t>Aktualizaci Národní politiky výzkumu, vývoje a inovací České republiky na léta 2009 až 2015 s výhledem do roku 2020,</w:t>
      </w:r>
    </w:p>
    <w:p w:rsidR="00D21BF1" w:rsidRPr="008B53A9" w:rsidRDefault="005C57E3" w:rsidP="005F43DF">
      <w:pPr>
        <w:pStyle w:val="Standardntext"/>
        <w:numPr>
          <w:ilvl w:val="0"/>
          <w:numId w:val="78"/>
        </w:numPr>
      </w:pPr>
      <w:r w:rsidRPr="008B53A9">
        <w:t>Národní priority orientovaného výzkumu, experimentálního vývoje a inovací.</w:t>
      </w:r>
    </w:p>
    <w:p w:rsidR="00B2096C" w:rsidRPr="008B53A9" w:rsidRDefault="00D21BF1" w:rsidP="00B2096C">
      <w:pPr>
        <w:pStyle w:val="Standardntext"/>
      </w:pPr>
      <w:r w:rsidRPr="008B53A9">
        <w:t xml:space="preserve">Součástí Národní RIS3 budou také krajské přílohy. Smyslem krajských příloh je identifikovat zvláštnosti inovačních systémů v jednotlivých krajích, vysvětlit jejich souvislosti, a to s ohledem a důrazem na kraji vlastní specifické projevy existující či potenciální specializace. Přes značnou homogenitu hospodářství v České republice jsou regionální inovační systémy v jednotlivých českých krajích značně odlišné, a to nejenom strukturou/povahou jednotlivých částí inovačního systému, ale také institucionální vyvinutostí a zakotvením. Oba tyto důvody jsou silným argumentem pro navržení specifických krajských intervencí, které budou reflektovat krajské zvláštnosti a budou doplňovat rozsáhlejší intervence realizované z národní úrovně. Krajské přílohy Národní RIS3 mají za cíl identifikovat krajské potřeby a navrhnout intervence pro daný kraj žádoucí. Z územního hlediska tak vychází i implementační struktura </w:t>
      </w:r>
      <w:r w:rsidR="0002004E" w:rsidRPr="008B53A9">
        <w:t>RIS3</w:t>
      </w:r>
      <w:r w:rsidRPr="008B53A9">
        <w:t xml:space="preserve">, kdy vedle centrální Národní koordinační rady RIS3, budou (nebo již byly) na úrovni krajů zřízeny výkonné orgány, které budou provádět vlastní realizaci RIS3 v daném kraji. Pro posílení partnerského principu tedy budou (nebo již byly) vytvářeny krajské inovační platformy a budovány řídicí </w:t>
      </w:r>
      <w:r w:rsidR="00B2096C" w:rsidRPr="008B53A9">
        <w:t>a implementační struktury pro RIS3, tj. budování partnerství krajských orgánů a institucí, které budou organizovat a koordinovat realizaci RIS3 v krajích.</w:t>
      </w:r>
    </w:p>
    <w:p w:rsidR="009C2C98" w:rsidRPr="008B53A9" w:rsidRDefault="00D21BF1" w:rsidP="00D21BF1">
      <w:pPr>
        <w:pStyle w:val="Standardntext"/>
      </w:pPr>
      <w:r w:rsidRPr="008B53A9">
        <w:t>OP PIK bude jedním z</w:t>
      </w:r>
      <w:r w:rsidR="00C92215" w:rsidRPr="008B53A9">
        <w:t xml:space="preserve"> </w:t>
      </w:r>
      <w:r w:rsidR="00E107F1" w:rsidRPr="008B53A9">
        <w:t xml:space="preserve">hlavních implementačních </w:t>
      </w:r>
      <w:r w:rsidRPr="008B53A9">
        <w:t xml:space="preserve">nástrojů, který bude přispívat k naplňování relevantních cílů </w:t>
      </w:r>
      <w:r w:rsidR="0002004E" w:rsidRPr="008B53A9">
        <w:t>RIS3</w:t>
      </w:r>
      <w:r w:rsidRPr="008B53A9">
        <w:t>. Její aplikace bude prováděna především v prioritních osách 1, 4 a částečně v prioritní ose 2.</w:t>
      </w:r>
      <w:r w:rsidR="000155F5" w:rsidRPr="008B53A9">
        <w:t xml:space="preserve"> Vazby na strategické cíle RIS3 jsou uvedeny v </w:t>
      </w:r>
      <w:r w:rsidR="00BA0383" w:rsidRPr="008B53A9">
        <w:t>oddíle</w:t>
      </w:r>
      <w:r w:rsidR="000155F5" w:rsidRPr="008B53A9">
        <w:t xml:space="preserve"> 2 u relevantních specifických cílů.</w:t>
      </w:r>
    </w:p>
    <w:p w:rsidR="005F73F8" w:rsidRPr="008B53A9" w:rsidRDefault="005F73F8" w:rsidP="00B40262">
      <w:pPr>
        <w:pStyle w:val="Standardntext"/>
        <w:keepNext/>
        <w:keepLines/>
      </w:pPr>
      <w:r w:rsidRPr="008B53A9">
        <w:rPr>
          <w:b/>
        </w:rPr>
        <w:t>Strategie mezinárodní konkurenceschopnosti ČR</w:t>
      </w:r>
      <w:r w:rsidR="00774539" w:rsidRPr="008B53A9">
        <w:rPr>
          <w:b/>
        </w:rPr>
        <w:t xml:space="preserve"> </w:t>
      </w:r>
      <w:r w:rsidR="00774539" w:rsidRPr="008B53A9">
        <w:t>(dále také „SMK“)</w:t>
      </w:r>
    </w:p>
    <w:p w:rsidR="005F73F8" w:rsidRPr="008B53A9" w:rsidRDefault="005F73F8" w:rsidP="002356D6">
      <w:pPr>
        <w:pStyle w:val="Standardntext"/>
      </w:pPr>
      <w:r w:rsidRPr="008B53A9">
        <w:t>Strategie mezinárodní konkurenceschopnosti</w:t>
      </w:r>
      <w:r w:rsidR="00D45540" w:rsidRPr="008B53A9">
        <w:t xml:space="preserve"> ČR</w:t>
      </w:r>
      <w:r w:rsidRPr="008B53A9">
        <w:t xml:space="preserve">, schválená </w:t>
      </w:r>
      <w:r w:rsidR="00FB6F9C" w:rsidRPr="008B53A9">
        <w:t>usnesením vlády</w:t>
      </w:r>
      <w:r w:rsidRPr="008B53A9">
        <w:t xml:space="preserve"> ČR </w:t>
      </w:r>
      <w:r w:rsidR="00FB6F9C" w:rsidRPr="008B53A9">
        <w:t xml:space="preserve">ze </w:t>
      </w:r>
      <w:r w:rsidRPr="008B53A9">
        <w:t xml:space="preserve">dne 27. </w:t>
      </w:r>
      <w:r w:rsidR="00FB6F9C" w:rsidRPr="008B53A9">
        <w:t>září</w:t>
      </w:r>
      <w:r w:rsidRPr="008B53A9">
        <w:t xml:space="preserve"> 2011</w:t>
      </w:r>
      <w:r w:rsidR="00FB6F9C" w:rsidRPr="008B53A9">
        <w:t xml:space="preserve"> č. 713</w:t>
      </w:r>
      <w:r w:rsidRPr="008B53A9">
        <w:t>, je složena z více než čtyřiceti klíčových a několika stovek dílčích opatření, která mají přispět k vytvoření podmínek pro kreativní podnikání, inovace a růst. Cílem strategie je posunout Českou republiku během následujících let do první dvacítky zemí podle indexu globální konkurenceschopnosti. Česká republika se tedy musí posunout od rozvojového modelu založeného z velké části na levné pracovní síle k systému založenému na kvalitních institucích a infrastruktuře, ve kterém bude maximálně využíván potenciál připravených pracovních sil a ve kterém bude motorem ekonomiky tvořivé podnikání a inovace. Strategie mezinárodní konkurenceschopnosti je konzistentní se strategií Evropa 2020 a Národním programem reforem Č</w:t>
      </w:r>
      <w:r w:rsidR="000D542C" w:rsidRPr="008B53A9">
        <w:t>R.</w:t>
      </w:r>
      <w:r w:rsidRPr="008B53A9">
        <w:t xml:space="preserve">  </w:t>
      </w:r>
    </w:p>
    <w:p w:rsidR="005F73F8" w:rsidRPr="008B53A9" w:rsidRDefault="000D542C" w:rsidP="005F73F8">
      <w:pPr>
        <w:pStyle w:val="Standardntext"/>
      </w:pPr>
      <w:r w:rsidRPr="008B53A9">
        <w:t xml:space="preserve">Kohezní politika a jednotlivé operační programy ČR, včetně OP PIK, se stanou významným nástrojem realizace navržených opatření </w:t>
      </w:r>
      <w:r w:rsidR="00774539" w:rsidRPr="008B53A9">
        <w:t>SMK</w:t>
      </w:r>
      <w:r w:rsidRPr="008B53A9">
        <w:t xml:space="preserve"> ČR. </w:t>
      </w:r>
      <w:r w:rsidR="005F73F8" w:rsidRPr="008B53A9">
        <w:t>Všechny věcně zaměřené priority OP PIK jsou z hlediska svého zaměření v souladu s  cíli i nástroji Strategie mezinárodní konkurenceschopnosti, kde jsou z hlediska věcného zaměření relevantní zejména p</w:t>
      </w:r>
      <w:r w:rsidR="00802850" w:rsidRPr="008B53A9">
        <w:t xml:space="preserve">ilíře </w:t>
      </w:r>
      <w:r w:rsidR="00802850" w:rsidRPr="008B53A9">
        <w:rPr>
          <w:i/>
        </w:rPr>
        <w:t>Inovace</w:t>
      </w:r>
      <w:r w:rsidR="00802850" w:rsidRPr="008B53A9">
        <w:t xml:space="preserve"> a </w:t>
      </w:r>
      <w:r w:rsidR="00802850" w:rsidRPr="008B53A9">
        <w:rPr>
          <w:i/>
        </w:rPr>
        <w:t>Infrastruktura</w:t>
      </w:r>
      <w:r w:rsidR="00802850" w:rsidRPr="008B53A9">
        <w:t>.</w:t>
      </w:r>
    </w:p>
    <w:p w:rsidR="00D808EB" w:rsidRPr="008B53A9" w:rsidRDefault="00D808EB" w:rsidP="005F73F8">
      <w:pPr>
        <w:pStyle w:val="Standardntext"/>
      </w:pPr>
      <w:r w:rsidRPr="008B53A9">
        <w:t xml:space="preserve">V případě pilíře </w:t>
      </w:r>
      <w:r w:rsidRPr="008B53A9">
        <w:rPr>
          <w:i/>
        </w:rPr>
        <w:t>Infrastruktura</w:t>
      </w:r>
      <w:r w:rsidRPr="008B53A9">
        <w:t xml:space="preserve"> patří mezi klíčové národní priority zajištění energetické bezpečnosti v podobě opatření v oblasti výstavby zálohových zdrojů, posilování energetických sítí, změny jsou nutné i v oblasti teplárenství. Cílem je ekonomicky udržitelný rozvoj obnovitelných zdrojů energie, zvyšování energetické účinnosti a úspor a snižování </w:t>
      </w:r>
      <w:r w:rsidRPr="008B53A9">
        <w:lastRenderedPageBreak/>
        <w:t>environmentální zátěže plynoucí z energetiky životnímu prostředí. Nicméně vliv na konkurenceschopnost má také infrastruktura v oblasti elektronických komunikací – zejména širokopásmové systémy přístupu k internetu. Prioritou ČR je proto rozšíření přístupu k vysokorychlostnímu internetu, a to jak ve všech obydlených, tak v méně dostupných lokalitách, aby byla zvýšena možnost podnikání s využitím internetu. OP PIK přispěje svou prioritní osou 3 k plnění energetických potřeb identifikovaných Strategií mezinárodní konkurenceschopnost, resp. prioritní osou 4 k plnění potřeb v oblasti elektrotechnických komunikací.</w:t>
      </w:r>
    </w:p>
    <w:p w:rsidR="00AD6801" w:rsidRPr="008B53A9" w:rsidRDefault="0058467B" w:rsidP="005F73F8">
      <w:pPr>
        <w:pStyle w:val="Standardntext"/>
      </w:pPr>
      <w:r w:rsidRPr="008B53A9">
        <w:t xml:space="preserve">Pokud jde o pilíř </w:t>
      </w:r>
      <w:r w:rsidRPr="008B53A9">
        <w:rPr>
          <w:i/>
        </w:rPr>
        <w:t>Inovace</w:t>
      </w:r>
      <w:r w:rsidR="00AD6801" w:rsidRPr="008B53A9">
        <w:t>, jedním z klíčových cílů</w:t>
      </w:r>
      <w:r w:rsidR="00457BD9" w:rsidRPr="008B53A9">
        <w:t xml:space="preserve"> ČR</w:t>
      </w:r>
      <w:r w:rsidR="00AD6801" w:rsidRPr="008B53A9">
        <w:t xml:space="preserve"> je podle SMK zvýšení spolupráce a zejména transfer znalostí mezi podnikovým a VaV sektorem. S tím souvisí potřeba zvýšit inovační poptávku prostřednictvím kvalitních služeb, které budou podporovat začínající podnikatele při využívání inovací.</w:t>
      </w:r>
      <w:r w:rsidR="00457BD9" w:rsidRPr="008B53A9">
        <w:t xml:space="preserve"> Mezi </w:t>
      </w:r>
      <w:r w:rsidR="00EE3BF3" w:rsidRPr="008B53A9">
        <w:t xml:space="preserve">potřebné </w:t>
      </w:r>
      <w:r w:rsidR="00457BD9" w:rsidRPr="008B53A9">
        <w:t>služby pro inovační podnikaní řadí SMK např. pre-seed grantové schéma, program Knowledge transfer partnership</w:t>
      </w:r>
      <w:r w:rsidR="00D808EB" w:rsidRPr="008B53A9">
        <w:t xml:space="preserve">, </w:t>
      </w:r>
      <w:r w:rsidR="00457BD9" w:rsidRPr="008B53A9">
        <w:t>zakázky výzkumu a vývoje pro potřeby veřejného sektoru – pre-commercial public procurement</w:t>
      </w:r>
      <w:r w:rsidR="00D808EB" w:rsidRPr="008B53A9">
        <w:t xml:space="preserve"> či foresightové aktivity analyzující vývoj světové poptávky</w:t>
      </w:r>
      <w:r w:rsidR="00457BD9" w:rsidRPr="008B53A9">
        <w:t xml:space="preserve">. Neméně důležitá je z pohledu SMK rovněž spolupráce mezi podniky, tzn. rozvoj klastrů a jiných kooperačních uskupení k rozvoji spolupráce podporující inovace. </w:t>
      </w:r>
      <w:r w:rsidR="00D808EB" w:rsidRPr="008B53A9">
        <w:t>Jedná se o národní priority, které se promítají především v prioritní ose 1 OP PIK, ale částečně také prioritní osy 2.</w:t>
      </w:r>
    </w:p>
    <w:p w:rsidR="00FA43FB" w:rsidRPr="008B53A9" w:rsidRDefault="00665BF2" w:rsidP="00B53B1E">
      <w:pPr>
        <w:pStyle w:val="Standardntext"/>
      </w:pPr>
      <w:r w:rsidRPr="008B53A9">
        <w:t>Tyto prioritní osy mají vazbu i na další pilíře SMK. P</w:t>
      </w:r>
      <w:r w:rsidR="00B53B1E" w:rsidRPr="008B53A9">
        <w:t xml:space="preserve">ilíř </w:t>
      </w:r>
      <w:r w:rsidR="0058467B" w:rsidRPr="008B53A9">
        <w:rPr>
          <w:i/>
        </w:rPr>
        <w:t>Finanční trhy</w:t>
      </w:r>
      <w:r w:rsidRPr="008B53A9">
        <w:t xml:space="preserve"> uvádí jako jednu z národních potřeb nezbytnost hledat cesty k podpoře rozvoje kapitálového trhu a dalších segmentů finančního sektoru, které by sloužily jako alternativní zdroje financování pro podnikatelské záměry, jmenovitě nástroje typu seed fond.</w:t>
      </w:r>
      <w:r w:rsidR="0058467B" w:rsidRPr="008B53A9">
        <w:t xml:space="preserve"> </w:t>
      </w:r>
      <w:r w:rsidR="00B53B1E" w:rsidRPr="008B53A9">
        <w:t xml:space="preserve">Mezi klíčové cíle identifikované v pilíři </w:t>
      </w:r>
      <w:r w:rsidR="0058467B" w:rsidRPr="008B53A9">
        <w:rPr>
          <w:i/>
        </w:rPr>
        <w:t>Efektivnost trhu zboží a služeb a zkvalitňování charakteristik podnikání</w:t>
      </w:r>
      <w:r w:rsidR="0058467B" w:rsidRPr="008B53A9">
        <w:t xml:space="preserve"> </w:t>
      </w:r>
      <w:r w:rsidR="00B53B1E" w:rsidRPr="008B53A9">
        <w:t>patří potřeba zvýšit schopnost producentů identifikovat koncové trhy a rozvoj netechnických kompetencí podniků souvisejících se získáváním nových trhů. Nástrojem by se měly stát kvalitní služby pro komercializaci, internacionalizaci, transfer technologií a patentovou ochranu. V oblasti využívání energetických služeb, která se týká prioritní osy 3 OP PIK, identifikuje výše uvedený pilíř SMK potřebu rozvoje metody Energy Performance Contracting (EPC).</w:t>
      </w:r>
    </w:p>
    <w:p w:rsidR="005F73F8" w:rsidRPr="008B53A9" w:rsidRDefault="005F73F8" w:rsidP="000D542C">
      <w:pPr>
        <w:pStyle w:val="Standardntext"/>
        <w:rPr>
          <w:b/>
        </w:rPr>
      </w:pPr>
      <w:r w:rsidRPr="008B53A9">
        <w:rPr>
          <w:b/>
        </w:rPr>
        <w:t xml:space="preserve">Strategie regionálního rozvoje ČR pro období 2014 </w:t>
      </w:r>
      <w:r w:rsidR="00774539" w:rsidRPr="008B53A9">
        <w:rPr>
          <w:b/>
        </w:rPr>
        <w:t>–</w:t>
      </w:r>
      <w:r w:rsidRPr="008B53A9">
        <w:rPr>
          <w:b/>
        </w:rPr>
        <w:t xml:space="preserve"> 2020</w:t>
      </w:r>
      <w:r w:rsidR="00774539" w:rsidRPr="008B53A9">
        <w:t xml:space="preserve"> (dále také „SRR“)</w:t>
      </w:r>
    </w:p>
    <w:p w:rsidR="005F73F8" w:rsidRPr="008B53A9" w:rsidRDefault="005F73F8" w:rsidP="005F73F8">
      <w:pPr>
        <w:pStyle w:val="Standardntext"/>
      </w:pPr>
      <w:r w:rsidRPr="008B53A9">
        <w:t>Strategie regionálního rozvoje</w:t>
      </w:r>
      <w:r w:rsidR="00D45540" w:rsidRPr="008B53A9">
        <w:t xml:space="preserve"> ČR</w:t>
      </w:r>
      <w:r w:rsidR="00FB6F9C" w:rsidRPr="008B53A9">
        <w:t>, schválená usnesením vlády ČR ze dne 15. května 2013 č. 344,</w:t>
      </w:r>
      <w:r w:rsidRPr="008B53A9">
        <w:t xml:space="preserve"> je zpracována v souladu s cíli regionální politiky EU</w:t>
      </w:r>
      <w:r w:rsidR="000D542C" w:rsidRPr="008B53A9">
        <w:t>.</w:t>
      </w:r>
      <w:r w:rsidRPr="008B53A9">
        <w:t xml:space="preserve"> Ve strategii jsou formulovány souhrnně cíle, problémové okruhy a priority, které je třeba zabezpečovat při zajišťování politiky regionálního rozvoje v České republice. Priority Strategie regionálního rozvoje jednoznačně směřují ke snižování existujících regionálních rozdílů, a to aktivní politikou směrování prostředků do podpory optimálního využívání rozvojového potenciálu regionů a politikou alokace prostředků na dodatečné odstraňování negativních sociálních dopadů ekonomického útlumu strukturálně postižených regionů. </w:t>
      </w:r>
    </w:p>
    <w:p w:rsidR="005F73F8" w:rsidRPr="008B53A9" w:rsidRDefault="005F73F8" w:rsidP="005F73F8">
      <w:pPr>
        <w:pStyle w:val="Standardntext"/>
      </w:pPr>
      <w:r w:rsidRPr="008B53A9">
        <w:t>Globální</w:t>
      </w:r>
      <w:r w:rsidR="00B2096C" w:rsidRPr="008B53A9">
        <w:t>m</w:t>
      </w:r>
      <w:r w:rsidRPr="008B53A9">
        <w:t xml:space="preserve"> cílem SRR je zajistit dynamický a vyvážený rozvoj území ČR se zřetelem na kvalitu života a životního prostředí, přispět ke snižování regionálních rozdílů a zároveň umožnit využití místního potenciálu pro posílení konkurenceschopnosti jednotlivých územně správních celků. Globální cíl strategie je rozveden ve čtyřech základních cílech regionální politiky korespondujících s prioritními oblastmi SRR (1) podpořit zvyšování konkurenceschopnosti a využití ekonomického potenciálu regionů</w:t>
      </w:r>
      <w:r w:rsidR="000D542C" w:rsidRPr="008B53A9">
        <w:t>,</w:t>
      </w:r>
      <w:r w:rsidRPr="008B53A9">
        <w:t xml:space="preserve"> (2) zmírnit prohlubování negativních regionálních rozdílů (3)</w:t>
      </w:r>
      <w:r w:rsidR="000D542C" w:rsidRPr="008B53A9">
        <w:t>,</w:t>
      </w:r>
      <w:r w:rsidRPr="008B53A9">
        <w:t xml:space="preserve"> posílit environmentální udržitelnost </w:t>
      </w:r>
      <w:r w:rsidR="000D542C" w:rsidRPr="008B53A9">
        <w:t>a</w:t>
      </w:r>
      <w:r w:rsidRPr="008B53A9">
        <w:t xml:space="preserve"> (4) optimalizovat institucionální rámec pro rozvoj regionů. </w:t>
      </w:r>
    </w:p>
    <w:p w:rsidR="008C0DA0" w:rsidRPr="008B53A9" w:rsidRDefault="005F73F8" w:rsidP="005F73F8">
      <w:pPr>
        <w:pStyle w:val="Standardntext"/>
      </w:pPr>
      <w:r w:rsidRPr="008B53A9">
        <w:lastRenderedPageBreak/>
        <w:t>Strategie regionálního rozvoje ČR 2014 – 2020 je jedním z</w:t>
      </w:r>
      <w:r w:rsidR="00785460" w:rsidRPr="008B53A9">
        <w:t xml:space="preserve"> hlavních </w:t>
      </w:r>
      <w:r w:rsidRPr="008B53A9">
        <w:t xml:space="preserve">východisek </w:t>
      </w:r>
      <w:r w:rsidR="00785460" w:rsidRPr="008B53A9">
        <w:t>pro zohlednění územní dimenze v OP PIK</w:t>
      </w:r>
      <w:r w:rsidR="000D542C" w:rsidRPr="008B53A9">
        <w:t xml:space="preserve"> (blíže viz </w:t>
      </w:r>
      <w:r w:rsidR="00BA0383" w:rsidRPr="008B53A9">
        <w:t>oddíl</w:t>
      </w:r>
      <w:r w:rsidR="000D542C" w:rsidRPr="008B53A9">
        <w:t xml:space="preserve"> 4)</w:t>
      </w:r>
      <w:r w:rsidRPr="008B53A9">
        <w:t>.</w:t>
      </w:r>
      <w:r w:rsidR="002C5F83" w:rsidRPr="008B53A9">
        <w:t xml:space="preserve"> </w:t>
      </w:r>
      <w:r w:rsidR="009769DC" w:rsidRPr="008B53A9">
        <w:t xml:space="preserve">Z hlediska strategického zaměření OP PIK je podstatné, že </w:t>
      </w:r>
      <w:r w:rsidR="002C5F83" w:rsidRPr="008B53A9">
        <w:t xml:space="preserve">SRR specifikuje </w:t>
      </w:r>
      <w:r w:rsidR="008C0DA0" w:rsidRPr="008B53A9">
        <w:t>následující</w:t>
      </w:r>
      <w:r w:rsidR="009769DC" w:rsidRPr="008B53A9">
        <w:t xml:space="preserve"> </w:t>
      </w:r>
      <w:r w:rsidR="002C5F83" w:rsidRPr="008B53A9">
        <w:t>priority regionální politiky ČR</w:t>
      </w:r>
      <w:r w:rsidR="009769DC" w:rsidRPr="008B53A9">
        <w:t>:</w:t>
      </w:r>
    </w:p>
    <w:p w:rsidR="005F73F8" w:rsidRPr="008B53A9" w:rsidRDefault="008C0DA0" w:rsidP="005F43DF">
      <w:pPr>
        <w:pStyle w:val="Standardntext"/>
        <w:numPr>
          <w:ilvl w:val="0"/>
          <w:numId w:val="78"/>
        </w:numPr>
      </w:pPr>
      <w:r w:rsidRPr="008B53A9">
        <w:t>podpora transferu znalostí mezi výzkumným a podnikatelským sektorem zahrnující podporu podnikatelských inkubátorů, vědecko</w:t>
      </w:r>
      <w:r w:rsidR="0038384A" w:rsidRPr="008B53A9">
        <w:t>techni</w:t>
      </w:r>
      <w:r w:rsidRPr="008B53A9">
        <w:t>ckých parků, inovačních center, klastrů apod.</w:t>
      </w:r>
      <w:r w:rsidR="000B63A4" w:rsidRPr="008B53A9">
        <w:t>,</w:t>
      </w:r>
    </w:p>
    <w:p w:rsidR="000D138F" w:rsidRPr="008B53A9" w:rsidRDefault="000D138F" w:rsidP="005F43DF">
      <w:pPr>
        <w:pStyle w:val="Standardntext"/>
        <w:numPr>
          <w:ilvl w:val="0"/>
          <w:numId w:val="78"/>
        </w:numPr>
      </w:pPr>
      <w:r w:rsidRPr="008B53A9">
        <w:t>vytváření příznivých podmínek pro vznik a rozvoj malých a středních podniků (podnikatelské inkubátory, areály), usnadnění vstupu do podnikání, zvýšení technologické úrovně firem pořízením moderních strojů, zařízení, know-how a licencí,</w:t>
      </w:r>
    </w:p>
    <w:p w:rsidR="008C0DA0" w:rsidRPr="008B53A9" w:rsidRDefault="008C0DA0" w:rsidP="005F43DF">
      <w:pPr>
        <w:pStyle w:val="Standardntext"/>
        <w:numPr>
          <w:ilvl w:val="0"/>
          <w:numId w:val="78"/>
        </w:numPr>
      </w:pPr>
      <w:r w:rsidRPr="008B53A9">
        <w:t>rozšíření a zkvalitnění různých typů podnikatelské infrastruktury</w:t>
      </w:r>
      <w:r w:rsidR="000B63A4" w:rsidRPr="008B53A9">
        <w:t>,</w:t>
      </w:r>
    </w:p>
    <w:p w:rsidR="000D138F" w:rsidRPr="008B53A9" w:rsidRDefault="000D138F" w:rsidP="005F43DF">
      <w:pPr>
        <w:pStyle w:val="Standardntext"/>
        <w:numPr>
          <w:ilvl w:val="0"/>
          <w:numId w:val="78"/>
        </w:numPr>
      </w:pPr>
      <w:r w:rsidRPr="008B53A9">
        <w:t>revitalizace brownfield</w:t>
      </w:r>
      <w:r w:rsidR="004038F0" w:rsidRPr="008B53A9">
        <w:t>ů</w:t>
      </w:r>
      <w:r w:rsidRPr="008B53A9">
        <w:t xml:space="preserve"> pro výrobní aktivity,</w:t>
      </w:r>
    </w:p>
    <w:p w:rsidR="008C0DA0" w:rsidRPr="008B53A9" w:rsidRDefault="008C0DA0" w:rsidP="005F43DF">
      <w:pPr>
        <w:pStyle w:val="Standardntext"/>
        <w:numPr>
          <w:ilvl w:val="0"/>
          <w:numId w:val="78"/>
        </w:numPr>
      </w:pPr>
      <w:r w:rsidRPr="008B53A9">
        <w:t>zapojení zaměstnavatelů do odborného vzdělávání</w:t>
      </w:r>
      <w:r w:rsidR="000B63A4" w:rsidRPr="008B53A9">
        <w:t>,</w:t>
      </w:r>
    </w:p>
    <w:p w:rsidR="000D138F" w:rsidRPr="008B53A9" w:rsidRDefault="000D138F" w:rsidP="005F43DF">
      <w:pPr>
        <w:pStyle w:val="Standardntext"/>
        <w:numPr>
          <w:ilvl w:val="0"/>
          <w:numId w:val="78"/>
        </w:numPr>
      </w:pPr>
      <w:r w:rsidRPr="008B53A9">
        <w:t>využívání obnovitelných zdrojů energie a úspor energie ve vazbě na místní podmínky a krajinný potenciál,</w:t>
      </w:r>
    </w:p>
    <w:p w:rsidR="008C0DA0" w:rsidRPr="008B53A9" w:rsidRDefault="008C0DA0" w:rsidP="005F43DF">
      <w:pPr>
        <w:pStyle w:val="Standardntext"/>
        <w:numPr>
          <w:ilvl w:val="0"/>
          <w:numId w:val="78"/>
        </w:numPr>
      </w:pPr>
      <w:r w:rsidRPr="008B53A9">
        <w:t>výstavba a modernizace energetických sítí a zajištění bezpečnosti dodávek energií</w:t>
      </w:r>
      <w:r w:rsidR="000B63A4" w:rsidRPr="008B53A9">
        <w:t>,</w:t>
      </w:r>
    </w:p>
    <w:p w:rsidR="000B63A4" w:rsidRPr="008B53A9" w:rsidRDefault="000B63A4" w:rsidP="005F43DF">
      <w:pPr>
        <w:pStyle w:val="Standardntext"/>
        <w:numPr>
          <w:ilvl w:val="0"/>
          <w:numId w:val="78"/>
        </w:numPr>
      </w:pPr>
      <w:r w:rsidRPr="008B53A9">
        <w:t>podpora inovativních přístupů k materiálovému využití druhotných surovin,</w:t>
      </w:r>
    </w:p>
    <w:p w:rsidR="000B63A4" w:rsidRPr="008B53A9" w:rsidRDefault="000B63A4" w:rsidP="005F43DF">
      <w:pPr>
        <w:pStyle w:val="Standardntext"/>
        <w:numPr>
          <w:ilvl w:val="0"/>
          <w:numId w:val="78"/>
        </w:numPr>
      </w:pPr>
      <w:r w:rsidRPr="008B53A9">
        <w:t>aplikace inovativních technik v průmyslových sektorech.</w:t>
      </w:r>
    </w:p>
    <w:p w:rsidR="005F73F8" w:rsidRPr="008B53A9" w:rsidRDefault="005F73F8" w:rsidP="00D45540">
      <w:pPr>
        <w:pStyle w:val="Standardntext"/>
        <w:keepNext/>
        <w:keepLines/>
        <w:rPr>
          <w:b/>
        </w:rPr>
      </w:pPr>
      <w:r w:rsidRPr="008B53A9">
        <w:rPr>
          <w:b/>
        </w:rPr>
        <w:t xml:space="preserve">Strategický rámec udržitelného rozvoje ČR </w:t>
      </w:r>
      <w:r w:rsidR="00976041" w:rsidRPr="008B53A9">
        <w:t>(dále také „SRUR“)</w:t>
      </w:r>
    </w:p>
    <w:p w:rsidR="005F73F8" w:rsidRPr="008B53A9" w:rsidRDefault="005F73F8" w:rsidP="00D45540">
      <w:pPr>
        <w:pStyle w:val="Standardntext"/>
        <w:keepNext/>
        <w:keepLines/>
      </w:pPr>
      <w:r w:rsidRPr="008B53A9">
        <w:t>Strategický rámec udržitelného rozvoje ČR</w:t>
      </w:r>
      <w:r w:rsidR="00FB6F9C" w:rsidRPr="008B53A9">
        <w:t xml:space="preserve">, schválený usnesením vlády ČR ze dne 11. ledna 2010 č. 37, </w:t>
      </w:r>
      <w:r w:rsidRPr="008B53A9">
        <w:t>slouží jako dlouhodobý rámec pro politické rozhodování v kontextu mezinárodních závazků, které ČR přijala nebo hodlá přijmout v rámci svého členství v OSN, OECD a EU při respektování specifických podmínek a potřeb ČR. Cílem Strategického rámce je tedy vymezit klíčová témata a problémy udržitelného rozvoje České republiky a nalézt příslušná opatření k jejich řešení</w:t>
      </w:r>
      <w:r w:rsidR="000D542C" w:rsidRPr="008B53A9">
        <w:t>. Mnohá z těchto opatření jsou obsažena</w:t>
      </w:r>
      <w:r w:rsidRPr="008B53A9">
        <w:t xml:space="preserve"> v již existujících a schválený</w:t>
      </w:r>
      <w:r w:rsidR="000D542C" w:rsidRPr="008B53A9">
        <w:t>ch koncepčních dokumentech.</w:t>
      </w:r>
    </w:p>
    <w:p w:rsidR="0079609A" w:rsidRPr="008B53A9" w:rsidRDefault="0079609A" w:rsidP="0079609A">
      <w:pPr>
        <w:pStyle w:val="Standardntext"/>
      </w:pPr>
      <w:r w:rsidRPr="008B53A9">
        <w:t xml:space="preserve">Všechny věcně zaměřené prioritní osy OP PIK mají četné vazby na prioritní osu </w:t>
      </w:r>
      <w:r w:rsidRPr="008B53A9">
        <w:rPr>
          <w:i/>
        </w:rPr>
        <w:t>Rozvoj území</w:t>
      </w:r>
      <w:r w:rsidRPr="008B53A9">
        <w:t xml:space="preserve"> SRUR, neboť tato za jeden z klíčových cílů považuje vytváření podmínek pro dynamický hospodářský rozvoj regionů zahrnující podporu podnikatelského prostředí a rozvoj služeb, rozvoj inovačního potenciálu, podporu vývoje a používání nízkoemisních a energeticky nenáročných technologií, obnovu a revitalizaci již jednou u</w:t>
      </w:r>
      <w:r w:rsidR="00BF7E1C" w:rsidRPr="008B53A9">
        <w:t>rbanizovaných území (brownfieldy</w:t>
      </w:r>
      <w:r w:rsidRPr="008B53A9">
        <w:t>), modernizaci rozvodných energetických soustav a obnovu potrubních sítí ve městech či rozvoj informačních technologií v regionech.</w:t>
      </w:r>
    </w:p>
    <w:p w:rsidR="005F73F8" w:rsidRPr="008B53A9" w:rsidRDefault="0079609A" w:rsidP="0079609A">
      <w:pPr>
        <w:pStyle w:val="Standardntext"/>
      </w:pPr>
      <w:r w:rsidRPr="008B53A9">
        <w:t>P</w:t>
      </w:r>
      <w:r w:rsidR="005F73F8" w:rsidRPr="008B53A9">
        <w:t xml:space="preserve">rioritní osy </w:t>
      </w:r>
      <w:r w:rsidRPr="008B53A9">
        <w:t xml:space="preserve">1-3 </w:t>
      </w:r>
      <w:r w:rsidR="005F73F8" w:rsidRPr="008B53A9">
        <w:t>OP PIK budou</w:t>
      </w:r>
      <w:r w:rsidRPr="008B53A9">
        <w:t xml:space="preserve"> rovněž</w:t>
      </w:r>
      <w:r w:rsidR="005F73F8" w:rsidRPr="008B53A9">
        <w:t xml:space="preserve"> naplňovat </w:t>
      </w:r>
      <w:r w:rsidRPr="008B53A9">
        <w:t>národní priority identifikované prioritní osou</w:t>
      </w:r>
      <w:r w:rsidR="005F73F8" w:rsidRPr="008B53A9">
        <w:t xml:space="preserve"> </w:t>
      </w:r>
      <w:r w:rsidR="005F73F8" w:rsidRPr="008B53A9">
        <w:rPr>
          <w:i/>
        </w:rPr>
        <w:t>Ekonomika a inovace</w:t>
      </w:r>
      <w:r w:rsidR="005F73F8" w:rsidRPr="008B53A9">
        <w:t xml:space="preserve"> S</w:t>
      </w:r>
      <w:r w:rsidR="00976041" w:rsidRPr="008B53A9">
        <w:t xml:space="preserve">RUR. </w:t>
      </w:r>
      <w:r w:rsidR="00D45540" w:rsidRPr="008B53A9">
        <w:t xml:space="preserve">Jde </w:t>
      </w:r>
      <w:r w:rsidRPr="008B53A9">
        <w:t xml:space="preserve">zejména </w:t>
      </w:r>
      <w:r w:rsidR="00D45540" w:rsidRPr="008B53A9">
        <w:t>o podporu</w:t>
      </w:r>
      <w:r w:rsidR="005F73F8" w:rsidRPr="008B53A9">
        <w:t xml:space="preserve"> dynamiky národní ekonomiky a posilování konkurenceschopnosti</w:t>
      </w:r>
      <w:r w:rsidR="00EC4F77" w:rsidRPr="008B53A9">
        <w:t xml:space="preserve"> (např. opatření směřující k zahájení podnikání a zintenzivnění aktivity MSP, podpora technologií s vyšší přidanou hodnotou, podporu rozvoje služeb, využívání environmentálních technologií podporou ekoinovačního procesu)</w:t>
      </w:r>
      <w:r w:rsidR="00D45540" w:rsidRPr="008B53A9">
        <w:t>, z</w:t>
      </w:r>
      <w:r w:rsidR="005F73F8" w:rsidRPr="008B53A9">
        <w:t>ajištění energetické bezpečnosti státu a zvyšování energetické a surovinové efektivity hospodářství</w:t>
      </w:r>
      <w:r w:rsidR="00D45540" w:rsidRPr="008B53A9">
        <w:t xml:space="preserve"> </w:t>
      </w:r>
      <w:r w:rsidR="00EC4F77" w:rsidRPr="008B53A9">
        <w:t xml:space="preserve">(např. opatření na zvýšení úspor energie v jednotlivých sektorech národního hospodářství, podpora využívání efektivních a environmentálně šetrných technologií, uplatňování systému separace a následného materiálového využití druhotných surovin, optimální využití OZE) </w:t>
      </w:r>
      <w:r w:rsidR="00D45540" w:rsidRPr="008B53A9">
        <w:t>a dále r</w:t>
      </w:r>
      <w:r w:rsidR="005F73F8" w:rsidRPr="008B53A9">
        <w:t>ozvoj lidských zdrojů, podpora vzdělávání, výzkumu a vývoje</w:t>
      </w:r>
      <w:r w:rsidR="00EC4F77" w:rsidRPr="008B53A9">
        <w:t xml:space="preserve"> (např. podpora </w:t>
      </w:r>
      <w:r w:rsidR="00EC4F77" w:rsidRPr="008B53A9">
        <w:lastRenderedPageBreak/>
        <w:t>průmyslového výzkumu a vývoje, zlepšení spolupráce výzkumných a vývojových</w:t>
      </w:r>
      <w:r w:rsidRPr="008B53A9">
        <w:t xml:space="preserve"> </w:t>
      </w:r>
      <w:r w:rsidR="00EC4F77" w:rsidRPr="008B53A9">
        <w:t>pracovišť s podnikatelskou sférou pro urychlené zavádění nových poznatků</w:t>
      </w:r>
      <w:r w:rsidRPr="008B53A9">
        <w:t xml:space="preserve"> a nových technologií do praxe, ochrana duševního vlastnictví, podpora podnikatelských inkubátorů, programy zapojení studentů VŠ do inovativních procesů firem, poradenství nutné v prvních fázích začátku podnikání</w:t>
      </w:r>
      <w:r w:rsidR="00EC4F77" w:rsidRPr="008B53A9">
        <w:t>)</w:t>
      </w:r>
      <w:r w:rsidR="00D45540" w:rsidRPr="008B53A9">
        <w:t>.</w:t>
      </w:r>
    </w:p>
    <w:p w:rsidR="005F73F8" w:rsidRPr="008B53A9" w:rsidRDefault="005F73F8" w:rsidP="002356D6">
      <w:pPr>
        <w:pStyle w:val="Standardntext"/>
        <w:keepNext/>
        <w:keepLines/>
        <w:rPr>
          <w:b/>
        </w:rPr>
      </w:pPr>
      <w:r w:rsidRPr="008B53A9">
        <w:rPr>
          <w:b/>
        </w:rPr>
        <w:t>Národní inovační strategie ČR</w:t>
      </w:r>
      <w:r w:rsidR="00774539" w:rsidRPr="008B53A9">
        <w:rPr>
          <w:b/>
        </w:rPr>
        <w:t xml:space="preserve"> </w:t>
      </w:r>
      <w:r w:rsidR="00774539" w:rsidRPr="008B53A9">
        <w:t>(dále také „NIS“)</w:t>
      </w:r>
    </w:p>
    <w:p w:rsidR="005F73F8" w:rsidRPr="008B53A9" w:rsidRDefault="005F73F8" w:rsidP="002356D6">
      <w:pPr>
        <w:pStyle w:val="Standardntext"/>
        <w:keepNext/>
        <w:keepLines/>
      </w:pPr>
      <w:r w:rsidRPr="008B53A9">
        <w:t>Národní inovační strategi</w:t>
      </w:r>
      <w:r w:rsidR="00B2096C" w:rsidRPr="008B53A9">
        <w:t>e</w:t>
      </w:r>
      <w:r w:rsidRPr="008B53A9">
        <w:t xml:space="preserve"> ČR, schválená </w:t>
      </w:r>
      <w:r w:rsidR="00FB6F9C" w:rsidRPr="008B53A9">
        <w:t xml:space="preserve">usnesením </w:t>
      </w:r>
      <w:r w:rsidRPr="008B53A9">
        <w:t>vlád</w:t>
      </w:r>
      <w:r w:rsidR="00FB6F9C" w:rsidRPr="008B53A9">
        <w:t>y</w:t>
      </w:r>
      <w:r w:rsidRPr="008B53A9">
        <w:t xml:space="preserve"> ČR </w:t>
      </w:r>
      <w:r w:rsidR="00FB6F9C" w:rsidRPr="008B53A9">
        <w:t xml:space="preserve">ze </w:t>
      </w:r>
      <w:r w:rsidRPr="008B53A9">
        <w:t xml:space="preserve">dne 27. </w:t>
      </w:r>
      <w:r w:rsidR="00FB6F9C" w:rsidRPr="008B53A9">
        <w:t>září</w:t>
      </w:r>
      <w:r w:rsidRPr="008B53A9">
        <w:t xml:space="preserve"> 2011</w:t>
      </w:r>
      <w:r w:rsidR="00FB6F9C" w:rsidRPr="008B53A9">
        <w:t xml:space="preserve"> č. 714</w:t>
      </w:r>
      <w:r w:rsidRPr="008B53A9">
        <w:t>, reaguje na doporučení obsažená v dokumentu Unie inovací přijatém Evropskou komisí. Globálním cílem NIS je posílení významu inovací a využívání špičkových technologií jako zdroje konkurenceschopnosti ČR a zvyšování jejich přínosů pro dlouhodobý hospodářský růst, pro tvorbu kvalitních pracovních míst a pro rozvoj kvality života na území ČR. Dokument je rozdělen do čtyř hlavních částí zabývajících se excelentním výzkumem, spoluprací mezi podnikovým a akademickým sektorem při transferu znalostí, podporou inovačního podnikání a lidmi jako nositeli n</w:t>
      </w:r>
      <w:r w:rsidR="00D45540" w:rsidRPr="008B53A9">
        <w:t>ových nápadů a iniciátory změn.</w:t>
      </w:r>
    </w:p>
    <w:p w:rsidR="005F73F8" w:rsidRPr="008B53A9" w:rsidRDefault="005F73F8" w:rsidP="005F73F8">
      <w:pPr>
        <w:pStyle w:val="Standardntext"/>
      </w:pPr>
      <w:r w:rsidRPr="008B53A9">
        <w:t>Všechny věcně zaměřené prioritní osy OP PIK jsou obsahově v souladu s cíli NIS. Nejsilnější vazbu na NIS vykazuj</w:t>
      </w:r>
      <w:r w:rsidR="00D45540" w:rsidRPr="008B53A9">
        <w:t>e</w:t>
      </w:r>
      <w:r w:rsidRPr="008B53A9">
        <w:t xml:space="preserve"> prioritní os</w:t>
      </w:r>
      <w:r w:rsidR="00D45540" w:rsidRPr="008B53A9">
        <w:t>a</w:t>
      </w:r>
      <w:r w:rsidRPr="008B53A9">
        <w:t xml:space="preserve"> 1 a </w:t>
      </w:r>
      <w:r w:rsidR="00D45540" w:rsidRPr="008B53A9">
        <w:t xml:space="preserve">také první dva specifické cíle </w:t>
      </w:r>
      <w:r w:rsidRPr="008B53A9">
        <w:t>prioritní osy 2</w:t>
      </w:r>
      <w:r w:rsidR="006035B0" w:rsidRPr="008B53A9">
        <w:t xml:space="preserve"> Operačního programu</w:t>
      </w:r>
      <w:r w:rsidRPr="008B53A9">
        <w:t>.</w:t>
      </w:r>
      <w:r w:rsidR="0015733D" w:rsidRPr="008B53A9">
        <w:t xml:space="preserve"> Tato vazba se vztahuje k následujícím cílům</w:t>
      </w:r>
      <w:r w:rsidR="00667493" w:rsidRPr="008B53A9">
        <w:t xml:space="preserve"> NIS: rozvoj kvalitních asistenčních služeb stimulujících a usnadňujících spolupráci výzkumných institucí s podniky a komercializace výsledků výzkumu, rozvoj personálních kapacit a služeb již vybudovaných podnikatelských inkubátorů, vědecko-technických parků apod., podpora proof of concept aktivit a Knowledge Transfer Partnership, podpora regionálních nástrojů podpory spolupráce transferu technologií mezi podnikovým a akademickým sektorem (např. inovační vouchery)</w:t>
      </w:r>
      <w:r w:rsidR="000D201D" w:rsidRPr="008B53A9">
        <w:t xml:space="preserve">. Značný důraz je kladen na zvýšení inovační poptávky v podnikovém sektoru (zejména MSP) spočívající </w:t>
      </w:r>
      <w:r w:rsidR="00846748" w:rsidRPr="008B53A9">
        <w:t xml:space="preserve">mj. </w:t>
      </w:r>
      <w:r w:rsidR="000D201D" w:rsidRPr="008B53A9">
        <w:t xml:space="preserve">v rozvoji špičkových poradenských služeb jako je technologický foresight, mentoring, </w:t>
      </w:r>
      <w:r w:rsidR="001F0603" w:rsidRPr="008B53A9">
        <w:t>koučin</w:t>
      </w:r>
      <w:r w:rsidR="000D201D" w:rsidRPr="008B53A9">
        <w:t>g, služby pro ochranu a nakládání s duševním vlastnictvím</w:t>
      </w:r>
      <w:r w:rsidR="00C02390" w:rsidRPr="008B53A9">
        <w:t>, účast na zahraničních veletrzích</w:t>
      </w:r>
      <w:r w:rsidR="000D201D" w:rsidRPr="008B53A9">
        <w:t xml:space="preserve"> apod.</w:t>
      </w:r>
      <w:r w:rsidR="00C02390" w:rsidRPr="008B53A9">
        <w:t xml:space="preserve"> Jedním ze zdrojů financování inovačních aktivit a projektů začínajících firem by se měly stát investice ve formě kapitálových vstupů soukromých investorů, což je praxe, která v ČR </w:t>
      </w:r>
      <w:r w:rsidR="00846748" w:rsidRPr="008B53A9">
        <w:t xml:space="preserve">dnes </w:t>
      </w:r>
      <w:r w:rsidR="00C02390" w:rsidRPr="008B53A9">
        <w:t>téměř neexistuje.</w:t>
      </w:r>
      <w:r w:rsidR="006101CE" w:rsidRPr="008B53A9">
        <w:t xml:space="preserve"> Vzhledem k tomu, že mnoho příležitostí pro inovace je v institucích veřejného sektoru, </w:t>
      </w:r>
      <w:r w:rsidR="00C4247C" w:rsidRPr="008B53A9">
        <w:t xml:space="preserve">doporučuje NIS </w:t>
      </w:r>
      <w:r w:rsidR="006101CE" w:rsidRPr="008B53A9">
        <w:t xml:space="preserve">implementaci nástroje „public procurement“ </w:t>
      </w:r>
      <w:r w:rsidR="00846748" w:rsidRPr="008B53A9">
        <w:t xml:space="preserve">stojícího </w:t>
      </w:r>
      <w:r w:rsidR="006101CE" w:rsidRPr="008B53A9">
        <w:t>na principu nákupu inovativních řešení</w:t>
      </w:r>
      <w:r w:rsidR="00C4247C" w:rsidRPr="008B53A9">
        <w:t xml:space="preserve"> pro potřeby veřejné správy.</w:t>
      </w:r>
    </w:p>
    <w:p w:rsidR="007130F6" w:rsidRPr="008B53A9" w:rsidRDefault="007130F6" w:rsidP="00D45540">
      <w:pPr>
        <w:pStyle w:val="Standardntext"/>
        <w:rPr>
          <w:b/>
        </w:rPr>
      </w:pPr>
      <w:r w:rsidRPr="008B53A9">
        <w:rPr>
          <w:b/>
        </w:rPr>
        <w:t>Národní priority orientovaného výzkumu, experimentálního vývoje a inovací</w:t>
      </w:r>
      <w:r w:rsidR="00774539" w:rsidRPr="008B53A9">
        <w:rPr>
          <w:b/>
        </w:rPr>
        <w:t xml:space="preserve"> </w:t>
      </w:r>
      <w:r w:rsidR="00774539" w:rsidRPr="008B53A9">
        <w:t>(Dále také „Priority VaVaI“)</w:t>
      </w:r>
    </w:p>
    <w:p w:rsidR="007130F6" w:rsidRPr="008B53A9" w:rsidRDefault="00774539" w:rsidP="009D7E8A">
      <w:pPr>
        <w:pStyle w:val="Standardntext"/>
        <w:keepNext/>
        <w:keepLines/>
      </w:pPr>
      <w:r w:rsidRPr="008B53A9">
        <w:t>Priority VaVaI</w:t>
      </w:r>
      <w:r w:rsidR="00D45540" w:rsidRPr="008B53A9">
        <w:t xml:space="preserve">, schválené </w:t>
      </w:r>
      <w:r w:rsidR="00FB6F9C" w:rsidRPr="008B53A9">
        <w:t xml:space="preserve">usnesením </w:t>
      </w:r>
      <w:r w:rsidR="00D45540" w:rsidRPr="008B53A9">
        <w:t>vlád</w:t>
      </w:r>
      <w:r w:rsidR="00FB6F9C" w:rsidRPr="008B53A9">
        <w:t>y</w:t>
      </w:r>
      <w:r w:rsidRPr="008B53A9">
        <w:t xml:space="preserve"> ČR</w:t>
      </w:r>
      <w:r w:rsidR="00D45540" w:rsidRPr="008B53A9">
        <w:t xml:space="preserve"> </w:t>
      </w:r>
      <w:r w:rsidR="00FB6F9C" w:rsidRPr="008B53A9">
        <w:t xml:space="preserve">ze </w:t>
      </w:r>
      <w:r w:rsidR="00D45540" w:rsidRPr="008B53A9">
        <w:t>dne 19. července 2012</w:t>
      </w:r>
      <w:r w:rsidR="00FB6F9C" w:rsidRPr="008B53A9">
        <w:t xml:space="preserve"> č. 552</w:t>
      </w:r>
      <w:r w:rsidR="00D45540" w:rsidRPr="008B53A9">
        <w:t>,</w:t>
      </w:r>
      <w:r w:rsidR="007130F6" w:rsidRPr="008B53A9">
        <w:t xml:space="preserve"> </w:t>
      </w:r>
      <w:r w:rsidR="00D45540" w:rsidRPr="008B53A9">
        <w:t>o</w:t>
      </w:r>
      <w:r w:rsidR="007130F6" w:rsidRPr="008B53A9">
        <w:t>bsahuj</w:t>
      </w:r>
      <w:r w:rsidR="00D45540" w:rsidRPr="008B53A9">
        <w:t>í</w:t>
      </w:r>
      <w:r w:rsidR="007130F6" w:rsidRPr="008B53A9">
        <w:t xml:space="preserve"> popis jednotlivých prioritních oblastí </w:t>
      </w:r>
      <w:r w:rsidR="00B2096C" w:rsidRPr="008B53A9">
        <w:t xml:space="preserve">a </w:t>
      </w:r>
      <w:r w:rsidRPr="008B53A9">
        <w:t xml:space="preserve">vazby mezi těmito oblastmi </w:t>
      </w:r>
      <w:r w:rsidR="007130F6" w:rsidRPr="008B53A9">
        <w:t>a definuj</w:t>
      </w:r>
      <w:r w:rsidR="00D45540" w:rsidRPr="008B53A9">
        <w:t>í</w:t>
      </w:r>
      <w:r w:rsidR="007130F6" w:rsidRPr="008B53A9">
        <w:t xml:space="preserve"> několik systémových opatření. </w:t>
      </w:r>
      <w:r w:rsidR="00D45540" w:rsidRPr="008B53A9">
        <w:t>Dokument</w:t>
      </w:r>
      <w:r w:rsidR="007130F6" w:rsidRPr="008B53A9">
        <w:t xml:space="preserve"> rovněž obsahuje vyjádření k předpokladu rozdělení výdajů na VaVaI ze státního rozpočtu</w:t>
      </w:r>
      <w:r w:rsidR="00FB08D5" w:rsidRPr="008B53A9">
        <w:rPr>
          <w:rStyle w:val="Znakapoznpodarou"/>
        </w:rPr>
        <w:footnoteReference w:id="16"/>
      </w:r>
      <w:r w:rsidR="007130F6" w:rsidRPr="008B53A9">
        <w:t xml:space="preserve"> na jednotlivé oblasti a definuje období, kdy budou prováděna hodnocení plnění a aktualizace priorit. </w:t>
      </w:r>
    </w:p>
    <w:p w:rsidR="00206375" w:rsidRPr="008B53A9" w:rsidRDefault="00206375" w:rsidP="00206375">
      <w:pPr>
        <w:pStyle w:val="Standardntext"/>
      </w:pPr>
      <w:r w:rsidRPr="008B53A9">
        <w:t>OP PIK se orientuje zejména na první dvě priority</w:t>
      </w:r>
      <w:r w:rsidR="00B2096C" w:rsidRPr="008B53A9">
        <w:t>:</w:t>
      </w:r>
      <w:r w:rsidRPr="008B53A9">
        <w:t xml:space="preserve"> </w:t>
      </w:r>
      <w:r w:rsidRPr="008B53A9">
        <w:rPr>
          <w:i/>
        </w:rPr>
        <w:t>Konkurenceschopná ekonomika založená na znalostech</w:t>
      </w:r>
      <w:r w:rsidRPr="008B53A9">
        <w:t xml:space="preserve"> a </w:t>
      </w:r>
      <w:r w:rsidRPr="008B53A9">
        <w:rPr>
          <w:i/>
        </w:rPr>
        <w:t>Udržitelnost ekonomiky a materiálových zdrojů</w:t>
      </w:r>
      <w:r w:rsidRPr="008B53A9">
        <w:t xml:space="preserve">, které budou naplňovány prostřednictvím prioritní osy 1, resp. prioritní osy 3 Operačního programu. Konkrétně jde o následující cíle VaVaI: zefektivnění produkce a procesů v rámci existujících kapacit české </w:t>
      </w:r>
      <w:r w:rsidRPr="008B53A9">
        <w:lastRenderedPageBreak/>
        <w:t>ekonomiky, rozvoj netechnických kompetencí podniků, podpora opatření směřující k posílení kapacity, spolehlivosti a bezpečnosti páteřních přenosových a distribučních sítí elektřiny (rovněž prostřednictvím rozvoje a zavedení chytrých sítí), akumulace elektrické energie včetně využití vodní energie, vysokoúčinná kogenerace ve zdrojích soustav centrálního zásobování teplem, distribuovaná kombinovaná výroba elektřiny, tepla a chladu ze všech typů zdrojů, využití elektrické energie v dopravě jako náhrada fosilních zdrojů či výzkum a vývoj nových energeticky úsporných průmyslových technologií.</w:t>
      </w:r>
    </w:p>
    <w:p w:rsidR="007130F6" w:rsidRPr="008B53A9" w:rsidRDefault="007130F6" w:rsidP="00BF7324">
      <w:pPr>
        <w:pStyle w:val="Standardntext"/>
        <w:rPr>
          <w:b/>
        </w:rPr>
      </w:pPr>
      <w:r w:rsidRPr="008B53A9">
        <w:rPr>
          <w:b/>
        </w:rPr>
        <w:t>Aktualizace Národní politiky výzkumu, vývoje a inovací České republiky na léta 2009 až 2015 s výhledem do roku 2020</w:t>
      </w:r>
      <w:r w:rsidR="00774539" w:rsidRPr="008B53A9">
        <w:rPr>
          <w:b/>
        </w:rPr>
        <w:t xml:space="preserve"> </w:t>
      </w:r>
      <w:r w:rsidR="00774539" w:rsidRPr="008B53A9">
        <w:t>(dále také „NP VaVaI“)</w:t>
      </w:r>
    </w:p>
    <w:p w:rsidR="008D0F65" w:rsidRPr="008B53A9" w:rsidRDefault="00774539" w:rsidP="008D0F65">
      <w:pPr>
        <w:pStyle w:val="Standardntext"/>
      </w:pPr>
      <w:r w:rsidRPr="008B53A9">
        <w:t xml:space="preserve">Aktualizace NP VaVaI, schválená </w:t>
      </w:r>
      <w:r w:rsidR="00FB6F9C" w:rsidRPr="008B53A9">
        <w:t>usnesením vlády</w:t>
      </w:r>
      <w:r w:rsidRPr="008B53A9">
        <w:t xml:space="preserve"> ČR </w:t>
      </w:r>
      <w:r w:rsidR="00FB6F9C" w:rsidRPr="008B53A9">
        <w:t xml:space="preserve">ze </w:t>
      </w:r>
      <w:r w:rsidR="007130F6" w:rsidRPr="008B53A9">
        <w:t>dne 24. dubna 2013</w:t>
      </w:r>
      <w:r w:rsidR="00FB6F9C" w:rsidRPr="008B53A9">
        <w:t xml:space="preserve"> č. </w:t>
      </w:r>
      <w:r w:rsidR="00097D48" w:rsidRPr="008B53A9">
        <w:t>294</w:t>
      </w:r>
      <w:r w:rsidRPr="008B53A9">
        <w:t>,</w:t>
      </w:r>
      <w:r w:rsidR="007130F6" w:rsidRPr="008B53A9">
        <w:t xml:space="preserve"> navazuje na zhodnocení stavu plnění cílů a opatření, které byly stanoveny v roce 2009. Hlavním cílem aktualizované NP VaVaI je vytvořit kvalitní podmínky pro tvorbu nových poznatků a jejich využívání v inovacích. Materiál zastřešuje odpovídající strategicko-koncepční dokumenty v ČR a je v souladu s dokumenty přijatými na úrovni EU.  Dokument je rozdělen do čtyř částí, které jsou zaměřeny na zajištění kvalitních lidských zdrojů, vytváření prostředí pro efektivní šíření a využívání znalostí, zvyšování inovační výkonnosti podniků a zlepšení koordinace systému řízení v ČR.  Prioritní rol</w:t>
      </w:r>
      <w:r w:rsidRPr="008B53A9">
        <w:t>i</w:t>
      </w:r>
      <w:r w:rsidR="007130F6" w:rsidRPr="008B53A9">
        <w:t xml:space="preserve"> má v Aktualizované NP VaVaI oblast lidských zdrojů, protože mimo jiné úzce souvisí s potřebou kvalitních výzkumných pracovníků pro současné i nově budované i</w:t>
      </w:r>
      <w:r w:rsidR="00CC4134" w:rsidRPr="008B53A9">
        <w:t>nfrastruktury výzkumu a vývoje</w:t>
      </w:r>
      <w:r w:rsidR="008D0F65" w:rsidRPr="008B53A9">
        <w:t>.</w:t>
      </w:r>
    </w:p>
    <w:p w:rsidR="00206375" w:rsidRPr="008B53A9" w:rsidRDefault="00206375" w:rsidP="00206375">
      <w:pPr>
        <w:pStyle w:val="Standardntext"/>
      </w:pPr>
      <w:r w:rsidRPr="008B53A9">
        <w:t>Cíle Aktualizace NP VaVaI bude naplňovat zejména prioritní osa 1 OP PIK. Mezi tyto cíle patří z pohledu OP PIK zejména rozvoj infrastruktury pro VaVaI v podnikovém sektoru (např. podnikatelské inkubátory, vědecko-technické parky), podpora aktivity Knowledge Transfer Partnership, podpora aplikovaného průmyslového výzkumu</w:t>
      </w:r>
      <w:r w:rsidR="006D148E" w:rsidRPr="008B53A9">
        <w:t xml:space="preserve"> (včetně KETs)</w:t>
      </w:r>
      <w:r w:rsidRPr="008B53A9">
        <w:t>, financování inovačních projektů MSP prostřednictvím veřejných zakázek na nákup inovativních řešení/produktů pro potřeby veřejné správy, podpora aktivit napomáhajících v zapojení subjektů z ČR do mezinárodního výzkumu (zejména do programu Horizont 2020), rozvoj poradenských služeb podnikům (zejména MSP), které vytvoří podmínky pro zvýšení jejich inovační výkonnosti (např. služby v oblasti využívání rizikového kapitálu, internacionalizace, technologický foresight).</w:t>
      </w:r>
    </w:p>
    <w:p w:rsidR="00645E52" w:rsidRPr="008B53A9" w:rsidRDefault="00645E52" w:rsidP="00206375">
      <w:pPr>
        <w:pStyle w:val="Standardntext"/>
        <w:rPr>
          <w:b/>
        </w:rPr>
      </w:pPr>
      <w:r w:rsidRPr="008B53A9">
        <w:rPr>
          <w:b/>
        </w:rPr>
        <w:t>Národní kosmický plán</w:t>
      </w:r>
    </w:p>
    <w:p w:rsidR="00645E52" w:rsidRPr="008B53A9" w:rsidRDefault="00645E52" w:rsidP="00206375">
      <w:pPr>
        <w:pStyle w:val="Standardntext"/>
      </w:pPr>
      <w:r w:rsidRPr="008B53A9">
        <w:t>Národní kosmický plán je strategickým dokumentem vlády</w:t>
      </w:r>
      <w:r w:rsidR="00097D48" w:rsidRPr="008B53A9">
        <w:rPr>
          <w:rStyle w:val="Znakapoznpodarou"/>
        </w:rPr>
        <w:footnoteReference w:id="17"/>
      </w:r>
      <w:r w:rsidRPr="008B53A9">
        <w:t xml:space="preserve"> a představuje podklad pro další rozhodování o dalším směřování ČR v oblasti kosmických aktivit, tj. podklad pro zaměření kosmických aktivit ČR, pro rozhodování o účasti na evropských a mezinárodních projektech nebo o podpoře takové účasti, pro nastavení státní politiky podpory inovací apod. Národní kosmický plán vymezuje souvislosti, pokud jde o kosmické aktivity a navrhuje způsoby a opatření vedoucí k maximalizaci návratnosti investic z veřejných zdrojů. Jedná se tedy o plán rozvoje českého průmyslu a akademické sféry a jejich zapojení do mezinárodní kosmické komunity, jehož hlavním cílem je zvýšení konkurenceschopnosti českého průmyslu a jeho technologické a inovační úrovně.</w:t>
      </w:r>
    </w:p>
    <w:p w:rsidR="00645E52" w:rsidRPr="008B53A9" w:rsidRDefault="00645E52" w:rsidP="00206375">
      <w:pPr>
        <w:pStyle w:val="Standardntext"/>
        <w:rPr>
          <w:i/>
          <w:iCs/>
        </w:rPr>
      </w:pPr>
      <w:r w:rsidRPr="008B53A9">
        <w:t xml:space="preserve">Národní komický plán navazuje na Strategii Evropa 2020, konkrétně stěžejní iniciativu „Průmyslová politika pro éru globalizace“ a stěžejní iniciativu „Inovace v Unii“ a rovněž na </w:t>
      </w:r>
      <w:r w:rsidRPr="008B53A9">
        <w:lastRenderedPageBreak/>
        <w:t xml:space="preserve">Sdělení EK </w:t>
      </w:r>
      <w:r w:rsidRPr="008B53A9">
        <w:rPr>
          <w:i/>
          <w:iCs/>
        </w:rPr>
        <w:t>„Kosmická průmyslová politika EU. Uvolnění potenciálu pro hospodářský růst v kosmickém odvětví“</w:t>
      </w:r>
      <w:r w:rsidRPr="008B53A9">
        <w:rPr>
          <w:rStyle w:val="Znakapoznpodarou"/>
          <w:iCs/>
        </w:rPr>
        <w:footnoteReference w:id="18"/>
      </w:r>
      <w:r w:rsidRPr="008B53A9">
        <w:rPr>
          <w:i/>
          <w:iCs/>
        </w:rPr>
        <w:t>.</w:t>
      </w:r>
    </w:p>
    <w:p w:rsidR="00645E52" w:rsidRPr="008B53A9" w:rsidRDefault="00645E52" w:rsidP="00206375">
      <w:pPr>
        <w:pStyle w:val="Standardntext"/>
      </w:pPr>
      <w:r w:rsidRPr="008B53A9">
        <w:t xml:space="preserve">S ohledem na charakter kosmických aktivit, tj. průřezovost, vysokou přidanou hodnotu, dynamicky rostoucí objem trhu v Evropě i ve světě, má Národní kosmický plán vazbu na prioritní osu 1 OP PIK. </w:t>
      </w:r>
    </w:p>
    <w:p w:rsidR="005F73F8" w:rsidRPr="008B53A9" w:rsidRDefault="005F73F8" w:rsidP="00774539">
      <w:pPr>
        <w:pStyle w:val="Standardntext"/>
      </w:pPr>
      <w:r w:rsidRPr="008B53A9">
        <w:rPr>
          <w:b/>
        </w:rPr>
        <w:t>Koncepce podpory malých a středních podnikatelů na období let 2014-2020</w:t>
      </w:r>
      <w:r w:rsidR="00774539" w:rsidRPr="008B53A9">
        <w:rPr>
          <w:b/>
        </w:rPr>
        <w:t xml:space="preserve"> </w:t>
      </w:r>
      <w:r w:rsidR="00774539" w:rsidRPr="008B53A9">
        <w:t>(dále také „Koncepce podpory MSP“)</w:t>
      </w:r>
    </w:p>
    <w:p w:rsidR="005F73F8" w:rsidRPr="008B53A9" w:rsidRDefault="00774539" w:rsidP="005F73F8">
      <w:pPr>
        <w:pStyle w:val="Standardntext"/>
      </w:pPr>
      <w:r w:rsidRPr="008B53A9">
        <w:t>Koncepce podpory MSP</w:t>
      </w:r>
      <w:r w:rsidR="005F73F8" w:rsidRPr="008B53A9">
        <w:t xml:space="preserve">, </w:t>
      </w:r>
      <w:r w:rsidRPr="008B53A9">
        <w:t xml:space="preserve">schválená </w:t>
      </w:r>
      <w:r w:rsidR="00BB0B7C" w:rsidRPr="008B53A9">
        <w:t>usnesením vlády</w:t>
      </w:r>
      <w:r w:rsidRPr="008B53A9">
        <w:t xml:space="preserve"> ČR </w:t>
      </w:r>
      <w:r w:rsidR="00BB0B7C" w:rsidRPr="008B53A9">
        <w:t xml:space="preserve">ze </w:t>
      </w:r>
      <w:r w:rsidRPr="008B53A9">
        <w:t>dne 12. prosince 2012</w:t>
      </w:r>
      <w:r w:rsidR="00BB0B7C" w:rsidRPr="008B53A9">
        <w:t xml:space="preserve"> č. 923</w:t>
      </w:r>
      <w:r w:rsidRPr="008B53A9">
        <w:t xml:space="preserve">, </w:t>
      </w:r>
      <w:r w:rsidR="005F73F8" w:rsidRPr="008B53A9">
        <w:t>představuje zásadní strategický dokument pro přípravu budoucího programovacího období kohezní p</w:t>
      </w:r>
      <w:r w:rsidRPr="008B53A9">
        <w:t>olitiky EU v oblasti podnikání. Koncepce podpory MSP jako prioritní označuje zaměření podpory</w:t>
      </w:r>
      <w:r w:rsidR="005F73F8" w:rsidRPr="008B53A9">
        <w:t xml:space="preserve"> na posilování konkurenceschopnosti</w:t>
      </w:r>
      <w:r w:rsidRPr="008B53A9">
        <w:t xml:space="preserve"> MSP</w:t>
      </w:r>
      <w:r w:rsidR="005F73F8" w:rsidRPr="008B53A9">
        <w:t xml:space="preserve"> prostřednictvím vytváření a šíření inovací, rozvoj</w:t>
      </w:r>
      <w:r w:rsidRPr="008B53A9">
        <w:t>e</w:t>
      </w:r>
      <w:r w:rsidR="005F73F8" w:rsidRPr="008B53A9">
        <w:t xml:space="preserve"> podnikatelského prostředí, snižování administrativní zátěže a zvyšování kvality poradenských služeb pro MSP. Důležitou oblastí podpory v rámci posilování konkurenceschopnosti s pozitivními dopady v oblasti životního prostředí bude snižování energetické náročnosti podnikání malých a středních </w:t>
      </w:r>
      <w:r w:rsidR="005821F5" w:rsidRPr="008B53A9">
        <w:t>podniků</w:t>
      </w:r>
      <w:r w:rsidR="005F73F8" w:rsidRPr="008B53A9">
        <w:t>, a to především ve vztahu k využití obnovitelných a d</w:t>
      </w:r>
      <w:r w:rsidR="00C24EC6" w:rsidRPr="008B53A9">
        <w:t>ruhotných energetických zdrojů.</w:t>
      </w:r>
    </w:p>
    <w:p w:rsidR="005F73F8" w:rsidRPr="008B53A9" w:rsidRDefault="005F73F8" w:rsidP="005F73F8">
      <w:pPr>
        <w:pStyle w:val="Standardntext"/>
      </w:pPr>
      <w:r w:rsidRPr="008B53A9">
        <w:t>Všechny věcně zaměřené prioritní osy OP PIK budou naplňovat relevantní cíle a opatření Koncepce</w:t>
      </w:r>
      <w:r w:rsidR="007D20BD" w:rsidRPr="008B53A9">
        <w:t xml:space="preserve"> podpory MSP</w:t>
      </w:r>
      <w:r w:rsidRPr="008B53A9">
        <w:t>.</w:t>
      </w:r>
      <w:r w:rsidR="00802850" w:rsidRPr="008B53A9">
        <w:t xml:space="preserve"> V relevantních prioritních osách OP PIK budou rovněž vzata v úvahu opatření Akčního plánu podnikání 2020</w:t>
      </w:r>
      <w:r w:rsidR="00802850" w:rsidRPr="008B53A9">
        <w:rPr>
          <w:rStyle w:val="Znakapoznpodarou"/>
        </w:rPr>
        <w:footnoteReference w:id="19"/>
      </w:r>
      <w:r w:rsidR="00802850" w:rsidRPr="008B53A9">
        <w:t xml:space="preserve"> v oblasti dalšího rozvoje podnikání, jako hybné síly ekonomického růstu a vytváření pracovních míst.</w:t>
      </w:r>
    </w:p>
    <w:p w:rsidR="00606577" w:rsidRPr="008B53A9" w:rsidRDefault="00606577" w:rsidP="00606577">
      <w:pPr>
        <w:pStyle w:val="Standardntext"/>
      </w:pPr>
      <w:r w:rsidRPr="008B53A9">
        <w:t>Operační program má vazbu na následující opatření akcentovaná Koncepcí podpory MSP. Z hlediska prioritní osy 1 OP PIK jde především o podporu transferů znalostí a technologií, včetně rozvoje vědeckotechnických parků, podnikatelských inkubátorů a jejich služeb, rozvoj klastrů, podporu vlastních výzkumných a vývojových kapacit podniků, včetně podpory investic do technologického a laboratorního vybavení, rozvoj spolupráce MSP a výzkumných organizací, podporu komercionalizace výsledků VaV a užší propojení VaV výzkumných organizací s poptávkou MSP.</w:t>
      </w:r>
    </w:p>
    <w:p w:rsidR="00606577" w:rsidRPr="008B53A9" w:rsidRDefault="00606577" w:rsidP="00606577">
      <w:pPr>
        <w:pStyle w:val="Standardntext"/>
      </w:pPr>
      <w:r w:rsidRPr="008B53A9">
        <w:t>Mezi klíčová opatření Koncepce podpory MSP, která jsou jedním z výchozích prvků prioritní osy 2 OP PIK, patří především podpora začínajících MSP pomocí finančních nástrojů, podpora inovativních poradenských služeb pro podnikání založené na znalostech jako je mentoring, technologický scouting, koučing či technologický foresighting, podpora účastí MSP na specializovaných veletrzích a výstavách, podpora podnikatelské infrastruktury, včetně rozvoje průmyslových zón a parků, rekonstrukce podnikatelských objektů a regenerace brownfield</w:t>
      </w:r>
      <w:r w:rsidR="00BF7E1C" w:rsidRPr="008B53A9">
        <w:t>ů</w:t>
      </w:r>
      <w:r w:rsidRPr="008B53A9">
        <w:t xml:space="preserve"> a podpora infrastruktury pro firemní vzdělávání a školení, včetně rozvoje školicích středisek.</w:t>
      </w:r>
    </w:p>
    <w:p w:rsidR="00606577" w:rsidRPr="008B53A9" w:rsidRDefault="00606577" w:rsidP="00606577">
      <w:pPr>
        <w:pStyle w:val="Standardntext"/>
      </w:pPr>
      <w:r w:rsidRPr="008B53A9">
        <w:t>Prioritní osa 3 Operačního programu reaguje na následující priority Koncepce podpory MSP: výstavba nových a rekonstrukce stávajících zařízení na výrobu a rozvod elektrické energie a tepla vyrobené s využitím obnovitelných a druhotných zdrojů energie, snižování energetické náročnosti výrobních a technologických procesů, zlepšování tepelně technických vlastností budov, modernizace, rekonstrukce a snižování ztrát v rozvodech elektřiny a tepla, podpora vyššího využívání druhotných surovin, zvyšování energetické účinnosti zaváděním kombinované výroby elektřiny a tepla atd.</w:t>
      </w:r>
    </w:p>
    <w:p w:rsidR="00606577" w:rsidRPr="008B53A9" w:rsidRDefault="00606577" w:rsidP="00606577">
      <w:pPr>
        <w:pStyle w:val="Standardntext"/>
      </w:pPr>
      <w:r w:rsidRPr="008B53A9">
        <w:lastRenderedPageBreak/>
        <w:t>Podpora rozvoje ICT v malých a středních podnicích a rozvoj center progresivních ICT služeb jsou opatření Koncepce podpory MSP, která jsou zároveň relevantní z hlediska prioritní osy 4 OP PIK.</w:t>
      </w:r>
    </w:p>
    <w:p w:rsidR="005F73F8" w:rsidRPr="008B53A9" w:rsidRDefault="005F73F8" w:rsidP="007D20BD">
      <w:pPr>
        <w:pStyle w:val="Standardntext"/>
        <w:rPr>
          <w:b/>
        </w:rPr>
      </w:pPr>
      <w:r w:rsidRPr="008B53A9">
        <w:rPr>
          <w:b/>
        </w:rPr>
        <w:t>Státní energetická koncepce</w:t>
      </w:r>
      <w:r w:rsidR="007D20BD" w:rsidRPr="008B53A9">
        <w:rPr>
          <w:b/>
        </w:rPr>
        <w:t xml:space="preserve"> ČR </w:t>
      </w:r>
      <w:r w:rsidR="007D20BD" w:rsidRPr="008B53A9">
        <w:t>(dále také „SEK“)</w:t>
      </w:r>
    </w:p>
    <w:p w:rsidR="005F73F8" w:rsidRPr="008B53A9" w:rsidRDefault="005F73F8" w:rsidP="005F73F8">
      <w:pPr>
        <w:pStyle w:val="Standardntext"/>
      </w:pPr>
      <w:r w:rsidRPr="008B53A9">
        <w:t xml:space="preserve">Státní energetická koncepce </w:t>
      </w:r>
      <w:r w:rsidR="007D20BD" w:rsidRPr="008B53A9">
        <w:t>ČR</w:t>
      </w:r>
      <w:r w:rsidRPr="008B53A9">
        <w:t xml:space="preserve"> je dokumentem, který stanovuje strategické </w:t>
      </w:r>
      <w:r w:rsidR="007D20BD" w:rsidRPr="008B53A9">
        <w:t xml:space="preserve">priority a </w:t>
      </w:r>
      <w:r w:rsidRPr="008B53A9">
        <w:t xml:space="preserve">cíle státu v energetickém </w:t>
      </w:r>
      <w:r w:rsidR="007D20BD" w:rsidRPr="008B53A9">
        <w:t>sektoru</w:t>
      </w:r>
      <w:r w:rsidRPr="008B53A9">
        <w:t xml:space="preserve"> s výhledem na 30 let</w:t>
      </w:r>
      <w:r w:rsidR="007D20BD" w:rsidRPr="008B53A9">
        <w:t xml:space="preserve"> a</w:t>
      </w:r>
      <w:r w:rsidRPr="008B53A9">
        <w:t xml:space="preserve"> popisuje konkrétní realizační nástroje energetické politiky státu. </w:t>
      </w:r>
      <w:r w:rsidR="00062C8D" w:rsidRPr="008B53A9">
        <w:t>Aktualizace SEK, kterou vzala vláda ČR na vědomí</w:t>
      </w:r>
      <w:r w:rsidR="00BB0B7C" w:rsidRPr="008B53A9">
        <w:t xml:space="preserve"> usnesením ze</w:t>
      </w:r>
      <w:r w:rsidR="007D20BD" w:rsidRPr="008B53A9">
        <w:t xml:space="preserve"> dne </w:t>
      </w:r>
      <w:r w:rsidR="00BB0B7C" w:rsidRPr="008B53A9">
        <w:t>7</w:t>
      </w:r>
      <w:r w:rsidR="007D20BD" w:rsidRPr="008B53A9">
        <w:t>. listopadu 2012</w:t>
      </w:r>
      <w:r w:rsidR="00BB0B7C" w:rsidRPr="008B53A9">
        <w:t xml:space="preserve"> č. 803</w:t>
      </w:r>
      <w:r w:rsidR="00062C8D" w:rsidRPr="008B53A9">
        <w:t xml:space="preserve">, obsahuje </w:t>
      </w:r>
      <w:r w:rsidRPr="008B53A9">
        <w:t xml:space="preserve">scénář předpokládaných základních trendů vývoje energetiky s horizontem do roku 2050. Výhled do roku 2030 má charakter podrobné strategie a mezi roky 2030 a 2050 má charakter strategické vize. </w:t>
      </w:r>
    </w:p>
    <w:p w:rsidR="00606577" w:rsidRPr="008B53A9" w:rsidRDefault="00606577" w:rsidP="00606577">
      <w:pPr>
        <w:pStyle w:val="Standardntext"/>
      </w:pPr>
      <w:r w:rsidRPr="008B53A9">
        <w:t xml:space="preserve">Relevantní priority Aktualizace SEK budou naplňovány prostřednictvím prioritní osy 3 OP PIK. Těmito prioritami jsou především rozvoj ekonomicky efektivních OZE, rekonstrukce zařízení a technologií za účelem zvýšení energetické účinnosti, úspory tepla v budovách, podpora využívání metody Energy Performance Contracting (energetické služby se zárukou), obnova a modernizace přenosové soustavy a zvyšování její odolnosti při vzniku krizových situací, obnova a </w:t>
      </w:r>
      <w:r w:rsidR="00C64425" w:rsidRPr="008B53A9">
        <w:t>posílení</w:t>
      </w:r>
      <w:r w:rsidRPr="008B53A9">
        <w:t xml:space="preserve"> distribučních soustav</w:t>
      </w:r>
      <w:r w:rsidR="00C64425" w:rsidRPr="008B53A9">
        <w:t xml:space="preserve"> a implementace řídicích systémů inteligentních sítí zajišťující připojení a řízení provozu distribuovaných zdrojů, lokální akumulace, rozvoj tepelných čerpadel a efektivní řízení spotřeby</w:t>
      </w:r>
      <w:r w:rsidRPr="008B53A9">
        <w:t>,</w:t>
      </w:r>
      <w:r w:rsidR="00C64425" w:rsidRPr="008B53A9">
        <w:t xml:space="preserve"> dále</w:t>
      </w:r>
      <w:r w:rsidRPr="008B53A9">
        <w:t xml:space="preserve"> podpora výzkumu a vývoje zaměřeného na zvýšení účinnosti energetických zdrojů, včetně rozvoje elektromobility, maximalizace energetického využití druhotných zdrojů energie, obnova soustav zásobování teplem vedoucí ke snížení ztrát v distribuci tepla a přechod výtopen na kogenerační výrobu.</w:t>
      </w:r>
    </w:p>
    <w:p w:rsidR="005F73F8" w:rsidRPr="008B53A9" w:rsidRDefault="005F73F8" w:rsidP="00790150">
      <w:pPr>
        <w:pStyle w:val="Standardntext"/>
        <w:rPr>
          <w:b/>
        </w:rPr>
      </w:pPr>
      <w:r w:rsidRPr="008B53A9">
        <w:rPr>
          <w:b/>
        </w:rPr>
        <w:t>Národní akční plán České republiky pro energii z obnovitelných zdrojů</w:t>
      </w:r>
      <w:r w:rsidR="00790150" w:rsidRPr="008B53A9">
        <w:rPr>
          <w:b/>
        </w:rPr>
        <w:t xml:space="preserve"> </w:t>
      </w:r>
      <w:r w:rsidR="00790150" w:rsidRPr="008B53A9">
        <w:t>(dále také „NAP pro OZE“)</w:t>
      </w:r>
    </w:p>
    <w:p w:rsidR="005F73F8" w:rsidRPr="008B53A9" w:rsidRDefault="00790150" w:rsidP="005F73F8">
      <w:pPr>
        <w:pStyle w:val="Standardntext"/>
      </w:pPr>
      <w:r w:rsidRPr="008B53A9">
        <w:t>NAP pro OZE</w:t>
      </w:r>
      <w:r w:rsidR="00164320" w:rsidRPr="008B53A9">
        <w:t xml:space="preserve">, </w:t>
      </w:r>
      <w:r w:rsidR="005F73F8" w:rsidRPr="008B53A9">
        <w:t xml:space="preserve">schválen </w:t>
      </w:r>
      <w:r w:rsidR="0089121B" w:rsidRPr="008B53A9">
        <w:t xml:space="preserve">usnesením </w:t>
      </w:r>
      <w:r w:rsidR="005F73F8" w:rsidRPr="008B53A9">
        <w:t>vlád</w:t>
      </w:r>
      <w:r w:rsidR="0089121B" w:rsidRPr="008B53A9">
        <w:t>y</w:t>
      </w:r>
      <w:r w:rsidR="001A289D" w:rsidRPr="008B53A9">
        <w:t xml:space="preserve"> ČR</w:t>
      </w:r>
      <w:r w:rsidR="005F73F8" w:rsidRPr="008B53A9">
        <w:t xml:space="preserve"> </w:t>
      </w:r>
      <w:r w:rsidR="0089121B" w:rsidRPr="008B53A9">
        <w:t xml:space="preserve">ze </w:t>
      </w:r>
      <w:r w:rsidR="005F73F8" w:rsidRPr="008B53A9">
        <w:t xml:space="preserve">dne 25. </w:t>
      </w:r>
      <w:r w:rsidR="00164320" w:rsidRPr="008B53A9">
        <w:t>srpna 2010</w:t>
      </w:r>
      <w:r w:rsidR="0089121B" w:rsidRPr="008B53A9">
        <w:t xml:space="preserve"> č. 603 (jeho aktualizace </w:t>
      </w:r>
      <w:r w:rsidR="00BB0B7C" w:rsidRPr="008B53A9">
        <w:t xml:space="preserve">schválena </w:t>
      </w:r>
      <w:r w:rsidR="0089121B" w:rsidRPr="008B53A9">
        <w:t>usnesením vlády ČR ze dne 7. listopadu 2012 č. 804)</w:t>
      </w:r>
      <w:r w:rsidR="00164320" w:rsidRPr="008B53A9">
        <w:t xml:space="preserve">, </w:t>
      </w:r>
      <w:r w:rsidR="005F73F8" w:rsidRPr="008B53A9">
        <w:t xml:space="preserve">je naplněním Rozhodnutí Komise 2009/548/ES ze dne 30. června 2009, kterým se stanoví vzor pro národní akční plány pro energii z obnovitelných zdrojů podle směrnice Evropského parlamentu a Rady 2009/28/ES. NAP </w:t>
      </w:r>
      <w:r w:rsidR="00164320" w:rsidRPr="008B53A9">
        <w:t>pro OZE</w:t>
      </w:r>
      <w:r w:rsidR="001A289D" w:rsidRPr="008B53A9">
        <w:t>, který je součástí SEK,</w:t>
      </w:r>
      <w:r w:rsidR="00164320" w:rsidRPr="008B53A9">
        <w:t xml:space="preserve"> </w:t>
      </w:r>
      <w:r w:rsidR="005F73F8" w:rsidRPr="008B53A9">
        <w:t>stanov</w:t>
      </w:r>
      <w:r w:rsidR="00164320" w:rsidRPr="008B53A9">
        <w:t>uje</w:t>
      </w:r>
      <w:r w:rsidR="005F73F8" w:rsidRPr="008B53A9">
        <w:t xml:space="preserve"> cíl podílu energie z obnovitelných zdrojů na hrubé konečné spotřebě energie ve výši 13 % </w:t>
      </w:r>
      <w:r w:rsidR="003A5BAE" w:rsidRPr="008B53A9">
        <w:t>do</w:t>
      </w:r>
      <w:r w:rsidR="005F73F8" w:rsidRPr="008B53A9">
        <w:t xml:space="preserve"> r. 2020, což </w:t>
      </w:r>
      <w:r w:rsidR="0089121B" w:rsidRPr="008B53A9">
        <w:t>vyplývá ze závazku</w:t>
      </w:r>
      <w:r w:rsidR="005F73F8" w:rsidRPr="008B53A9">
        <w:t xml:space="preserve"> </w:t>
      </w:r>
      <w:r w:rsidR="0089121B" w:rsidRPr="008B53A9">
        <w:t>daného členstvím</w:t>
      </w:r>
      <w:r w:rsidR="005F73F8" w:rsidRPr="008B53A9">
        <w:t xml:space="preserve"> ČR v</w:t>
      </w:r>
      <w:r w:rsidR="00164320" w:rsidRPr="008B53A9">
        <w:t> </w:t>
      </w:r>
      <w:r w:rsidR="005F73F8" w:rsidRPr="008B53A9">
        <w:t>EU</w:t>
      </w:r>
      <w:r w:rsidR="00164320" w:rsidRPr="008B53A9">
        <w:t>.</w:t>
      </w:r>
      <w:r w:rsidR="005F73F8" w:rsidRPr="008B53A9">
        <w:t xml:space="preserve"> </w:t>
      </w:r>
    </w:p>
    <w:p w:rsidR="005F73F8" w:rsidRPr="008B53A9" w:rsidRDefault="001A289D" w:rsidP="005F73F8">
      <w:pPr>
        <w:pStyle w:val="Standardntext"/>
      </w:pPr>
      <w:r w:rsidRPr="008B53A9">
        <w:t>K</w:t>
      </w:r>
      <w:r w:rsidR="005F73F8" w:rsidRPr="008B53A9">
        <w:t> naplnění cílů NAP</w:t>
      </w:r>
      <w:r w:rsidRPr="008B53A9">
        <w:t xml:space="preserve"> pro OZE</w:t>
      </w:r>
      <w:r w:rsidR="005F73F8" w:rsidRPr="008B53A9">
        <w:t>, který podporu realizace opatření z</w:t>
      </w:r>
      <w:r w:rsidRPr="008B53A9">
        <w:t> ESIF přímo předpokládá, přispějí aktivity v rámci prioritní osy 3 OP PIK, zejména specifický cíl 3.1.</w:t>
      </w:r>
    </w:p>
    <w:p w:rsidR="005F73F8" w:rsidRPr="008B53A9" w:rsidRDefault="005F73F8" w:rsidP="001A289D">
      <w:pPr>
        <w:pStyle w:val="Standardntext"/>
        <w:rPr>
          <w:b/>
        </w:rPr>
      </w:pPr>
      <w:r w:rsidRPr="008B53A9">
        <w:rPr>
          <w:b/>
        </w:rPr>
        <w:t>Druhý Akční plán energetické účinnosti Č</w:t>
      </w:r>
      <w:r w:rsidR="001A289D" w:rsidRPr="008B53A9">
        <w:rPr>
          <w:b/>
        </w:rPr>
        <w:t>R</w:t>
      </w:r>
    </w:p>
    <w:p w:rsidR="005F73F8" w:rsidRPr="008B53A9" w:rsidRDefault="005F73F8" w:rsidP="005F73F8">
      <w:pPr>
        <w:pStyle w:val="Standardntext"/>
      </w:pPr>
      <w:r w:rsidRPr="008B53A9">
        <w:t>Druhý Akční plán energetické účinnosti Č</w:t>
      </w:r>
      <w:r w:rsidR="001A289D" w:rsidRPr="008B53A9">
        <w:t>R,</w:t>
      </w:r>
      <w:r w:rsidRPr="008B53A9">
        <w:rPr>
          <w:b/>
        </w:rPr>
        <w:t xml:space="preserve"> </w:t>
      </w:r>
      <w:r w:rsidRPr="008B53A9">
        <w:t xml:space="preserve">schválen </w:t>
      </w:r>
      <w:r w:rsidR="00BA43FA" w:rsidRPr="008B53A9">
        <w:t>vládou</w:t>
      </w:r>
      <w:r w:rsidRPr="008B53A9">
        <w:t xml:space="preserve"> </w:t>
      </w:r>
      <w:r w:rsidR="001A289D" w:rsidRPr="008B53A9">
        <w:t xml:space="preserve">ČR </w:t>
      </w:r>
      <w:r w:rsidR="00BA43FA" w:rsidRPr="008B53A9">
        <w:t>v</w:t>
      </w:r>
      <w:r w:rsidRPr="008B53A9">
        <w:t> září 2011</w:t>
      </w:r>
      <w:r w:rsidR="001A289D" w:rsidRPr="008B53A9">
        <w:t>,</w:t>
      </w:r>
      <w:r w:rsidRPr="008B53A9">
        <w:t xml:space="preserve"> popisuje plnění doporučení a opatření obsažených ve Směrnici Evropského parlamentu a Rady č. 2006/32/ES o energetické účinnosti u konečného spotřebitele a o energetických službách a o zrušení směrnice 93/76/EHS (ESD). </w:t>
      </w:r>
    </w:p>
    <w:p w:rsidR="005F73F8" w:rsidRPr="008B53A9" w:rsidRDefault="005F73F8" w:rsidP="005F73F8">
      <w:pPr>
        <w:pStyle w:val="Standardntext"/>
      </w:pPr>
      <w:r w:rsidRPr="008B53A9">
        <w:t>Cíle Druhého Akčního plánu energetické účinnosti Č</w:t>
      </w:r>
      <w:r w:rsidR="001A289D" w:rsidRPr="008B53A9">
        <w:t>R</w:t>
      </w:r>
      <w:r w:rsidRPr="008B53A9">
        <w:t xml:space="preserve"> </w:t>
      </w:r>
      <w:r w:rsidR="00F218E1" w:rsidRPr="008B53A9">
        <w:t>(např. maximalizace úspor tepla v budovách v podnikatelské sféře</w:t>
      </w:r>
      <w:r w:rsidR="00436849" w:rsidRPr="008B53A9">
        <w:t xml:space="preserve"> či</w:t>
      </w:r>
      <w:r w:rsidR="00F218E1" w:rsidRPr="008B53A9">
        <w:t xml:space="preserve"> využívání kombinované výroby elektrické energie a tepla) </w:t>
      </w:r>
      <w:r w:rsidRPr="008B53A9">
        <w:t xml:space="preserve">budou naplňovány </w:t>
      </w:r>
      <w:r w:rsidR="001A289D" w:rsidRPr="008B53A9">
        <w:t>s přispěním prioritní osy 3 OP PIK</w:t>
      </w:r>
      <w:r w:rsidRPr="008B53A9">
        <w:t>.</w:t>
      </w:r>
    </w:p>
    <w:p w:rsidR="00727CCA" w:rsidRPr="008B53A9" w:rsidRDefault="00727CCA" w:rsidP="00627EE8">
      <w:pPr>
        <w:pStyle w:val="Standardntext"/>
        <w:keepNext/>
        <w:keepLines/>
        <w:rPr>
          <w:b/>
        </w:rPr>
      </w:pPr>
      <w:r w:rsidRPr="008B53A9">
        <w:rPr>
          <w:b/>
        </w:rPr>
        <w:lastRenderedPageBreak/>
        <w:t>Politika druhotných surovin ČR</w:t>
      </w:r>
    </w:p>
    <w:p w:rsidR="005F65A2" w:rsidRPr="008B53A9" w:rsidRDefault="00727CCA" w:rsidP="00627EE8">
      <w:pPr>
        <w:pStyle w:val="Standardntext"/>
        <w:keepNext/>
        <w:keepLines/>
      </w:pPr>
      <w:r w:rsidRPr="008B53A9">
        <w:t xml:space="preserve">Politika druhotných surovin ČR, </w:t>
      </w:r>
      <w:r w:rsidR="00F80BD4" w:rsidRPr="008B53A9">
        <w:t>kterou vzala vláda</w:t>
      </w:r>
      <w:r w:rsidRPr="008B53A9">
        <w:t xml:space="preserve"> ČŘ </w:t>
      </w:r>
      <w:r w:rsidR="00F80BD4" w:rsidRPr="008B53A9">
        <w:t xml:space="preserve">na vědomí </w:t>
      </w:r>
      <w:r w:rsidR="00BA43FA" w:rsidRPr="008B53A9">
        <w:t xml:space="preserve">usnesením ze </w:t>
      </w:r>
      <w:r w:rsidR="00F80BD4" w:rsidRPr="008B53A9">
        <w:t xml:space="preserve">dne 16. října 2013 </w:t>
      </w:r>
      <w:r w:rsidR="00BA43FA" w:rsidRPr="008B53A9">
        <w:t xml:space="preserve">č. 773 </w:t>
      </w:r>
      <w:r w:rsidR="00F80BD4" w:rsidRPr="008B53A9">
        <w:t>a schválila její hlavní cíle</w:t>
      </w:r>
      <w:r w:rsidRPr="008B53A9">
        <w:t xml:space="preserve">, </w:t>
      </w:r>
      <w:r w:rsidR="00F80BD4" w:rsidRPr="008B53A9">
        <w:t xml:space="preserve">je samostatnou částí nové Surovinové politiky ČR. </w:t>
      </w:r>
      <w:r w:rsidR="005F65A2" w:rsidRPr="008B53A9">
        <w:t xml:space="preserve">Cílem </w:t>
      </w:r>
      <w:r w:rsidR="00F80BD4" w:rsidRPr="008B53A9">
        <w:t>Politik</w:t>
      </w:r>
      <w:r w:rsidR="005F65A2" w:rsidRPr="008B53A9">
        <w:t>y</w:t>
      </w:r>
      <w:r w:rsidR="00F80BD4" w:rsidRPr="008B53A9">
        <w:t xml:space="preserve"> druhotných surovin ČR je </w:t>
      </w:r>
      <w:r w:rsidR="005F65A2" w:rsidRPr="008B53A9">
        <w:t>mj. podpora inovací zabezpečující získávání druhotných surovin v kvalitě vhodné pro další využití v průmyslu a podpora využívání druhotných surovin jako nástroje pro snižování energetické a materiálové náročnosti průmyslové výroby</w:t>
      </w:r>
      <w:r w:rsidR="00F80BD4" w:rsidRPr="008B53A9">
        <w:t>.</w:t>
      </w:r>
    </w:p>
    <w:p w:rsidR="00727CCA" w:rsidRPr="008B53A9" w:rsidRDefault="005F65A2" w:rsidP="005F73F8">
      <w:pPr>
        <w:pStyle w:val="Standardntext"/>
      </w:pPr>
      <w:r w:rsidRPr="008B53A9">
        <w:t xml:space="preserve">Na základě těchto cílů bylo formulováno zaměření vybraných aktivit specifického cíle 3.4 prioritní osy 3 OP PIK; z hlediska ekoinovací lze sledovat vazbu také na prioritní osu 1. </w:t>
      </w:r>
      <w:r w:rsidR="002038C1" w:rsidRPr="008B53A9">
        <w:t xml:space="preserve">Dokument obsahuje </w:t>
      </w:r>
      <w:r w:rsidRPr="008B53A9">
        <w:t xml:space="preserve">výčet </w:t>
      </w:r>
      <w:r w:rsidR="002038C1" w:rsidRPr="008B53A9">
        <w:t>potenciálně využiteln</w:t>
      </w:r>
      <w:r w:rsidRPr="008B53A9">
        <w:t>ých</w:t>
      </w:r>
      <w:r w:rsidR="002038C1" w:rsidRPr="008B53A9">
        <w:t xml:space="preserve"> nástroj</w:t>
      </w:r>
      <w:r w:rsidRPr="008B53A9">
        <w:t>ů</w:t>
      </w:r>
      <w:r w:rsidR="002038C1" w:rsidRPr="008B53A9">
        <w:t xml:space="preserve"> v podmínkách ČR, přičemž u relevantních nástrojů </w:t>
      </w:r>
      <w:r w:rsidRPr="008B53A9">
        <w:t xml:space="preserve">přímo </w:t>
      </w:r>
      <w:r w:rsidR="002038C1" w:rsidRPr="008B53A9">
        <w:t>předpokládá využití finančních prostředků z OP PIK.</w:t>
      </w:r>
    </w:p>
    <w:p w:rsidR="005F73F8" w:rsidRPr="008B53A9" w:rsidRDefault="005F73F8" w:rsidP="001A289D">
      <w:pPr>
        <w:pStyle w:val="Standardntext"/>
        <w:rPr>
          <w:b/>
        </w:rPr>
      </w:pPr>
      <w:r w:rsidRPr="008B53A9">
        <w:rPr>
          <w:b/>
        </w:rPr>
        <w:t>Aktualizovaná Státní politika</w:t>
      </w:r>
      <w:r w:rsidR="00DB7C27" w:rsidRPr="008B53A9">
        <w:rPr>
          <w:b/>
        </w:rPr>
        <w:t xml:space="preserve"> v elektronických komunikacích:</w:t>
      </w:r>
      <w:r w:rsidRPr="008B53A9">
        <w:rPr>
          <w:b/>
        </w:rPr>
        <w:t xml:space="preserve"> Digitální Česko v. 2.0, Cesta k digitální ekonomice</w:t>
      </w:r>
      <w:r w:rsidR="001A289D" w:rsidRPr="008B53A9">
        <w:t xml:space="preserve"> (dále také „Digitální Česko 2“)</w:t>
      </w:r>
    </w:p>
    <w:p w:rsidR="005F73F8" w:rsidRPr="008B53A9" w:rsidRDefault="001A289D" w:rsidP="005F73F8">
      <w:pPr>
        <w:pStyle w:val="Standardntext"/>
      </w:pPr>
      <w:r w:rsidRPr="008B53A9">
        <w:t xml:space="preserve">Strategický dokument Digitální Česko 2, schválený </w:t>
      </w:r>
      <w:r w:rsidR="00BA43FA" w:rsidRPr="008B53A9">
        <w:t xml:space="preserve">usnesením vlády </w:t>
      </w:r>
      <w:r w:rsidRPr="008B53A9">
        <w:t xml:space="preserve">ČR </w:t>
      </w:r>
      <w:r w:rsidR="00BA43FA" w:rsidRPr="008B53A9">
        <w:t xml:space="preserve">ze </w:t>
      </w:r>
      <w:r w:rsidR="005F73F8" w:rsidRPr="008B53A9">
        <w:t>dne 20. března 2013</w:t>
      </w:r>
      <w:r w:rsidR="00BA43FA" w:rsidRPr="008B53A9">
        <w:t xml:space="preserve"> č. 203</w:t>
      </w:r>
      <w:r w:rsidRPr="008B53A9">
        <w:t>,</w:t>
      </w:r>
      <w:r w:rsidR="005F73F8" w:rsidRPr="008B53A9">
        <w:t xml:space="preserve"> </w:t>
      </w:r>
      <w:r w:rsidRPr="008B53A9">
        <w:t xml:space="preserve">je postaven </w:t>
      </w:r>
      <w:r w:rsidR="005F73F8" w:rsidRPr="008B53A9">
        <w:t>na třech pilířích, a to podpoře budování kvalitní internetové infrastruktury, rozvoji digitálních služeb a zvyšování digitální gramotnosti. Hlavním cílem je podpořit potenciál České republiky v oblasti rozvoje moderních informačních a komunikačních technologií a služeb, které jsou jejich prostřednictvím poskytovány. V souladu s Digitální agendou pro Evropu si vláda stanovuje cíl rozvoj</w:t>
      </w:r>
      <w:r w:rsidRPr="008B53A9">
        <w:t>e</w:t>
      </w:r>
      <w:r w:rsidR="005F73F8" w:rsidRPr="008B53A9">
        <w:t xml:space="preserve"> vysokorychlostních přístupových sítí k internetu umožňujících přenosové rychlosti </w:t>
      </w:r>
      <w:r w:rsidRPr="008B53A9">
        <w:t xml:space="preserve">min. </w:t>
      </w:r>
      <w:r w:rsidR="005F73F8" w:rsidRPr="008B53A9">
        <w:t>30 Mbit/s do roku 2020 pro všechny obyvatele a 100 Mbit/s minimálně pro polovinu domácností.</w:t>
      </w:r>
      <w:r w:rsidRPr="008B53A9">
        <w:t xml:space="preserve"> </w:t>
      </w:r>
      <w:r w:rsidR="005F73F8" w:rsidRPr="008B53A9">
        <w:t>Mezi další cíle Digitální</w:t>
      </w:r>
      <w:r w:rsidRPr="008B53A9">
        <w:t>ho</w:t>
      </w:r>
      <w:r w:rsidR="005F73F8" w:rsidRPr="008B53A9">
        <w:t xml:space="preserve"> Česk</w:t>
      </w:r>
      <w:r w:rsidRPr="008B53A9">
        <w:t>a</w:t>
      </w:r>
      <w:r w:rsidR="005F73F8" w:rsidRPr="008B53A9">
        <w:t xml:space="preserve"> 2 patří </w:t>
      </w:r>
      <w:r w:rsidRPr="008B53A9">
        <w:t>také</w:t>
      </w:r>
      <w:r w:rsidR="005F73F8" w:rsidRPr="008B53A9">
        <w:t xml:space="preserve"> posílení samoregulačních</w:t>
      </w:r>
      <w:r w:rsidR="002C0D5A" w:rsidRPr="008B53A9">
        <w:t xml:space="preserve"> mechanismů digitální ekonomiky,</w:t>
      </w:r>
      <w:r w:rsidRPr="008B53A9">
        <w:t xml:space="preserve"> </w:t>
      </w:r>
      <w:r w:rsidR="005F73F8" w:rsidRPr="008B53A9">
        <w:t xml:space="preserve">zvyšování dostupnosti ICT pro všechny bez ohledu na lokalitu, sociální postavení nebo zdravotní postižení </w:t>
      </w:r>
      <w:r w:rsidR="002C0D5A" w:rsidRPr="008B53A9">
        <w:t>a dále</w:t>
      </w:r>
      <w:r w:rsidR="005F73F8" w:rsidRPr="008B53A9">
        <w:t xml:space="preserve"> podpora celoživotního vzdělávání za účelem posílení digitální gramotnosti. </w:t>
      </w:r>
    </w:p>
    <w:p w:rsidR="005F73F8" w:rsidRPr="008B53A9" w:rsidRDefault="002C0D5A" w:rsidP="005F73F8">
      <w:pPr>
        <w:pStyle w:val="Standardntext"/>
      </w:pPr>
      <w:r w:rsidRPr="008B53A9">
        <w:t>Relevantní opatření Digitálního Česka 2</w:t>
      </w:r>
      <w:r w:rsidR="005F73F8" w:rsidRPr="008B53A9">
        <w:t xml:space="preserve"> budou naplňována </w:t>
      </w:r>
      <w:r w:rsidRPr="008B53A9">
        <w:t xml:space="preserve">v rámci </w:t>
      </w:r>
      <w:r w:rsidR="005F73F8" w:rsidRPr="008B53A9">
        <w:t>prioritní osy 4</w:t>
      </w:r>
      <w:r w:rsidRPr="008B53A9">
        <w:t xml:space="preserve"> OP PIK</w:t>
      </w:r>
      <w:r w:rsidR="00B5378D" w:rsidRPr="008B53A9">
        <w:t>, jmenovitě prostřednictvím specifického cíle 4.1</w:t>
      </w:r>
      <w:r w:rsidR="005F73F8" w:rsidRPr="008B53A9">
        <w:t>.</w:t>
      </w:r>
      <w:r w:rsidR="00B5378D" w:rsidRPr="008B53A9">
        <w:t xml:space="preserve"> Digitální Česko 2 považuje za vhodnou a dlouhodobě perspektivní infrastrukturu, která umožňuje plnohodnotné vysokorychlostní připojení k internetu, kabelovou technologii s optickými vlákny (při současném respektování principu technologické neutrality). Technologie založené na optickém připojení jsou zároveň </w:t>
      </w:r>
      <w:r w:rsidR="00E77A3C" w:rsidRPr="008B53A9">
        <w:t xml:space="preserve">podle tohoto strategického dokumentu </w:t>
      </w:r>
      <w:r w:rsidR="00B5378D" w:rsidRPr="008B53A9">
        <w:t>ideální například pro cloudové služby, což vytváří vhodné předpoklady pro implementaci aktivit druhého specifického cíle prioritní osy 4 Operačního programu.</w:t>
      </w:r>
    </w:p>
    <w:p w:rsidR="00994365" w:rsidRPr="008B53A9" w:rsidRDefault="008C56B4" w:rsidP="008C56B4">
      <w:pPr>
        <w:pStyle w:val="Modrnadpis"/>
        <w:ind w:left="0" w:hanging="11"/>
      </w:pPr>
      <w:bookmarkStart w:id="4" w:name="_Ref358382440"/>
      <w:bookmarkStart w:id="5" w:name="_Ref358382570"/>
      <w:bookmarkStart w:id="6" w:name="_Ref358382587"/>
      <w:bookmarkStart w:id="7" w:name="_Ref358382598"/>
      <w:bookmarkStart w:id="8" w:name="_Ref358382614"/>
      <w:bookmarkStart w:id="9" w:name="_Ref358382646"/>
      <w:bookmarkStart w:id="10" w:name="_Ref358382664"/>
      <w:bookmarkStart w:id="11" w:name="_Ref358382678"/>
      <w:bookmarkStart w:id="12" w:name="_Ref358382685"/>
      <w:bookmarkStart w:id="13" w:name="_Ref358382700"/>
      <w:bookmarkStart w:id="14" w:name="_Ref359399602"/>
      <w:bookmarkStart w:id="15" w:name="_Toc386032019"/>
      <w:r w:rsidRPr="008B53A9">
        <w:t>Analýza potřeb ČR ve vybraných problémových oblastech Dohody o partnerství</w:t>
      </w:r>
      <w:bookmarkEnd w:id="4"/>
      <w:bookmarkEnd w:id="5"/>
      <w:bookmarkEnd w:id="6"/>
      <w:bookmarkEnd w:id="7"/>
      <w:bookmarkEnd w:id="8"/>
      <w:bookmarkEnd w:id="9"/>
      <w:bookmarkEnd w:id="10"/>
      <w:bookmarkEnd w:id="11"/>
      <w:bookmarkEnd w:id="12"/>
      <w:bookmarkEnd w:id="13"/>
      <w:bookmarkEnd w:id="14"/>
      <w:bookmarkEnd w:id="15"/>
    </w:p>
    <w:p w:rsidR="008C56B4" w:rsidRPr="008B53A9" w:rsidRDefault="008C56B4" w:rsidP="008C56B4">
      <w:pPr>
        <w:pStyle w:val="Standardntext"/>
      </w:pPr>
      <w:r w:rsidRPr="008B53A9">
        <w:t>Tato část si klade za cíl shrnout problémy ČR v oblasti podpory VaV a inovací, včetně spolupráce mezi podnikatelským a veřejným sektorem, v oblasti podnikání a konkurenceschopnosti, energetiky a ICT. Uvedené oddíly jsou v souladu s problémovými oblastmi Dohody o partnerství „Konkurenceschopnost ekonomiky“, „Infrastruktura“ a „Životní prostředí“, jak je uvedeno výše.</w:t>
      </w:r>
    </w:p>
    <w:p w:rsidR="008C56B4" w:rsidRPr="008B53A9" w:rsidRDefault="0073092F" w:rsidP="005F73F8">
      <w:pPr>
        <w:pStyle w:val="Standardntext"/>
      </w:pPr>
      <w:r w:rsidRPr="008B53A9">
        <w:t>A</w:t>
      </w:r>
      <w:r w:rsidR="00D3716C" w:rsidRPr="008B53A9">
        <w:t xml:space="preserve">nalýza potřeb </w:t>
      </w:r>
      <w:r w:rsidRPr="008B53A9">
        <w:t xml:space="preserve">České republiky relevantní pro oblasti řešené v OP PIK je </w:t>
      </w:r>
      <w:r w:rsidR="00D3716C" w:rsidRPr="008B53A9">
        <w:t xml:space="preserve">obsažena v Nepovinné příloze č. </w:t>
      </w:r>
      <w:r w:rsidR="00F734D1" w:rsidRPr="008B53A9">
        <w:t>2</w:t>
      </w:r>
      <w:r w:rsidR="00D3716C" w:rsidRPr="008B53A9">
        <w:t>.</w:t>
      </w:r>
    </w:p>
    <w:p w:rsidR="007A451D" w:rsidRPr="008B53A9" w:rsidRDefault="007A451D" w:rsidP="00F2715A">
      <w:pPr>
        <w:overflowPunct/>
        <w:autoSpaceDE/>
        <w:autoSpaceDN/>
        <w:adjustRightInd/>
        <w:jc w:val="both"/>
        <w:textAlignment w:val="auto"/>
        <w:rPr>
          <w:rFonts w:ascii="Calibri" w:hAnsi="Calibri" w:cs="Calibri"/>
          <w:sz w:val="24"/>
          <w:szCs w:val="24"/>
        </w:rPr>
      </w:pPr>
    </w:p>
    <w:p w:rsidR="00E963F0" w:rsidRPr="008B53A9" w:rsidRDefault="00E963F0" w:rsidP="00E963F0">
      <w:pPr>
        <w:overflowPunct/>
        <w:jc w:val="both"/>
        <w:textAlignment w:val="auto"/>
        <w:rPr>
          <w:rFonts w:ascii="Calibri" w:hAnsi="Calibri" w:cs="Calibri"/>
          <w:b/>
          <w:bCs/>
          <w:sz w:val="24"/>
          <w:szCs w:val="24"/>
        </w:rPr>
        <w:sectPr w:rsidR="00E963F0" w:rsidRPr="008B53A9" w:rsidSect="00CF7B55">
          <w:headerReference w:type="default" r:id="rId13"/>
          <w:footerReference w:type="default" r:id="rId14"/>
          <w:pgSz w:w="11906" w:h="16838"/>
          <w:pgMar w:top="1418" w:right="1276" w:bottom="1276" w:left="1418" w:header="709" w:footer="709" w:gutter="0"/>
          <w:cols w:space="708"/>
          <w:docGrid w:linePitch="272"/>
        </w:sectPr>
      </w:pPr>
    </w:p>
    <w:p w:rsidR="00606523" w:rsidRPr="008B53A9" w:rsidRDefault="00606523" w:rsidP="00606523">
      <w:pPr>
        <w:pStyle w:val="Nadpis3"/>
        <w:rPr>
          <w:rFonts w:cs="Calibri"/>
        </w:rPr>
      </w:pPr>
      <w:bookmarkStart w:id="16" w:name="_Toc391539596"/>
      <w:r w:rsidRPr="008B53A9">
        <w:rPr>
          <w:rFonts w:cs="Calibri"/>
        </w:rPr>
        <w:lastRenderedPageBreak/>
        <w:t>Odůvodnění výběru tematických cílů a odpovídajících investičních priorit s ohledem na dohodu o partnerství na základě určení regionálních a případně vnitrostátních potřeb, včetně potřeby řešit výzvy vymezené v příslušných doporučeních pro jednotlivé země, které byly přijaty v souladu s čl. 121 odst. 2 SFEU a příslušnými doporučeními Rady přijatými v souladu s čl. 148 odst. 4 SFEU, s přihlédnutím k hodnocení ex ante.</w:t>
      </w:r>
      <w:bookmarkEnd w:id="16"/>
    </w:p>
    <w:p w:rsidR="00297A5A" w:rsidRPr="008B53A9" w:rsidRDefault="00297A5A" w:rsidP="00F843E4">
      <w:pPr>
        <w:pStyle w:val="Titulek"/>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1</w:t>
      </w:r>
      <w:r w:rsidR="00C3289B" w:rsidRPr="008B53A9">
        <w:rPr>
          <w:noProof/>
        </w:rPr>
        <w:fldChar w:fldCharType="end"/>
      </w:r>
      <w:r w:rsidRPr="008B53A9">
        <w:t xml:space="preserve">: </w:t>
      </w:r>
      <w:r w:rsidR="006271CC" w:rsidRPr="008B53A9">
        <w:t>O</w:t>
      </w:r>
      <w:r w:rsidR="00F843E4" w:rsidRPr="008B53A9">
        <w:t>důvodnění výběru tematických cílů a investičních priorit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617"/>
        <w:gridCol w:w="4109"/>
        <w:gridCol w:w="8532"/>
      </w:tblGrid>
      <w:tr w:rsidR="009072F3" w:rsidRPr="008B53A9">
        <w:trPr>
          <w:jc w:val="center"/>
        </w:trPr>
        <w:tc>
          <w:tcPr>
            <w:tcW w:w="567" w:type="pct"/>
            <w:shd w:val="clear" w:color="auto" w:fill="95B3D7"/>
          </w:tcPr>
          <w:p w:rsidR="009072F3" w:rsidRPr="008B53A9" w:rsidRDefault="001E2583" w:rsidP="0022028B">
            <w:pPr>
              <w:pStyle w:val="Tabulka"/>
              <w:rPr>
                <w:rFonts w:cs="Calibri"/>
                <w:b/>
                <w:vertAlign w:val="superscript"/>
                <w:lang w:val="cs-CZ" w:eastAsia="cs-CZ"/>
              </w:rPr>
            </w:pPr>
            <w:r w:rsidRPr="008B53A9">
              <w:rPr>
                <w:rFonts w:cs="Calibri"/>
                <w:b/>
                <w:lang w:val="cs-CZ" w:eastAsia="cs-CZ"/>
              </w:rPr>
              <w:t>Vybraný t</w:t>
            </w:r>
            <w:r w:rsidR="00A01ABB" w:rsidRPr="008B53A9">
              <w:rPr>
                <w:rFonts w:cs="Calibri"/>
                <w:b/>
                <w:lang w:val="cs-CZ" w:eastAsia="cs-CZ"/>
              </w:rPr>
              <w:t>ematický cíl</w:t>
            </w:r>
          </w:p>
        </w:tc>
        <w:tc>
          <w:tcPr>
            <w:tcW w:w="1441" w:type="pct"/>
            <w:shd w:val="clear" w:color="auto" w:fill="95B3D7"/>
          </w:tcPr>
          <w:p w:rsidR="009072F3" w:rsidRPr="008B53A9" w:rsidRDefault="001E2583" w:rsidP="0022028B">
            <w:pPr>
              <w:pStyle w:val="Tabulka"/>
              <w:rPr>
                <w:rFonts w:cs="Calibri"/>
                <w:b/>
                <w:vertAlign w:val="superscript"/>
                <w:lang w:val="cs-CZ" w:eastAsia="cs-CZ"/>
              </w:rPr>
            </w:pPr>
            <w:r w:rsidRPr="008B53A9">
              <w:rPr>
                <w:rFonts w:cs="Calibri"/>
                <w:b/>
                <w:lang w:val="cs-CZ" w:eastAsia="cs-CZ"/>
              </w:rPr>
              <w:t>Vybraná i</w:t>
            </w:r>
            <w:r w:rsidR="00A01ABB" w:rsidRPr="008B53A9">
              <w:rPr>
                <w:rFonts w:cs="Calibri"/>
                <w:b/>
                <w:lang w:val="cs-CZ" w:eastAsia="cs-CZ"/>
              </w:rPr>
              <w:t>nvestiční priorita</w:t>
            </w:r>
          </w:p>
        </w:tc>
        <w:tc>
          <w:tcPr>
            <w:tcW w:w="2992" w:type="pct"/>
            <w:shd w:val="clear" w:color="auto" w:fill="95B3D7"/>
          </w:tcPr>
          <w:p w:rsidR="009072F3" w:rsidRPr="008B53A9" w:rsidRDefault="006271CC" w:rsidP="0022028B">
            <w:pPr>
              <w:pStyle w:val="Tabulka"/>
              <w:rPr>
                <w:rFonts w:cs="Calibri"/>
                <w:b/>
                <w:lang w:val="cs-CZ" w:eastAsia="cs-CZ"/>
              </w:rPr>
            </w:pPr>
            <w:r w:rsidRPr="008B53A9">
              <w:rPr>
                <w:rFonts w:cs="Calibri"/>
                <w:b/>
                <w:lang w:val="cs-CZ" w:eastAsia="cs-CZ"/>
              </w:rPr>
              <w:t>O</w:t>
            </w:r>
            <w:r w:rsidR="00A01ABB" w:rsidRPr="008B53A9">
              <w:rPr>
                <w:rFonts w:cs="Calibri"/>
                <w:b/>
                <w:lang w:val="cs-CZ" w:eastAsia="cs-CZ"/>
              </w:rPr>
              <w:t>důvodnění výběru</w:t>
            </w:r>
          </w:p>
        </w:tc>
      </w:tr>
      <w:tr w:rsidR="003252E1" w:rsidRPr="008B53A9">
        <w:trPr>
          <w:jc w:val="center"/>
        </w:trPr>
        <w:tc>
          <w:tcPr>
            <w:tcW w:w="567" w:type="pct"/>
            <w:shd w:val="clear" w:color="auto" w:fill="B8CCE4"/>
            <w:vAlign w:val="center"/>
          </w:tcPr>
          <w:p w:rsidR="003252E1" w:rsidRPr="008B53A9" w:rsidRDefault="009D7E8A" w:rsidP="0022028B">
            <w:pPr>
              <w:pStyle w:val="Tabulka"/>
              <w:jc w:val="left"/>
              <w:rPr>
                <w:rFonts w:cs="Calibri"/>
                <w:lang w:val="cs-CZ" w:eastAsia="cs-CZ"/>
              </w:rPr>
            </w:pPr>
            <w:r w:rsidRPr="008B53A9">
              <w:rPr>
                <w:rFonts w:cs="Calibri"/>
                <w:lang w:val="cs-CZ" w:eastAsia="cs-CZ"/>
              </w:rPr>
              <w:t>1</w:t>
            </w:r>
            <w:r w:rsidR="00CC5E04" w:rsidRPr="008B53A9">
              <w:rPr>
                <w:rFonts w:cs="Calibri"/>
                <w:lang w:val="cs-CZ" w:eastAsia="cs-CZ"/>
              </w:rPr>
              <w:t>)</w:t>
            </w:r>
            <w:r w:rsidR="003252E1" w:rsidRPr="008B53A9">
              <w:rPr>
                <w:rFonts w:cs="Calibri"/>
                <w:lang w:val="cs-CZ" w:eastAsia="cs-CZ"/>
              </w:rPr>
              <w:t xml:space="preserve"> Posílení výzkumu, technologického rozvoje a inovací</w:t>
            </w:r>
          </w:p>
          <w:p w:rsidR="003252E1" w:rsidRPr="008B53A9" w:rsidRDefault="003252E1" w:rsidP="0022028B">
            <w:pPr>
              <w:pStyle w:val="Tabulka"/>
              <w:jc w:val="left"/>
              <w:rPr>
                <w:rFonts w:cs="Calibri"/>
                <w:lang w:val="cs-CZ" w:eastAsia="cs-CZ"/>
              </w:rPr>
            </w:pPr>
          </w:p>
        </w:tc>
        <w:tc>
          <w:tcPr>
            <w:tcW w:w="1441" w:type="pct"/>
            <w:shd w:val="clear" w:color="auto" w:fill="DBE5F1"/>
            <w:vAlign w:val="center"/>
          </w:tcPr>
          <w:p w:rsidR="003252E1" w:rsidRPr="008B53A9" w:rsidRDefault="00B54D2B" w:rsidP="0022028B">
            <w:pPr>
              <w:pStyle w:val="Tabulka"/>
              <w:jc w:val="left"/>
              <w:rPr>
                <w:rFonts w:cs="Calibri"/>
                <w:lang w:val="cs-CZ" w:eastAsia="cs-CZ"/>
              </w:rPr>
            </w:pPr>
            <w:r w:rsidRPr="008B53A9">
              <w:rPr>
                <w:rFonts w:cs="Calibri"/>
                <w:lang w:val="cs-CZ" w:eastAsia="cs-CZ"/>
              </w:rPr>
              <w:t xml:space="preserve">1 b) </w:t>
            </w:r>
            <w:r w:rsidR="002641C7" w:rsidRPr="008B53A9">
              <w:rPr>
                <w:rFonts w:cs="Calibri"/>
                <w:lang w:val="cs-CZ" w:eastAsia="cs-CZ"/>
              </w:rPr>
              <w:t>Podpora podnikových investic do výzkumu a inovací a vytváření</w:t>
            </w:r>
            <w:r w:rsidR="000534DA" w:rsidRPr="008B53A9">
              <w:rPr>
                <w:rFonts w:cs="Calibri"/>
                <w:lang w:val="cs-CZ" w:eastAsia="cs-CZ"/>
              </w:rPr>
              <w:t xml:space="preserve">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oblasti klíčových technologií a šíření technologií pro všeobecné použití</w:t>
            </w:r>
          </w:p>
        </w:tc>
        <w:tc>
          <w:tcPr>
            <w:tcW w:w="2992" w:type="pct"/>
            <w:shd w:val="clear" w:color="auto" w:fill="auto"/>
          </w:tcPr>
          <w:p w:rsidR="003252E1" w:rsidRPr="008B53A9" w:rsidRDefault="003252E1" w:rsidP="0022028B">
            <w:pPr>
              <w:pStyle w:val="Tabulka"/>
              <w:jc w:val="left"/>
              <w:rPr>
                <w:rFonts w:cs="Calibri"/>
                <w:bCs/>
                <w:lang w:val="cs-CZ" w:eastAsia="cs-CZ"/>
              </w:rPr>
            </w:pPr>
            <w:r w:rsidRPr="008B53A9">
              <w:rPr>
                <w:rFonts w:cs="Calibri"/>
                <w:bCs/>
                <w:u w:val="single"/>
                <w:lang w:val="cs-CZ" w:eastAsia="cs-CZ"/>
              </w:rPr>
              <w:t>E</w:t>
            </w:r>
            <w:r w:rsidR="00A82B68" w:rsidRPr="008B53A9">
              <w:rPr>
                <w:rFonts w:cs="Calibri"/>
                <w:bCs/>
                <w:u w:val="single"/>
                <w:lang w:val="cs-CZ" w:eastAsia="cs-CZ"/>
              </w:rPr>
              <w:t>U</w:t>
            </w:r>
            <w:r w:rsidRPr="008B53A9">
              <w:rPr>
                <w:rFonts w:cs="Calibri"/>
                <w:bCs/>
                <w:u w:val="single"/>
                <w:lang w:val="cs-CZ" w:eastAsia="cs-CZ"/>
              </w:rPr>
              <w:t xml:space="preserve"> 2020</w:t>
            </w:r>
            <w:r w:rsidR="002135F1" w:rsidRPr="008B53A9">
              <w:rPr>
                <w:rFonts w:cs="Calibri"/>
                <w:bCs/>
                <w:lang w:val="cs-CZ" w:eastAsia="cs-CZ"/>
              </w:rPr>
              <w:t xml:space="preserve">: </w:t>
            </w:r>
            <w:r w:rsidR="006B691E" w:rsidRPr="008B53A9">
              <w:rPr>
                <w:rFonts w:cs="Calibri"/>
                <w:lang w:val="cs-CZ" w:eastAsia="cs-CZ"/>
              </w:rPr>
              <w:t>N</w:t>
            </w:r>
            <w:r w:rsidR="00D25653" w:rsidRPr="008B53A9">
              <w:rPr>
                <w:rFonts w:cs="Calibri"/>
                <w:bCs/>
                <w:lang w:val="cs-CZ" w:eastAsia="cs-CZ"/>
              </w:rPr>
              <w:t xml:space="preserve">avýšení investic do </w:t>
            </w:r>
            <w:r w:rsidRPr="008B53A9">
              <w:rPr>
                <w:rFonts w:cs="Calibri"/>
                <w:bCs/>
                <w:lang w:val="cs-CZ" w:eastAsia="cs-CZ"/>
              </w:rPr>
              <w:t xml:space="preserve">výzkumu a vývoje </w:t>
            </w:r>
            <w:r w:rsidR="00D25653" w:rsidRPr="008B53A9">
              <w:rPr>
                <w:rFonts w:cs="Calibri"/>
                <w:bCs/>
                <w:lang w:val="cs-CZ" w:eastAsia="cs-CZ"/>
              </w:rPr>
              <w:t xml:space="preserve">na úroveň </w:t>
            </w:r>
            <w:r w:rsidRPr="008B53A9">
              <w:rPr>
                <w:rFonts w:cs="Calibri"/>
                <w:bCs/>
                <w:lang w:val="cs-CZ" w:eastAsia="cs-CZ"/>
              </w:rPr>
              <w:t>3 % HDP</w:t>
            </w:r>
            <w:r w:rsidR="00CC607A" w:rsidRPr="008B53A9">
              <w:rPr>
                <w:rFonts w:cs="Calibri"/>
                <w:bCs/>
                <w:lang w:val="cs-CZ" w:eastAsia="cs-CZ"/>
              </w:rPr>
              <w:t xml:space="preserve"> E</w:t>
            </w:r>
            <w:r w:rsidR="00F27EC3" w:rsidRPr="008B53A9">
              <w:rPr>
                <w:rFonts w:cs="Calibri"/>
                <w:bCs/>
                <w:lang w:val="cs-CZ" w:eastAsia="cs-CZ"/>
              </w:rPr>
              <w:t>U</w:t>
            </w:r>
            <w:r w:rsidR="0031231B" w:rsidRPr="008B53A9">
              <w:rPr>
                <w:rFonts w:cs="Calibri"/>
                <w:bCs/>
                <w:lang w:val="cs-CZ" w:eastAsia="cs-CZ"/>
              </w:rPr>
              <w:t xml:space="preserve">; stěžejní iniciativa </w:t>
            </w:r>
            <w:r w:rsidR="0031231B" w:rsidRPr="008B53A9">
              <w:rPr>
                <w:rFonts w:cs="Calibri"/>
                <w:bCs/>
                <w:i/>
                <w:lang w:val="cs-CZ" w:eastAsia="cs-CZ"/>
              </w:rPr>
              <w:t>Inovace v Unii</w:t>
            </w:r>
          </w:p>
          <w:p w:rsidR="00A93D30" w:rsidRPr="008B53A9" w:rsidRDefault="002135F1" w:rsidP="0022028B">
            <w:pPr>
              <w:pStyle w:val="Tabulka"/>
              <w:jc w:val="left"/>
              <w:rPr>
                <w:rFonts w:cs="Calibri"/>
                <w:bCs/>
                <w:lang w:val="cs-CZ" w:eastAsia="cs-CZ"/>
              </w:rPr>
            </w:pPr>
            <w:r w:rsidRPr="008B53A9">
              <w:rPr>
                <w:rFonts w:cs="Calibri"/>
                <w:bCs/>
                <w:u w:val="single"/>
                <w:lang w:val="cs-CZ" w:eastAsia="cs-CZ"/>
              </w:rPr>
              <w:t>N</w:t>
            </w:r>
            <w:r w:rsidR="00A82B68" w:rsidRPr="008B53A9">
              <w:rPr>
                <w:rFonts w:cs="Calibri"/>
                <w:bCs/>
                <w:u w:val="single"/>
                <w:lang w:val="cs-CZ" w:eastAsia="cs-CZ"/>
              </w:rPr>
              <w:t>PR</w:t>
            </w:r>
            <w:r w:rsidR="00F20211" w:rsidRPr="008B53A9">
              <w:rPr>
                <w:rFonts w:cs="Calibri"/>
                <w:bCs/>
                <w:u w:val="single"/>
                <w:lang w:val="cs-CZ" w:eastAsia="cs-CZ"/>
              </w:rPr>
              <w:t xml:space="preserve"> </w:t>
            </w:r>
            <w:r w:rsidR="00066396" w:rsidRPr="008B53A9">
              <w:rPr>
                <w:rFonts w:cs="Calibri"/>
                <w:bCs/>
                <w:u w:val="single"/>
                <w:lang w:val="cs-CZ" w:eastAsia="cs-CZ"/>
              </w:rPr>
              <w:t>201</w:t>
            </w:r>
            <w:r w:rsidR="000D30CB" w:rsidRPr="008B53A9">
              <w:rPr>
                <w:rFonts w:cs="Calibri"/>
                <w:bCs/>
                <w:u w:val="single"/>
                <w:lang w:val="cs-CZ" w:eastAsia="cs-CZ"/>
              </w:rPr>
              <w:t>4</w:t>
            </w:r>
            <w:r w:rsidRPr="008B53A9">
              <w:rPr>
                <w:rFonts w:cs="Calibri"/>
                <w:bCs/>
                <w:lang w:val="cs-CZ" w:eastAsia="cs-CZ"/>
              </w:rPr>
              <w:t xml:space="preserve">: </w:t>
            </w:r>
            <w:r w:rsidR="000C080E" w:rsidRPr="008B53A9">
              <w:rPr>
                <w:rFonts w:cs="Calibri"/>
                <w:bCs/>
                <w:lang w:val="cs-CZ" w:eastAsia="cs-CZ"/>
              </w:rPr>
              <w:t>Posilovat význam výzkumných a inovačních aktivit a produkce s vyšší přidanou hodnotou jako klíčových předpokladů pro zvyšování konkurenceschopnosti českých firem</w:t>
            </w:r>
          </w:p>
          <w:p w:rsidR="008E6C8D" w:rsidRPr="008B53A9" w:rsidRDefault="00CE70D6" w:rsidP="0022028B">
            <w:pPr>
              <w:pStyle w:val="Tabulka"/>
              <w:jc w:val="left"/>
              <w:rPr>
                <w:rFonts w:cs="Calibri"/>
                <w:bCs/>
                <w:lang w:val="cs-CZ" w:eastAsia="cs-CZ"/>
              </w:rPr>
            </w:pPr>
            <w:r w:rsidRPr="008B53A9">
              <w:rPr>
                <w:rFonts w:cs="Calibri"/>
                <w:bCs/>
                <w:u w:val="single"/>
                <w:lang w:val="cs-CZ" w:eastAsia="cs-CZ"/>
              </w:rPr>
              <w:t>Poziční dokument</w:t>
            </w:r>
            <w:r w:rsidRPr="008B53A9">
              <w:rPr>
                <w:rFonts w:cs="Calibri"/>
                <w:bCs/>
                <w:lang w:val="cs-CZ" w:eastAsia="cs-CZ"/>
              </w:rPr>
              <w:t xml:space="preserve">: </w:t>
            </w:r>
            <w:r w:rsidR="005522AA" w:rsidRPr="008B53A9">
              <w:rPr>
                <w:rFonts w:cs="Calibri"/>
                <w:bCs/>
                <w:lang w:val="cs-CZ" w:eastAsia="cs-CZ"/>
              </w:rPr>
              <w:t>Podpora podnikových investic do výzkumu a inovací, vývoje produktů a služeb, obchodování s výsledky výzkumu, přenosu technologií, rozvoje</w:t>
            </w:r>
            <w:r w:rsidR="00F41CE5" w:rsidRPr="008B53A9">
              <w:rPr>
                <w:rFonts w:cs="Calibri"/>
                <w:bCs/>
                <w:lang w:val="cs-CZ" w:eastAsia="cs-CZ"/>
              </w:rPr>
              <w:t xml:space="preserve"> klastrů, aplikovaných inovací, p</w:t>
            </w:r>
            <w:r w:rsidR="005522AA" w:rsidRPr="008B53A9">
              <w:rPr>
                <w:rFonts w:cs="Calibri"/>
                <w:bCs/>
                <w:lang w:val="cs-CZ" w:eastAsia="cs-CZ"/>
              </w:rPr>
              <w:t>odpora technolo</w:t>
            </w:r>
            <w:r w:rsidR="00F41CE5" w:rsidRPr="008B53A9">
              <w:rPr>
                <w:rFonts w:cs="Calibri"/>
                <w:bCs/>
                <w:lang w:val="cs-CZ" w:eastAsia="cs-CZ"/>
              </w:rPr>
              <w:t>gického a aplikovaného výzkumu</w:t>
            </w:r>
          </w:p>
          <w:p w:rsidR="004E68E5" w:rsidRPr="008B53A9" w:rsidRDefault="004E68E5" w:rsidP="0022028B">
            <w:pPr>
              <w:pStyle w:val="Tabulka"/>
              <w:jc w:val="left"/>
              <w:rPr>
                <w:rFonts w:cs="Calibri"/>
                <w:bCs/>
                <w:lang w:val="cs-CZ" w:eastAsia="cs-CZ"/>
              </w:rPr>
            </w:pPr>
            <w:r w:rsidRPr="008B53A9">
              <w:rPr>
                <w:rFonts w:cs="Calibri"/>
                <w:bCs/>
                <w:u w:val="single"/>
                <w:lang w:val="cs-CZ" w:eastAsia="cs-CZ"/>
              </w:rPr>
              <w:t>SMK</w:t>
            </w:r>
            <w:r w:rsidRPr="008B53A9">
              <w:rPr>
                <w:rFonts w:cs="Calibri"/>
                <w:bCs/>
                <w:lang w:val="cs-CZ" w:eastAsia="cs-CZ"/>
              </w:rPr>
              <w:t>: zvýšení spolupráce mezi podnikovým a VaV sektorem a spolupráce mezi podniky, rozvoj služeb pro inovační podnikání</w:t>
            </w:r>
          </w:p>
          <w:p w:rsidR="00AD561F" w:rsidRPr="008B53A9" w:rsidRDefault="00AD561F" w:rsidP="00AD561F">
            <w:pPr>
              <w:pStyle w:val="Tabulka"/>
              <w:jc w:val="left"/>
              <w:rPr>
                <w:rFonts w:cs="Calibri"/>
                <w:bCs/>
                <w:lang w:val="cs-CZ" w:eastAsia="cs-CZ"/>
              </w:rPr>
            </w:pPr>
            <w:r w:rsidRPr="008B53A9">
              <w:rPr>
                <w:rFonts w:cs="Calibri"/>
                <w:bCs/>
                <w:u w:val="single"/>
                <w:lang w:val="cs-CZ" w:eastAsia="cs-CZ"/>
              </w:rPr>
              <w:t>Dohoda o partnerství:</w:t>
            </w:r>
          </w:p>
          <w:p w:rsidR="00AD561F" w:rsidRPr="008B53A9" w:rsidRDefault="00AD561F" w:rsidP="00AD561F">
            <w:pPr>
              <w:pStyle w:val="Tabulka"/>
              <w:jc w:val="left"/>
              <w:rPr>
                <w:rFonts w:cs="Calibri"/>
                <w:bCs/>
                <w:lang w:val="cs-CZ" w:eastAsia="cs-CZ"/>
              </w:rPr>
            </w:pPr>
            <w:r w:rsidRPr="008B53A9">
              <w:rPr>
                <w:rFonts w:cs="Calibri"/>
                <w:b/>
                <w:bCs/>
                <w:lang w:val="cs-CZ" w:eastAsia="cs-CZ"/>
              </w:rPr>
              <w:t>Problémová oblast:</w:t>
            </w:r>
            <w:r w:rsidRPr="008B53A9">
              <w:rPr>
                <w:rFonts w:cs="Calibri"/>
                <w:bCs/>
                <w:lang w:val="cs-CZ" w:eastAsia="cs-CZ"/>
              </w:rPr>
              <w:t xml:space="preserve"> Výzkumný a inovační systém; </w:t>
            </w:r>
            <w:bookmarkStart w:id="17" w:name="_Toc374702859"/>
            <w:r w:rsidRPr="008B53A9">
              <w:rPr>
                <w:rFonts w:cs="Calibri"/>
                <w:bCs/>
                <w:lang w:val="cs-CZ" w:eastAsia="cs-CZ"/>
              </w:rPr>
              <w:t>Konkurenceschopné podniky</w:t>
            </w:r>
            <w:bookmarkEnd w:id="17"/>
          </w:p>
          <w:p w:rsidR="00AD561F" w:rsidRPr="008B53A9" w:rsidRDefault="00AD561F" w:rsidP="00AD561F">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Slabá orientace výzkumu na přínosy pro společnost; Slabý endogenní podnikatelský sektor.</w:t>
            </w:r>
          </w:p>
          <w:p w:rsidR="00AD561F" w:rsidRPr="008B53A9" w:rsidRDefault="00AD561F" w:rsidP="00AD561F">
            <w:pPr>
              <w:pStyle w:val="Tabulka"/>
              <w:jc w:val="left"/>
              <w:rPr>
                <w:rFonts w:cs="Calibri"/>
                <w:bCs/>
                <w:lang w:val="cs-CZ" w:eastAsia="cs-CZ"/>
              </w:rPr>
            </w:pPr>
            <w:r w:rsidRPr="008B53A9">
              <w:rPr>
                <w:rFonts w:cs="Calibri"/>
                <w:b/>
                <w:bCs/>
                <w:lang w:val="cs-CZ" w:eastAsia="cs-CZ"/>
              </w:rPr>
              <w:t xml:space="preserve">Priorita financování: </w:t>
            </w:r>
            <w:r w:rsidRPr="008B53A9">
              <w:rPr>
                <w:rFonts w:cs="Calibri"/>
                <w:bCs/>
                <w:lang w:val="cs-CZ" w:eastAsia="cs-CZ"/>
              </w:rPr>
              <w:t>Výzkumný a inovační systém propojený s aplikační sférou a směřující ke komerčně využitelným výsledkům</w:t>
            </w:r>
          </w:p>
        </w:tc>
      </w:tr>
      <w:tr w:rsidR="00066396" w:rsidRPr="008B53A9">
        <w:trPr>
          <w:jc w:val="center"/>
        </w:trPr>
        <w:tc>
          <w:tcPr>
            <w:tcW w:w="567" w:type="pct"/>
            <w:vMerge w:val="restart"/>
            <w:shd w:val="clear" w:color="auto" w:fill="B8CCE4"/>
            <w:vAlign w:val="center"/>
          </w:tcPr>
          <w:p w:rsidR="00066396" w:rsidRPr="008B53A9" w:rsidRDefault="009D7E8A" w:rsidP="0022028B">
            <w:pPr>
              <w:pStyle w:val="Tabulka"/>
              <w:jc w:val="left"/>
              <w:rPr>
                <w:rFonts w:cs="Calibri"/>
                <w:lang w:val="cs-CZ" w:eastAsia="cs-CZ"/>
              </w:rPr>
            </w:pPr>
            <w:r w:rsidRPr="008B53A9">
              <w:rPr>
                <w:rFonts w:cs="Calibri"/>
                <w:lang w:val="cs-CZ" w:eastAsia="cs-CZ"/>
              </w:rPr>
              <w:t>2</w:t>
            </w:r>
            <w:r w:rsidR="00CC5E04" w:rsidRPr="008B53A9">
              <w:rPr>
                <w:rFonts w:cs="Calibri"/>
                <w:lang w:val="cs-CZ" w:eastAsia="cs-CZ"/>
              </w:rPr>
              <w:t>)</w:t>
            </w:r>
            <w:r w:rsidR="00066396" w:rsidRPr="008B53A9">
              <w:rPr>
                <w:rFonts w:cs="Calibri"/>
                <w:lang w:val="cs-CZ" w:eastAsia="cs-CZ"/>
              </w:rPr>
              <w:t xml:space="preserve"> </w:t>
            </w:r>
            <w:r w:rsidR="001B1FD9" w:rsidRPr="008B53A9">
              <w:rPr>
                <w:rFonts w:cs="Calibri"/>
                <w:lang w:val="cs-CZ" w:eastAsia="cs-CZ"/>
              </w:rPr>
              <w:t xml:space="preserve">Zlepšení přístupu, využití a kvality </w:t>
            </w:r>
            <w:r w:rsidR="001B1FD9" w:rsidRPr="008B53A9">
              <w:rPr>
                <w:rFonts w:cs="Calibri"/>
                <w:lang w:val="cs-CZ" w:eastAsia="cs-CZ"/>
              </w:rPr>
              <w:lastRenderedPageBreak/>
              <w:t>informačních a komunikačních technologií</w:t>
            </w:r>
          </w:p>
          <w:p w:rsidR="00066396" w:rsidRPr="008B53A9" w:rsidRDefault="00066396" w:rsidP="0022028B">
            <w:pPr>
              <w:pStyle w:val="Tabulka"/>
              <w:jc w:val="left"/>
              <w:rPr>
                <w:rFonts w:cs="Calibri"/>
                <w:lang w:val="cs-CZ" w:eastAsia="cs-CZ"/>
              </w:rPr>
            </w:pPr>
          </w:p>
        </w:tc>
        <w:tc>
          <w:tcPr>
            <w:tcW w:w="1441" w:type="pct"/>
            <w:shd w:val="clear" w:color="auto" w:fill="DBE5F1"/>
            <w:vAlign w:val="center"/>
          </w:tcPr>
          <w:p w:rsidR="00066396" w:rsidRPr="008B53A9" w:rsidRDefault="00B54D2B" w:rsidP="0022028B">
            <w:pPr>
              <w:pStyle w:val="Tabulka"/>
              <w:jc w:val="left"/>
              <w:rPr>
                <w:rFonts w:cs="Calibri"/>
                <w:lang w:val="cs-CZ" w:eastAsia="cs-CZ"/>
              </w:rPr>
            </w:pPr>
            <w:r w:rsidRPr="008B53A9">
              <w:rPr>
                <w:rFonts w:cs="Calibri"/>
                <w:lang w:val="cs-CZ" w:eastAsia="cs-CZ"/>
              </w:rPr>
              <w:lastRenderedPageBreak/>
              <w:t xml:space="preserve">2 a) </w:t>
            </w:r>
            <w:r w:rsidR="00066396" w:rsidRPr="008B53A9">
              <w:rPr>
                <w:rFonts w:cs="Calibri"/>
                <w:lang w:val="cs-CZ" w:eastAsia="cs-CZ"/>
              </w:rPr>
              <w:t xml:space="preserve">Rozšiřování širokopásmového připojení a zavádění vysokorychlostních sítí a podpora zavádění vznikajících technologií a sítí pro </w:t>
            </w:r>
            <w:r w:rsidR="00066396" w:rsidRPr="008B53A9">
              <w:rPr>
                <w:rFonts w:cs="Calibri"/>
                <w:lang w:val="cs-CZ" w:eastAsia="cs-CZ"/>
              </w:rPr>
              <w:lastRenderedPageBreak/>
              <w:t>digitální hospodářství</w:t>
            </w:r>
          </w:p>
        </w:tc>
        <w:tc>
          <w:tcPr>
            <w:tcW w:w="2992" w:type="pct"/>
            <w:shd w:val="clear" w:color="auto" w:fill="auto"/>
          </w:tcPr>
          <w:p w:rsidR="0031231B" w:rsidRPr="008B53A9" w:rsidRDefault="0031231B" w:rsidP="001B092B">
            <w:pPr>
              <w:pStyle w:val="Tabulka"/>
              <w:jc w:val="left"/>
              <w:rPr>
                <w:rFonts w:cs="Calibri"/>
                <w:bCs/>
                <w:u w:val="single"/>
                <w:lang w:val="cs-CZ" w:eastAsia="cs-CZ"/>
              </w:rPr>
            </w:pPr>
            <w:r w:rsidRPr="008B53A9">
              <w:rPr>
                <w:rFonts w:cs="Calibri"/>
                <w:bCs/>
                <w:u w:val="single"/>
                <w:lang w:val="cs-CZ" w:eastAsia="cs-CZ"/>
              </w:rPr>
              <w:lastRenderedPageBreak/>
              <w:t>EU 2020</w:t>
            </w:r>
            <w:r w:rsidRPr="008B53A9">
              <w:rPr>
                <w:rFonts w:cs="Calibri"/>
                <w:bCs/>
                <w:lang w:val="cs-CZ" w:eastAsia="cs-CZ"/>
              </w:rPr>
              <w:t xml:space="preserve">: Stěžejní </w:t>
            </w:r>
            <w:r w:rsidRPr="008B53A9">
              <w:rPr>
                <w:rFonts w:cs="Calibri"/>
                <w:lang w:val="cs-CZ" w:eastAsia="cs-CZ"/>
              </w:rPr>
              <w:t xml:space="preserve">iniciativa </w:t>
            </w:r>
            <w:r w:rsidRPr="008B53A9">
              <w:rPr>
                <w:rFonts w:cs="Calibri"/>
                <w:i/>
                <w:lang w:val="cs-CZ" w:eastAsia="cs-CZ"/>
              </w:rPr>
              <w:t>Digitální agenda pro Evropu</w:t>
            </w:r>
          </w:p>
          <w:p w:rsidR="001B092B" w:rsidRPr="008B53A9" w:rsidRDefault="001B092B" w:rsidP="001B092B">
            <w:pPr>
              <w:pStyle w:val="Tabulka"/>
              <w:jc w:val="left"/>
              <w:rPr>
                <w:rFonts w:cs="Calibri"/>
                <w:bCs/>
                <w:lang w:val="cs-CZ" w:eastAsia="cs-CZ"/>
              </w:rPr>
            </w:pPr>
            <w:r w:rsidRPr="008B53A9">
              <w:rPr>
                <w:rFonts w:cs="Calibri"/>
                <w:bCs/>
                <w:u w:val="single"/>
                <w:lang w:val="cs-CZ" w:eastAsia="cs-CZ"/>
              </w:rPr>
              <w:t>NPR 201</w:t>
            </w:r>
            <w:r w:rsidR="000C080E" w:rsidRPr="008B53A9">
              <w:rPr>
                <w:rFonts w:cs="Calibri"/>
                <w:bCs/>
                <w:u w:val="single"/>
                <w:lang w:val="cs-CZ" w:eastAsia="cs-CZ"/>
              </w:rPr>
              <w:t>4</w:t>
            </w:r>
            <w:r w:rsidRPr="008B53A9">
              <w:rPr>
                <w:rFonts w:cs="Calibri"/>
                <w:bCs/>
                <w:lang w:val="cs-CZ" w:eastAsia="cs-CZ"/>
              </w:rPr>
              <w:t xml:space="preserve">: </w:t>
            </w:r>
            <w:r w:rsidR="000C080E" w:rsidRPr="008B53A9">
              <w:rPr>
                <w:rFonts w:cs="Calibri"/>
                <w:bCs/>
                <w:lang w:val="cs-CZ" w:eastAsia="cs-CZ"/>
              </w:rPr>
              <w:t>Podpora výstavby vysokorychlostních sítí elektronických komunikací</w:t>
            </w:r>
          </w:p>
          <w:p w:rsidR="001B092B" w:rsidRPr="008B53A9" w:rsidRDefault="001B092B" w:rsidP="001B092B">
            <w:pPr>
              <w:pStyle w:val="Tabulka"/>
              <w:jc w:val="left"/>
              <w:rPr>
                <w:rFonts w:cs="Calibri"/>
                <w:bCs/>
                <w:lang w:val="cs-CZ" w:eastAsia="cs-CZ"/>
              </w:rPr>
            </w:pPr>
            <w:r w:rsidRPr="008B53A9">
              <w:rPr>
                <w:rFonts w:cs="Calibri"/>
                <w:bCs/>
                <w:u w:val="single"/>
                <w:lang w:val="cs-CZ" w:eastAsia="cs-CZ"/>
              </w:rPr>
              <w:t>SMK</w:t>
            </w:r>
            <w:r w:rsidRPr="008B53A9">
              <w:rPr>
                <w:rFonts w:cs="Calibri"/>
                <w:bCs/>
                <w:lang w:val="cs-CZ" w:eastAsia="cs-CZ"/>
              </w:rPr>
              <w:t xml:space="preserve">: Rozšíření přístupu k vysokorychlostnímu internetu, a to jak ve všech obydlených, tak v </w:t>
            </w:r>
            <w:r w:rsidRPr="008B53A9">
              <w:rPr>
                <w:rFonts w:cs="Calibri"/>
                <w:bCs/>
                <w:lang w:val="cs-CZ" w:eastAsia="cs-CZ"/>
              </w:rPr>
              <w:lastRenderedPageBreak/>
              <w:t>méně dostupných lokalitách, aby byla zvýšena možnost podnikání s využitím internetu</w:t>
            </w:r>
          </w:p>
          <w:p w:rsidR="00066396" w:rsidRPr="008B53A9" w:rsidRDefault="001B092B" w:rsidP="001B092B">
            <w:pPr>
              <w:pStyle w:val="Tabulka"/>
              <w:jc w:val="left"/>
              <w:rPr>
                <w:rFonts w:cs="Calibri"/>
                <w:bCs/>
                <w:lang w:val="cs-CZ" w:eastAsia="cs-CZ"/>
              </w:rPr>
            </w:pPr>
            <w:r w:rsidRPr="008B53A9">
              <w:rPr>
                <w:rFonts w:cs="Calibri"/>
                <w:bCs/>
                <w:u w:val="single"/>
                <w:lang w:val="cs-CZ" w:eastAsia="cs-CZ"/>
              </w:rPr>
              <w:t>Digitální Česko 2</w:t>
            </w:r>
            <w:r w:rsidRPr="008B53A9">
              <w:rPr>
                <w:rFonts w:cs="Calibri"/>
                <w:bCs/>
                <w:lang w:val="cs-CZ" w:eastAsia="cs-CZ"/>
              </w:rPr>
              <w:t>: Rozvíjet vysokorychlostní přístupové sítě k internetu umožňující přenosové rychlosti 30 Mbit/s do roku 2020 pro všechny obyvatele a 100 Mbit/s minimálně pro polovinu domácností</w:t>
            </w:r>
          </w:p>
          <w:p w:rsidR="00AD561F" w:rsidRPr="008B53A9" w:rsidRDefault="00AD561F" w:rsidP="00AD561F">
            <w:pPr>
              <w:pStyle w:val="Tabulka"/>
              <w:jc w:val="left"/>
              <w:rPr>
                <w:rFonts w:cs="Calibri"/>
                <w:bCs/>
                <w:u w:val="single"/>
                <w:lang w:val="cs-CZ" w:eastAsia="cs-CZ"/>
              </w:rPr>
            </w:pPr>
            <w:r w:rsidRPr="008B53A9">
              <w:rPr>
                <w:rFonts w:cs="Calibri"/>
                <w:bCs/>
                <w:u w:val="single"/>
                <w:lang w:val="cs-CZ" w:eastAsia="cs-CZ"/>
              </w:rPr>
              <w:t>Dohoda o partnerství:</w:t>
            </w:r>
          </w:p>
          <w:p w:rsidR="00AD561F" w:rsidRPr="008B53A9" w:rsidRDefault="00AD561F" w:rsidP="00AD561F">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ICT infrastruktura</w:t>
            </w:r>
          </w:p>
          <w:p w:rsidR="00AD561F" w:rsidRPr="008B53A9" w:rsidRDefault="00AD561F" w:rsidP="00AD561F">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Nedostatečné pokrytí vysokorychlostním internetem především venkovského území</w:t>
            </w:r>
          </w:p>
          <w:p w:rsidR="00AD561F" w:rsidRPr="008B53A9" w:rsidRDefault="00AD561F" w:rsidP="00AD561F">
            <w:pPr>
              <w:pStyle w:val="Tabulka"/>
              <w:jc w:val="left"/>
              <w:rPr>
                <w:rFonts w:cs="Calibri"/>
                <w:bCs/>
                <w:u w:val="single"/>
                <w:lang w:val="cs-CZ" w:eastAsia="cs-CZ"/>
              </w:rPr>
            </w:pPr>
            <w:r w:rsidRPr="008B53A9">
              <w:rPr>
                <w:rFonts w:cs="Calibri"/>
                <w:b/>
                <w:bCs/>
                <w:lang w:val="cs-CZ" w:eastAsia="cs-CZ"/>
              </w:rPr>
              <w:t>Priorita financování:</w:t>
            </w:r>
            <w:r w:rsidRPr="008B53A9">
              <w:rPr>
                <w:b/>
                <w:szCs w:val="24"/>
                <w:lang w:val="cs-CZ" w:eastAsia="cs-CZ"/>
              </w:rPr>
              <w:t xml:space="preserve"> </w:t>
            </w:r>
            <w:r w:rsidRPr="008B53A9">
              <w:rPr>
                <w:szCs w:val="24"/>
                <w:lang w:val="cs-CZ" w:eastAsia="cs-CZ"/>
              </w:rPr>
              <w:t>Udržitelná infrastruktura umožňující konkurenceschopnost ekonomiky a odpovídající obslužnost území</w:t>
            </w:r>
          </w:p>
        </w:tc>
      </w:tr>
      <w:tr w:rsidR="00066396" w:rsidRPr="008B53A9">
        <w:trPr>
          <w:jc w:val="center"/>
        </w:trPr>
        <w:tc>
          <w:tcPr>
            <w:tcW w:w="567" w:type="pct"/>
            <w:vMerge/>
            <w:shd w:val="clear" w:color="auto" w:fill="B8CCE4"/>
            <w:vAlign w:val="center"/>
          </w:tcPr>
          <w:p w:rsidR="00066396" w:rsidRPr="008B53A9" w:rsidRDefault="00066396" w:rsidP="0022028B">
            <w:pPr>
              <w:pStyle w:val="Tabulka"/>
              <w:jc w:val="left"/>
              <w:rPr>
                <w:rFonts w:cs="Calibri"/>
                <w:lang w:val="cs-CZ" w:eastAsia="cs-CZ"/>
              </w:rPr>
            </w:pPr>
          </w:p>
        </w:tc>
        <w:tc>
          <w:tcPr>
            <w:tcW w:w="1441" w:type="pct"/>
            <w:shd w:val="clear" w:color="auto" w:fill="DBE5F1"/>
            <w:vAlign w:val="center"/>
          </w:tcPr>
          <w:p w:rsidR="00066396" w:rsidRPr="008B53A9" w:rsidRDefault="00B54D2B" w:rsidP="0022028B">
            <w:pPr>
              <w:pStyle w:val="Tabulka"/>
              <w:jc w:val="left"/>
              <w:rPr>
                <w:rFonts w:cs="Calibri"/>
                <w:lang w:val="cs-CZ" w:eastAsia="cs-CZ"/>
              </w:rPr>
            </w:pPr>
            <w:r w:rsidRPr="008B53A9">
              <w:rPr>
                <w:rFonts w:cs="Calibri"/>
                <w:lang w:val="cs-CZ" w:eastAsia="cs-CZ"/>
              </w:rPr>
              <w:t xml:space="preserve">2 b) </w:t>
            </w:r>
            <w:r w:rsidR="007A45F6" w:rsidRPr="008B53A9">
              <w:rPr>
                <w:rFonts w:cs="Calibri"/>
                <w:lang w:val="cs-CZ" w:eastAsia="cs-CZ"/>
              </w:rPr>
              <w:t>Vyvíjení produktů a služeb v oblasti IKT, elektronický obchod a zvyšování poptávky po IKT</w:t>
            </w:r>
          </w:p>
          <w:p w:rsidR="00066396" w:rsidRPr="008B53A9" w:rsidRDefault="00066396" w:rsidP="0022028B">
            <w:pPr>
              <w:pStyle w:val="Tabulka"/>
              <w:jc w:val="left"/>
              <w:rPr>
                <w:rFonts w:cs="Calibri"/>
                <w:lang w:val="cs-CZ" w:eastAsia="cs-CZ"/>
              </w:rPr>
            </w:pPr>
          </w:p>
        </w:tc>
        <w:tc>
          <w:tcPr>
            <w:tcW w:w="2992" w:type="pct"/>
            <w:shd w:val="clear" w:color="auto" w:fill="auto"/>
          </w:tcPr>
          <w:p w:rsidR="00A863BB" w:rsidRPr="008B53A9" w:rsidRDefault="00A863BB" w:rsidP="0022028B">
            <w:pPr>
              <w:pStyle w:val="Tabulka"/>
              <w:jc w:val="left"/>
              <w:rPr>
                <w:rFonts w:cs="Calibri"/>
                <w:lang w:val="cs-CZ" w:eastAsia="cs-CZ"/>
              </w:rPr>
            </w:pPr>
            <w:r w:rsidRPr="008B53A9">
              <w:rPr>
                <w:rFonts w:cs="Calibri"/>
                <w:bCs/>
                <w:u w:val="single"/>
                <w:lang w:val="cs-CZ" w:eastAsia="cs-CZ"/>
              </w:rPr>
              <w:t>N</w:t>
            </w:r>
            <w:r w:rsidR="001B092B" w:rsidRPr="008B53A9">
              <w:rPr>
                <w:rFonts w:cs="Calibri"/>
                <w:bCs/>
                <w:u w:val="single"/>
                <w:lang w:val="cs-CZ" w:eastAsia="cs-CZ"/>
              </w:rPr>
              <w:t>PR</w:t>
            </w:r>
            <w:r w:rsidRPr="008B53A9">
              <w:rPr>
                <w:rFonts w:cs="Calibri"/>
                <w:bCs/>
                <w:u w:val="single"/>
                <w:lang w:val="cs-CZ" w:eastAsia="cs-CZ"/>
              </w:rPr>
              <w:t xml:space="preserve"> 201</w:t>
            </w:r>
            <w:r w:rsidR="000C080E" w:rsidRPr="008B53A9">
              <w:rPr>
                <w:rFonts w:cs="Calibri"/>
                <w:bCs/>
                <w:u w:val="single"/>
                <w:lang w:val="cs-CZ" w:eastAsia="cs-CZ"/>
              </w:rPr>
              <w:t>4</w:t>
            </w:r>
            <w:r w:rsidRPr="008B53A9">
              <w:rPr>
                <w:rFonts w:cs="Calibri"/>
                <w:bCs/>
                <w:lang w:val="cs-CZ" w:eastAsia="cs-CZ"/>
              </w:rPr>
              <w:t>:</w:t>
            </w:r>
            <w:r w:rsidRPr="008B53A9">
              <w:rPr>
                <w:rFonts w:cs="Calibri"/>
                <w:lang w:val="cs-CZ" w:eastAsia="cs-CZ"/>
              </w:rPr>
              <w:t xml:space="preserve"> </w:t>
            </w:r>
            <w:r w:rsidR="000C080E" w:rsidRPr="008B53A9">
              <w:rPr>
                <w:rFonts w:cs="Calibri"/>
                <w:bCs/>
                <w:lang w:val="cs-CZ" w:eastAsia="cs-CZ"/>
              </w:rPr>
              <w:t>Podpora zvyšování dostupnosti ICT</w:t>
            </w:r>
          </w:p>
          <w:p w:rsidR="00F41CE5" w:rsidRPr="008B53A9" w:rsidRDefault="00F41CE5" w:rsidP="00F41CE5">
            <w:pPr>
              <w:pStyle w:val="Tabulka"/>
              <w:jc w:val="left"/>
              <w:rPr>
                <w:rFonts w:cs="Calibri"/>
                <w:bCs/>
                <w:lang w:val="cs-CZ" w:eastAsia="cs-CZ"/>
              </w:rPr>
            </w:pPr>
            <w:r w:rsidRPr="008B53A9">
              <w:rPr>
                <w:rFonts w:cs="Calibri"/>
                <w:bCs/>
                <w:u w:val="single"/>
                <w:lang w:val="cs-CZ" w:eastAsia="cs-CZ"/>
              </w:rPr>
              <w:t>Poziční dokument</w:t>
            </w:r>
            <w:r w:rsidRPr="008B53A9">
              <w:rPr>
                <w:rFonts w:cs="Calibri"/>
                <w:bCs/>
                <w:lang w:val="cs-CZ" w:eastAsia="cs-CZ"/>
              </w:rPr>
              <w:t>: Rozvoj digitálních služeb a kompetencí a kvality informačních a komunikačních technologií</w:t>
            </w:r>
            <w:r w:rsidR="001B092B" w:rsidRPr="008B53A9">
              <w:rPr>
                <w:rFonts w:cs="Calibri"/>
                <w:bCs/>
                <w:lang w:val="cs-CZ" w:eastAsia="cs-CZ"/>
              </w:rPr>
              <w:t xml:space="preserve"> a lepší přístup ke školení, poradenství a službám v rámci ICT pro malé a střední podniky</w:t>
            </w:r>
          </w:p>
          <w:p w:rsidR="00066396" w:rsidRPr="008B53A9" w:rsidRDefault="00066396" w:rsidP="001B092B">
            <w:pPr>
              <w:pStyle w:val="Tabulka"/>
              <w:jc w:val="left"/>
              <w:rPr>
                <w:rFonts w:cs="Calibri"/>
                <w:bCs/>
                <w:lang w:val="cs-CZ" w:eastAsia="cs-CZ"/>
              </w:rPr>
            </w:pPr>
            <w:r w:rsidRPr="008B53A9">
              <w:rPr>
                <w:rFonts w:cs="Calibri"/>
                <w:bCs/>
                <w:u w:val="single"/>
                <w:lang w:val="cs-CZ" w:eastAsia="cs-CZ"/>
              </w:rPr>
              <w:t xml:space="preserve">Koncepce podpory </w:t>
            </w:r>
            <w:r w:rsidR="001B092B" w:rsidRPr="008B53A9">
              <w:rPr>
                <w:rFonts w:cs="Calibri"/>
                <w:bCs/>
                <w:u w:val="single"/>
                <w:lang w:val="cs-CZ" w:eastAsia="cs-CZ"/>
              </w:rPr>
              <w:t>MSP</w:t>
            </w:r>
            <w:r w:rsidRPr="008B53A9">
              <w:rPr>
                <w:rFonts w:cs="Calibri"/>
                <w:bCs/>
                <w:lang w:val="cs-CZ" w:eastAsia="cs-CZ"/>
              </w:rPr>
              <w:t xml:space="preserve">: </w:t>
            </w:r>
            <w:r w:rsidR="001B092B" w:rsidRPr="008B53A9">
              <w:rPr>
                <w:rFonts w:cs="Calibri"/>
                <w:bCs/>
                <w:lang w:val="cs-CZ" w:eastAsia="cs-CZ"/>
              </w:rPr>
              <w:t xml:space="preserve">Podpora aktivit zaměřených na rozvoj digitální ekonomiky, neboť </w:t>
            </w:r>
            <w:r w:rsidR="00197903" w:rsidRPr="008B53A9">
              <w:rPr>
                <w:rFonts w:cs="Calibri"/>
                <w:bCs/>
                <w:lang w:val="cs-CZ" w:eastAsia="cs-CZ"/>
              </w:rPr>
              <w:t>ICT technologie podporují inovační procesy</w:t>
            </w:r>
            <w:r w:rsidR="001B092B" w:rsidRPr="008B53A9">
              <w:rPr>
                <w:rFonts w:cs="Calibri"/>
                <w:bCs/>
                <w:lang w:val="cs-CZ" w:eastAsia="cs-CZ"/>
              </w:rPr>
              <w:t>;</w:t>
            </w:r>
            <w:r w:rsidR="00197903" w:rsidRPr="008B53A9">
              <w:rPr>
                <w:rFonts w:cs="Calibri"/>
                <w:bCs/>
                <w:lang w:val="cs-CZ" w:eastAsia="cs-CZ"/>
              </w:rPr>
              <w:t xml:space="preserve"> rozvoj ICT v</w:t>
            </w:r>
            <w:r w:rsidR="008476DD" w:rsidRPr="008B53A9">
              <w:rPr>
                <w:rFonts w:cs="Calibri"/>
                <w:bCs/>
                <w:lang w:val="cs-CZ" w:eastAsia="cs-CZ"/>
              </w:rPr>
              <w:t> </w:t>
            </w:r>
            <w:r w:rsidR="00197903" w:rsidRPr="008B53A9">
              <w:rPr>
                <w:rFonts w:cs="Calibri"/>
                <w:bCs/>
                <w:lang w:val="cs-CZ" w:eastAsia="cs-CZ"/>
              </w:rPr>
              <w:t>podnicích</w:t>
            </w:r>
            <w:r w:rsidR="008476DD" w:rsidRPr="008B53A9">
              <w:rPr>
                <w:rFonts w:cs="Calibri"/>
                <w:bCs/>
                <w:lang w:val="cs-CZ" w:eastAsia="cs-CZ"/>
              </w:rPr>
              <w:t xml:space="preserve"> a centr</w:t>
            </w:r>
            <w:r w:rsidR="001B092B" w:rsidRPr="008B53A9">
              <w:rPr>
                <w:rFonts w:cs="Calibri"/>
                <w:bCs/>
                <w:lang w:val="cs-CZ" w:eastAsia="cs-CZ"/>
              </w:rPr>
              <w:t>ech</w:t>
            </w:r>
            <w:r w:rsidR="008476DD" w:rsidRPr="008B53A9">
              <w:rPr>
                <w:rFonts w:cs="Calibri"/>
                <w:bCs/>
                <w:lang w:val="cs-CZ" w:eastAsia="cs-CZ"/>
              </w:rPr>
              <w:t xml:space="preserve"> progresivních ICT služeb</w:t>
            </w:r>
          </w:p>
          <w:p w:rsidR="00AD561F" w:rsidRPr="008B53A9" w:rsidRDefault="00AD561F" w:rsidP="00AD561F">
            <w:pPr>
              <w:pStyle w:val="Tabulka"/>
              <w:jc w:val="left"/>
              <w:rPr>
                <w:rFonts w:cs="Calibri"/>
                <w:bCs/>
                <w:u w:val="single"/>
                <w:lang w:val="cs-CZ" w:eastAsia="cs-CZ"/>
              </w:rPr>
            </w:pPr>
            <w:r w:rsidRPr="008B53A9">
              <w:rPr>
                <w:rFonts w:cs="Calibri"/>
                <w:bCs/>
                <w:u w:val="single"/>
                <w:lang w:val="cs-CZ" w:eastAsia="cs-CZ"/>
              </w:rPr>
              <w:t>Dohoda o partnerství:</w:t>
            </w:r>
          </w:p>
          <w:p w:rsidR="00AD561F" w:rsidRPr="008B53A9" w:rsidRDefault="00AD561F" w:rsidP="00AD561F">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w:t>
            </w:r>
            <w:r w:rsidR="00CC45C6" w:rsidRPr="008B53A9">
              <w:rPr>
                <w:rFonts w:cs="Calibri"/>
                <w:bCs/>
                <w:lang w:val="cs-CZ" w:eastAsia="cs-CZ"/>
              </w:rPr>
              <w:t>I</w:t>
            </w:r>
            <w:r w:rsidRPr="008B53A9">
              <w:rPr>
                <w:rFonts w:cs="Calibri"/>
                <w:bCs/>
                <w:lang w:val="cs-CZ" w:eastAsia="cs-CZ"/>
              </w:rPr>
              <w:t>CT infrastruktura</w:t>
            </w:r>
          </w:p>
          <w:p w:rsidR="00AD561F" w:rsidRPr="008B53A9" w:rsidRDefault="00AD561F" w:rsidP="00AD561F">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Nedostatečná nabídka ICT služeb </w:t>
            </w:r>
          </w:p>
          <w:p w:rsidR="00AD561F" w:rsidRPr="008B53A9" w:rsidRDefault="00AD561F" w:rsidP="00AD561F">
            <w:pPr>
              <w:pStyle w:val="Tabulka"/>
              <w:jc w:val="left"/>
              <w:rPr>
                <w:rFonts w:cs="Calibri"/>
                <w:lang w:val="cs-CZ" w:eastAsia="cs-CZ"/>
              </w:rPr>
            </w:pPr>
            <w:r w:rsidRPr="008B53A9">
              <w:rPr>
                <w:rFonts w:cs="Calibri"/>
                <w:b/>
                <w:bCs/>
                <w:lang w:val="cs-CZ" w:eastAsia="cs-CZ"/>
              </w:rPr>
              <w:t>Priorita financování:</w:t>
            </w:r>
            <w:r w:rsidRPr="008B53A9">
              <w:rPr>
                <w:b/>
                <w:szCs w:val="24"/>
                <w:lang w:val="cs-CZ" w:eastAsia="cs-CZ"/>
              </w:rPr>
              <w:t xml:space="preserve"> </w:t>
            </w:r>
            <w:r w:rsidRPr="008B53A9">
              <w:rPr>
                <w:szCs w:val="24"/>
                <w:lang w:val="cs-CZ" w:eastAsia="cs-CZ"/>
              </w:rPr>
              <w:t xml:space="preserve">Udržitelná infrastruktura umožňující konkurenceschopnost ekonomiky </w:t>
            </w:r>
            <w:r w:rsidR="00CC45C6" w:rsidRPr="008B53A9">
              <w:rPr>
                <w:szCs w:val="24"/>
                <w:lang w:val="cs-CZ" w:eastAsia="cs-CZ"/>
              </w:rPr>
              <w:t>a odpovídající obslužnost území</w:t>
            </w:r>
          </w:p>
        </w:tc>
      </w:tr>
      <w:tr w:rsidR="00A863BB" w:rsidRPr="008B53A9">
        <w:trPr>
          <w:jc w:val="center"/>
        </w:trPr>
        <w:tc>
          <w:tcPr>
            <w:tcW w:w="567" w:type="pct"/>
            <w:vMerge w:val="restart"/>
            <w:shd w:val="clear" w:color="auto" w:fill="B8CCE4"/>
            <w:vAlign w:val="center"/>
          </w:tcPr>
          <w:p w:rsidR="00A863BB" w:rsidRPr="008B53A9" w:rsidRDefault="009D7E8A" w:rsidP="0022028B">
            <w:pPr>
              <w:pStyle w:val="Tabulka"/>
              <w:jc w:val="left"/>
              <w:rPr>
                <w:rFonts w:cs="Calibri"/>
                <w:lang w:val="cs-CZ" w:eastAsia="cs-CZ"/>
              </w:rPr>
            </w:pPr>
            <w:r w:rsidRPr="008B53A9">
              <w:rPr>
                <w:rFonts w:cs="Calibri"/>
                <w:lang w:val="cs-CZ" w:eastAsia="cs-CZ"/>
              </w:rPr>
              <w:t>3</w:t>
            </w:r>
            <w:r w:rsidR="00CC5E04" w:rsidRPr="008B53A9">
              <w:rPr>
                <w:rFonts w:cs="Calibri"/>
                <w:lang w:val="cs-CZ" w:eastAsia="cs-CZ"/>
              </w:rPr>
              <w:t>)</w:t>
            </w:r>
            <w:r w:rsidR="00A863BB" w:rsidRPr="008B53A9">
              <w:rPr>
                <w:rFonts w:cs="Calibri"/>
                <w:lang w:val="cs-CZ" w:eastAsia="cs-CZ"/>
              </w:rPr>
              <w:t xml:space="preserve"> Zvýšení konkurenceschopnosti malých a středních podniků, odvětví zemědělství (v </w:t>
            </w:r>
            <w:r w:rsidR="00A863BB" w:rsidRPr="008B53A9">
              <w:rPr>
                <w:rFonts w:cs="Calibri"/>
                <w:lang w:val="cs-CZ" w:eastAsia="cs-CZ"/>
              </w:rPr>
              <w:lastRenderedPageBreak/>
              <w:t xml:space="preserve">případě EZFRV) a rybářství a akvakultury (v případě </w:t>
            </w:r>
            <w:r w:rsidR="001B1FD9" w:rsidRPr="008B53A9">
              <w:rPr>
                <w:rFonts w:cs="Calibri"/>
                <w:lang w:val="cs-CZ" w:eastAsia="cs-CZ"/>
              </w:rPr>
              <w:t>EMFF</w:t>
            </w:r>
            <w:r w:rsidR="00A863BB" w:rsidRPr="008B53A9">
              <w:rPr>
                <w:rFonts w:cs="Calibri"/>
                <w:lang w:val="cs-CZ" w:eastAsia="cs-CZ"/>
              </w:rPr>
              <w:t>)</w:t>
            </w:r>
          </w:p>
          <w:p w:rsidR="00A863BB" w:rsidRPr="008B53A9" w:rsidRDefault="00A863BB" w:rsidP="0022028B">
            <w:pPr>
              <w:pStyle w:val="Tabulka"/>
              <w:jc w:val="left"/>
              <w:rPr>
                <w:rFonts w:cs="Calibri"/>
                <w:lang w:val="cs-CZ" w:eastAsia="cs-CZ"/>
              </w:rPr>
            </w:pPr>
          </w:p>
        </w:tc>
        <w:tc>
          <w:tcPr>
            <w:tcW w:w="1441" w:type="pct"/>
            <w:shd w:val="clear" w:color="auto" w:fill="DBE5F1"/>
            <w:vAlign w:val="center"/>
          </w:tcPr>
          <w:p w:rsidR="00A863BB" w:rsidRPr="008B53A9" w:rsidRDefault="00B54D2B" w:rsidP="00F27EC3">
            <w:pPr>
              <w:pStyle w:val="Tabulka"/>
              <w:jc w:val="left"/>
              <w:rPr>
                <w:rFonts w:cs="Calibri"/>
                <w:lang w:val="cs-CZ" w:eastAsia="cs-CZ"/>
              </w:rPr>
            </w:pPr>
            <w:r w:rsidRPr="008B53A9">
              <w:rPr>
                <w:rFonts w:cs="Calibri"/>
                <w:lang w:val="cs-CZ" w:eastAsia="cs-CZ"/>
              </w:rPr>
              <w:lastRenderedPageBreak/>
              <w:t xml:space="preserve">3 a) </w:t>
            </w:r>
            <w:r w:rsidR="00DB5E8B" w:rsidRPr="008B53A9">
              <w:rPr>
                <w:rFonts w:cs="Calibri"/>
                <w:lang w:val="cs-CZ" w:eastAsia="cs-CZ"/>
              </w:rPr>
              <w:t>P</w:t>
            </w:r>
            <w:r w:rsidR="00F27EC3" w:rsidRPr="008B53A9">
              <w:rPr>
                <w:rFonts w:cs="Calibri"/>
                <w:lang w:val="cs-CZ" w:eastAsia="cs-CZ"/>
              </w:rPr>
              <w:t>odpora podnikání, zejména usnadněním hospodářského využívání nových myšlenek a podporou zakládání nových firem</w:t>
            </w:r>
            <w:r w:rsidR="00A863BB" w:rsidRPr="008B53A9">
              <w:rPr>
                <w:rFonts w:cs="Calibri"/>
                <w:lang w:val="cs-CZ" w:eastAsia="cs-CZ"/>
              </w:rPr>
              <w:t>, mimo jiné prostřednictvím podnikatelských inkubátorů</w:t>
            </w:r>
          </w:p>
        </w:tc>
        <w:tc>
          <w:tcPr>
            <w:tcW w:w="2992" w:type="pct"/>
            <w:shd w:val="clear" w:color="auto" w:fill="auto"/>
          </w:tcPr>
          <w:p w:rsidR="00F27EC3" w:rsidRPr="008B53A9" w:rsidRDefault="00F27EC3" w:rsidP="0022028B">
            <w:pPr>
              <w:pStyle w:val="Tabulka"/>
              <w:jc w:val="left"/>
              <w:rPr>
                <w:rFonts w:cs="Calibri"/>
                <w:bCs/>
                <w:u w:val="single"/>
                <w:lang w:val="cs-CZ" w:eastAsia="cs-CZ"/>
              </w:rPr>
            </w:pPr>
            <w:r w:rsidRPr="008B53A9">
              <w:rPr>
                <w:rFonts w:cs="Calibri"/>
                <w:bCs/>
                <w:u w:val="single"/>
                <w:lang w:val="cs-CZ" w:eastAsia="cs-CZ"/>
              </w:rPr>
              <w:t>EU 2020</w:t>
            </w:r>
            <w:r w:rsidRPr="008B53A9">
              <w:rPr>
                <w:rFonts w:cs="Calibri"/>
                <w:bCs/>
                <w:lang w:val="cs-CZ" w:eastAsia="cs-CZ"/>
              </w:rPr>
              <w:t xml:space="preserve">: Zvýšit zaměstnanost v kategorii 20–64 let na 75 %, stěžejní iniciativa </w:t>
            </w:r>
            <w:r w:rsidRPr="008B53A9">
              <w:rPr>
                <w:rFonts w:cs="Calibri"/>
                <w:bCs/>
                <w:i/>
                <w:lang w:val="cs-CZ" w:eastAsia="cs-CZ"/>
              </w:rPr>
              <w:t>Průmyslová politika pro éru globalizace</w:t>
            </w:r>
          </w:p>
          <w:p w:rsidR="00674E89" w:rsidRPr="008B53A9" w:rsidRDefault="00674E89" w:rsidP="0022028B">
            <w:pPr>
              <w:pStyle w:val="Tabulka"/>
              <w:jc w:val="left"/>
              <w:rPr>
                <w:rFonts w:cs="Calibri"/>
                <w:bCs/>
                <w:lang w:val="cs-CZ" w:eastAsia="cs-CZ"/>
              </w:rPr>
            </w:pPr>
            <w:r w:rsidRPr="008B53A9">
              <w:rPr>
                <w:rFonts w:cs="Calibri"/>
                <w:bCs/>
                <w:u w:val="single"/>
                <w:lang w:val="cs-CZ" w:eastAsia="cs-CZ"/>
              </w:rPr>
              <w:t>N</w:t>
            </w:r>
            <w:r w:rsidR="00CE6947" w:rsidRPr="008B53A9">
              <w:rPr>
                <w:rFonts w:cs="Calibri"/>
                <w:bCs/>
                <w:u w:val="single"/>
                <w:lang w:val="cs-CZ" w:eastAsia="cs-CZ"/>
              </w:rPr>
              <w:t>PR</w:t>
            </w:r>
            <w:r w:rsidRPr="008B53A9">
              <w:rPr>
                <w:rFonts w:cs="Calibri"/>
                <w:bCs/>
                <w:u w:val="single"/>
                <w:lang w:val="cs-CZ" w:eastAsia="cs-CZ"/>
              </w:rPr>
              <w:t xml:space="preserve"> 201</w:t>
            </w:r>
            <w:r w:rsidR="000C080E" w:rsidRPr="008B53A9">
              <w:rPr>
                <w:rFonts w:cs="Calibri"/>
                <w:bCs/>
                <w:u w:val="single"/>
                <w:lang w:val="cs-CZ" w:eastAsia="cs-CZ"/>
              </w:rPr>
              <w:t>4</w:t>
            </w:r>
            <w:r w:rsidRPr="008B53A9">
              <w:rPr>
                <w:rFonts w:cs="Calibri"/>
                <w:bCs/>
                <w:lang w:val="cs-CZ" w:eastAsia="cs-CZ"/>
              </w:rPr>
              <w:t xml:space="preserve">: </w:t>
            </w:r>
            <w:r w:rsidR="001B7C6F" w:rsidRPr="008B53A9">
              <w:rPr>
                <w:rFonts w:cs="Calibri"/>
                <w:bCs/>
                <w:lang w:val="cs-CZ" w:eastAsia="cs-CZ"/>
              </w:rPr>
              <w:t>Rozvoj malých a středních podniků, včetně podpory rozvojového a provozního financování</w:t>
            </w:r>
          </w:p>
          <w:p w:rsidR="003F6EA6" w:rsidRPr="008B53A9" w:rsidRDefault="003F6EA6" w:rsidP="0022028B">
            <w:pPr>
              <w:pStyle w:val="Tabulka"/>
              <w:jc w:val="left"/>
              <w:rPr>
                <w:rFonts w:cs="Calibri"/>
                <w:bCs/>
                <w:lang w:val="cs-CZ" w:eastAsia="cs-CZ"/>
              </w:rPr>
            </w:pPr>
            <w:r w:rsidRPr="008B53A9">
              <w:rPr>
                <w:rFonts w:cs="Calibri"/>
                <w:bCs/>
                <w:u w:val="single"/>
                <w:lang w:val="cs-CZ" w:eastAsia="cs-CZ"/>
              </w:rPr>
              <w:t>Poziční dokument</w:t>
            </w:r>
            <w:r w:rsidRPr="008B53A9">
              <w:rPr>
                <w:rFonts w:cs="Calibri"/>
                <w:bCs/>
                <w:lang w:val="cs-CZ" w:eastAsia="cs-CZ"/>
              </w:rPr>
              <w:t xml:space="preserve">: </w:t>
            </w:r>
            <w:r w:rsidR="0005361C" w:rsidRPr="008B53A9">
              <w:rPr>
                <w:rFonts w:cs="Calibri"/>
                <w:bCs/>
                <w:lang w:val="cs-CZ" w:eastAsia="cs-CZ"/>
              </w:rPr>
              <w:t xml:space="preserve">Rozvoj služeb poradenství </w:t>
            </w:r>
            <w:r w:rsidR="00D311DF" w:rsidRPr="008B53A9">
              <w:rPr>
                <w:rFonts w:cs="Calibri"/>
                <w:bCs/>
                <w:lang w:val="cs-CZ" w:eastAsia="cs-CZ"/>
              </w:rPr>
              <w:t>při</w:t>
            </w:r>
            <w:r w:rsidR="0005361C" w:rsidRPr="008B53A9">
              <w:rPr>
                <w:rFonts w:cs="Calibri"/>
                <w:bCs/>
                <w:lang w:val="cs-CZ" w:eastAsia="cs-CZ"/>
              </w:rPr>
              <w:t xml:space="preserve"> zakládání nových podniků; </w:t>
            </w:r>
            <w:r w:rsidR="00D311DF" w:rsidRPr="008B53A9">
              <w:rPr>
                <w:rFonts w:cs="Calibri"/>
                <w:bCs/>
                <w:lang w:val="cs-CZ" w:eastAsia="cs-CZ"/>
              </w:rPr>
              <w:t>v</w:t>
            </w:r>
            <w:r w:rsidR="004B2B4D" w:rsidRPr="008B53A9">
              <w:rPr>
                <w:rFonts w:cs="Calibri"/>
                <w:bCs/>
                <w:lang w:val="cs-CZ" w:eastAsia="cs-CZ"/>
              </w:rPr>
              <w:t xml:space="preserve">ytvoření škály finančních nástrojů na podporu zakládání nových </w:t>
            </w:r>
            <w:r w:rsidR="00D311DF" w:rsidRPr="008B53A9">
              <w:rPr>
                <w:rFonts w:cs="Calibri"/>
                <w:bCs/>
                <w:lang w:val="cs-CZ" w:eastAsia="cs-CZ"/>
              </w:rPr>
              <w:t>podniků</w:t>
            </w:r>
            <w:r w:rsidR="004B2B4D" w:rsidRPr="008B53A9">
              <w:rPr>
                <w:rFonts w:cs="Calibri"/>
                <w:bCs/>
                <w:lang w:val="cs-CZ" w:eastAsia="cs-CZ"/>
              </w:rPr>
              <w:t xml:space="preserve"> a pro rozvoj stávajících </w:t>
            </w:r>
            <w:r w:rsidR="00D311DF" w:rsidRPr="008B53A9">
              <w:rPr>
                <w:rFonts w:cs="Calibri"/>
                <w:bCs/>
                <w:lang w:val="cs-CZ" w:eastAsia="cs-CZ"/>
              </w:rPr>
              <w:t>firem</w:t>
            </w:r>
            <w:r w:rsidR="004B2B4D" w:rsidRPr="008B53A9">
              <w:rPr>
                <w:rFonts w:cs="Calibri"/>
                <w:bCs/>
                <w:lang w:val="cs-CZ" w:eastAsia="cs-CZ"/>
              </w:rPr>
              <w:t xml:space="preserve"> </w:t>
            </w:r>
            <w:r w:rsidR="004B2B4D" w:rsidRPr="008B53A9">
              <w:rPr>
                <w:rFonts w:cs="Calibri"/>
                <w:bCs/>
                <w:lang w:val="cs-CZ" w:eastAsia="cs-CZ"/>
              </w:rPr>
              <w:lastRenderedPageBreak/>
              <w:t>s potenciálem růstu</w:t>
            </w:r>
          </w:p>
          <w:p w:rsidR="00F27EC3" w:rsidRPr="008B53A9" w:rsidRDefault="00F27EC3" w:rsidP="0022028B">
            <w:pPr>
              <w:pStyle w:val="Tabulka"/>
              <w:jc w:val="left"/>
              <w:rPr>
                <w:rFonts w:cs="Calibri"/>
                <w:bCs/>
                <w:lang w:val="cs-CZ" w:eastAsia="cs-CZ"/>
              </w:rPr>
            </w:pPr>
            <w:r w:rsidRPr="008B53A9">
              <w:rPr>
                <w:rFonts w:cs="Calibri"/>
                <w:bCs/>
                <w:u w:val="single"/>
                <w:lang w:val="cs-CZ" w:eastAsia="cs-CZ"/>
              </w:rPr>
              <w:t>SMK</w:t>
            </w:r>
            <w:r w:rsidRPr="008B53A9">
              <w:rPr>
                <w:rFonts w:cs="Calibri"/>
                <w:bCs/>
                <w:lang w:val="cs-CZ" w:eastAsia="cs-CZ"/>
              </w:rPr>
              <w:t>: Rozvoj alternativních zdrojů financování pro podnikatelské záměry (např. seed fond)</w:t>
            </w:r>
          </w:p>
          <w:p w:rsidR="00A863BB" w:rsidRPr="008B53A9" w:rsidRDefault="000075B7" w:rsidP="00CE6947">
            <w:pPr>
              <w:pStyle w:val="Tabulka"/>
              <w:jc w:val="left"/>
              <w:rPr>
                <w:rFonts w:cs="Calibri"/>
                <w:bCs/>
                <w:lang w:val="cs-CZ" w:eastAsia="cs-CZ"/>
              </w:rPr>
            </w:pPr>
            <w:r w:rsidRPr="008B53A9">
              <w:rPr>
                <w:rFonts w:cs="Calibri"/>
                <w:bCs/>
                <w:u w:val="single"/>
                <w:lang w:val="cs-CZ" w:eastAsia="cs-CZ"/>
              </w:rPr>
              <w:t>Koncepce podpory MSP</w:t>
            </w:r>
            <w:r w:rsidRPr="008B53A9">
              <w:rPr>
                <w:rFonts w:cs="Calibri"/>
                <w:bCs/>
                <w:lang w:val="cs-CZ" w:eastAsia="cs-CZ"/>
              </w:rPr>
              <w:t xml:space="preserve">: Za </w:t>
            </w:r>
            <w:r w:rsidR="00F27EC3" w:rsidRPr="008B53A9">
              <w:rPr>
                <w:rFonts w:cs="Calibri"/>
                <w:bCs/>
                <w:lang w:val="cs-CZ" w:eastAsia="cs-CZ"/>
              </w:rPr>
              <w:t>jeden z podstatných nedostatků</w:t>
            </w:r>
            <w:r w:rsidRPr="008B53A9">
              <w:rPr>
                <w:rFonts w:cs="Calibri"/>
                <w:bCs/>
                <w:lang w:val="cs-CZ" w:eastAsia="cs-CZ"/>
              </w:rPr>
              <w:t xml:space="preserve"> inovačního systému ČR lze považovat</w:t>
            </w:r>
            <w:r w:rsidR="00E97A52" w:rsidRPr="008B53A9">
              <w:rPr>
                <w:rFonts w:cs="Calibri"/>
                <w:bCs/>
                <w:lang w:val="cs-CZ" w:eastAsia="cs-CZ"/>
              </w:rPr>
              <w:t xml:space="preserve"> relativně nižší dostupnost finančních zdrojů </w:t>
            </w:r>
            <w:r w:rsidR="00CE6947" w:rsidRPr="008B53A9">
              <w:rPr>
                <w:rFonts w:cs="Calibri"/>
                <w:bCs/>
                <w:lang w:val="cs-CZ" w:eastAsia="cs-CZ"/>
              </w:rPr>
              <w:t>ve formě rizikového kapitálu</w:t>
            </w:r>
          </w:p>
          <w:p w:rsidR="00AD561F" w:rsidRPr="008B53A9" w:rsidRDefault="00AD561F" w:rsidP="00AD561F">
            <w:pPr>
              <w:pStyle w:val="Tabulka"/>
              <w:jc w:val="left"/>
              <w:rPr>
                <w:rFonts w:cs="Calibri"/>
                <w:bCs/>
                <w:u w:val="single"/>
                <w:lang w:val="cs-CZ" w:eastAsia="cs-CZ"/>
              </w:rPr>
            </w:pPr>
            <w:r w:rsidRPr="008B53A9">
              <w:rPr>
                <w:rFonts w:cs="Calibri"/>
                <w:bCs/>
                <w:u w:val="single"/>
                <w:lang w:val="cs-CZ" w:eastAsia="cs-CZ"/>
              </w:rPr>
              <w:t>Dohoda o partnerství:</w:t>
            </w:r>
          </w:p>
          <w:p w:rsidR="00AD561F" w:rsidRPr="008B53A9" w:rsidRDefault="00AD561F" w:rsidP="00AD561F">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Konkurenceschopné podniky</w:t>
            </w:r>
          </w:p>
          <w:p w:rsidR="00AD561F" w:rsidRPr="008B53A9" w:rsidRDefault="00AD561F" w:rsidP="00AD561F">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Slabý endogenní podnikatelský sektor</w:t>
            </w:r>
          </w:p>
          <w:p w:rsidR="00AD561F" w:rsidRPr="008B53A9" w:rsidRDefault="00AD561F" w:rsidP="00AD561F">
            <w:pPr>
              <w:pStyle w:val="Tabulka"/>
              <w:jc w:val="left"/>
              <w:rPr>
                <w:rFonts w:cs="Calibri"/>
                <w:bCs/>
                <w:lang w:val="cs-CZ" w:eastAsia="cs-CZ"/>
              </w:rPr>
            </w:pPr>
            <w:r w:rsidRPr="008B53A9">
              <w:rPr>
                <w:rFonts w:cs="Calibri"/>
                <w:b/>
                <w:bCs/>
                <w:lang w:val="cs-CZ" w:eastAsia="cs-CZ"/>
              </w:rPr>
              <w:t xml:space="preserve">Priorita financování: </w:t>
            </w:r>
            <w:r w:rsidRPr="008B53A9">
              <w:rPr>
                <w:szCs w:val="24"/>
                <w:lang w:val="cs-CZ" w:eastAsia="cs-CZ"/>
              </w:rPr>
              <w:t>Podniky využívající výsledků VaV, konkurenceschopné na globálním trhu a přispívající</w:t>
            </w:r>
            <w:r w:rsidR="00CC45C6" w:rsidRPr="008B53A9">
              <w:rPr>
                <w:szCs w:val="24"/>
                <w:lang w:val="cs-CZ" w:eastAsia="cs-CZ"/>
              </w:rPr>
              <w:t xml:space="preserve"> k nízkouhlíkovému hospodářství</w:t>
            </w:r>
          </w:p>
        </w:tc>
      </w:tr>
      <w:tr w:rsidR="00A863BB" w:rsidRPr="008B53A9">
        <w:trPr>
          <w:jc w:val="center"/>
        </w:trPr>
        <w:tc>
          <w:tcPr>
            <w:tcW w:w="567" w:type="pct"/>
            <w:vMerge/>
            <w:shd w:val="clear" w:color="auto" w:fill="B8CCE4"/>
            <w:vAlign w:val="center"/>
          </w:tcPr>
          <w:p w:rsidR="00A863BB" w:rsidRPr="008B53A9" w:rsidRDefault="00A863BB" w:rsidP="0022028B">
            <w:pPr>
              <w:pStyle w:val="Tabulka"/>
              <w:jc w:val="left"/>
              <w:rPr>
                <w:rFonts w:cs="Calibri"/>
                <w:lang w:val="cs-CZ" w:eastAsia="cs-CZ"/>
              </w:rPr>
            </w:pPr>
          </w:p>
        </w:tc>
        <w:tc>
          <w:tcPr>
            <w:tcW w:w="1441" w:type="pct"/>
            <w:shd w:val="clear" w:color="auto" w:fill="DBE5F1"/>
            <w:vAlign w:val="center"/>
          </w:tcPr>
          <w:p w:rsidR="00A863BB" w:rsidRPr="008B53A9" w:rsidRDefault="00B54D2B" w:rsidP="0022028B">
            <w:pPr>
              <w:pStyle w:val="Tabulka"/>
              <w:jc w:val="left"/>
              <w:rPr>
                <w:rFonts w:cs="Calibri"/>
                <w:lang w:val="cs-CZ" w:eastAsia="cs-CZ"/>
              </w:rPr>
            </w:pPr>
            <w:r w:rsidRPr="008B53A9">
              <w:rPr>
                <w:rFonts w:cs="Calibri"/>
                <w:lang w:val="cs-CZ" w:eastAsia="cs-CZ"/>
              </w:rPr>
              <w:t xml:space="preserve">3 b) </w:t>
            </w:r>
            <w:r w:rsidR="008C7D72" w:rsidRPr="008B53A9">
              <w:rPr>
                <w:rFonts w:cs="Calibri"/>
                <w:lang w:val="cs-CZ" w:eastAsia="cs-CZ"/>
              </w:rPr>
              <w:t>Vyvíjení a provádění nových obchodních modelů</w:t>
            </w:r>
            <w:r w:rsidR="00A863BB" w:rsidRPr="008B53A9">
              <w:rPr>
                <w:rFonts w:cs="Calibri"/>
                <w:lang w:val="cs-CZ" w:eastAsia="cs-CZ"/>
              </w:rPr>
              <w:t xml:space="preserve"> pro MSP, zejména pro oblast mezinárodního obchodu</w:t>
            </w:r>
          </w:p>
          <w:p w:rsidR="00A863BB" w:rsidRPr="008B53A9" w:rsidRDefault="00A863BB" w:rsidP="0022028B">
            <w:pPr>
              <w:pStyle w:val="Tabulka"/>
              <w:jc w:val="left"/>
              <w:rPr>
                <w:rFonts w:cs="Calibri"/>
                <w:lang w:val="cs-CZ" w:eastAsia="cs-CZ"/>
              </w:rPr>
            </w:pPr>
          </w:p>
        </w:tc>
        <w:tc>
          <w:tcPr>
            <w:tcW w:w="2992" w:type="pct"/>
            <w:shd w:val="clear" w:color="auto" w:fill="auto"/>
          </w:tcPr>
          <w:p w:rsidR="00700EE6" w:rsidRPr="008B53A9" w:rsidRDefault="00700EE6" w:rsidP="0022028B">
            <w:pPr>
              <w:pStyle w:val="Tabulka"/>
              <w:jc w:val="left"/>
              <w:rPr>
                <w:rFonts w:cs="Calibri"/>
                <w:bCs/>
                <w:u w:val="single"/>
                <w:lang w:val="cs-CZ" w:eastAsia="cs-CZ"/>
              </w:rPr>
            </w:pPr>
            <w:r w:rsidRPr="008B53A9">
              <w:rPr>
                <w:rFonts w:cs="Calibri"/>
                <w:bCs/>
                <w:u w:val="single"/>
                <w:lang w:val="cs-CZ" w:eastAsia="cs-CZ"/>
              </w:rPr>
              <w:t>NPR 2014</w:t>
            </w:r>
            <w:r w:rsidRPr="008B53A9">
              <w:rPr>
                <w:rFonts w:cs="Calibri"/>
                <w:bCs/>
                <w:lang w:val="cs-CZ" w:eastAsia="cs-CZ"/>
              </w:rPr>
              <w:t>: Rozvoj malých a středních podniků, včetně rozvoje klíčových dovedností</w:t>
            </w:r>
          </w:p>
          <w:p w:rsidR="003F6EA6" w:rsidRPr="008B53A9" w:rsidRDefault="003F6EA6" w:rsidP="0022028B">
            <w:pPr>
              <w:pStyle w:val="Tabulka"/>
              <w:jc w:val="left"/>
              <w:rPr>
                <w:rFonts w:cs="Calibri"/>
                <w:bCs/>
                <w:lang w:val="cs-CZ" w:eastAsia="cs-CZ"/>
              </w:rPr>
            </w:pPr>
            <w:r w:rsidRPr="008B53A9">
              <w:rPr>
                <w:rFonts w:cs="Calibri"/>
                <w:bCs/>
                <w:u w:val="single"/>
                <w:lang w:val="cs-CZ" w:eastAsia="cs-CZ"/>
              </w:rPr>
              <w:t>Poziční dokument</w:t>
            </w:r>
            <w:r w:rsidRPr="008B53A9">
              <w:rPr>
                <w:rFonts w:cs="Calibri"/>
                <w:bCs/>
                <w:lang w:val="cs-CZ" w:eastAsia="cs-CZ"/>
              </w:rPr>
              <w:t xml:space="preserve">: </w:t>
            </w:r>
            <w:r w:rsidR="004B2B4D" w:rsidRPr="008B53A9">
              <w:rPr>
                <w:rFonts w:cs="Calibri"/>
                <w:bCs/>
                <w:lang w:val="cs-CZ" w:eastAsia="cs-CZ"/>
              </w:rPr>
              <w:t xml:space="preserve">Rozvoj </w:t>
            </w:r>
            <w:r w:rsidR="005F1729" w:rsidRPr="008B53A9">
              <w:rPr>
                <w:rFonts w:cs="Calibri"/>
                <w:bCs/>
                <w:lang w:val="cs-CZ" w:eastAsia="cs-CZ"/>
              </w:rPr>
              <w:t xml:space="preserve">služeb poradenství při </w:t>
            </w:r>
            <w:r w:rsidR="004B2B4D" w:rsidRPr="008B53A9">
              <w:rPr>
                <w:rFonts w:cs="Calibri"/>
                <w:bCs/>
                <w:lang w:val="cs-CZ" w:eastAsia="cs-CZ"/>
              </w:rPr>
              <w:t xml:space="preserve">přístupu </w:t>
            </w:r>
            <w:r w:rsidR="005F1729" w:rsidRPr="008B53A9">
              <w:rPr>
                <w:rFonts w:cs="Calibri"/>
                <w:bCs/>
                <w:lang w:val="cs-CZ" w:eastAsia="cs-CZ"/>
              </w:rPr>
              <w:t xml:space="preserve">podniků </w:t>
            </w:r>
            <w:r w:rsidR="004B2B4D" w:rsidRPr="008B53A9">
              <w:rPr>
                <w:rFonts w:cs="Calibri"/>
                <w:bCs/>
                <w:lang w:val="cs-CZ" w:eastAsia="cs-CZ"/>
              </w:rPr>
              <w:t>k novým trhům</w:t>
            </w:r>
          </w:p>
          <w:p w:rsidR="00A863BB" w:rsidRPr="008B53A9" w:rsidRDefault="00A863BB" w:rsidP="0022028B">
            <w:pPr>
              <w:pStyle w:val="Tabulka"/>
              <w:jc w:val="left"/>
              <w:rPr>
                <w:rFonts w:cs="Calibri"/>
                <w:bCs/>
                <w:lang w:val="cs-CZ" w:eastAsia="cs-CZ"/>
              </w:rPr>
            </w:pPr>
            <w:r w:rsidRPr="008B53A9">
              <w:rPr>
                <w:rFonts w:cs="Calibri"/>
                <w:bCs/>
                <w:u w:val="single"/>
                <w:lang w:val="cs-CZ" w:eastAsia="cs-CZ"/>
              </w:rPr>
              <w:t>S</w:t>
            </w:r>
            <w:r w:rsidR="005F1729" w:rsidRPr="008B53A9">
              <w:rPr>
                <w:rFonts w:cs="Calibri"/>
                <w:bCs/>
                <w:u w:val="single"/>
                <w:lang w:val="cs-CZ" w:eastAsia="cs-CZ"/>
              </w:rPr>
              <w:t>MK</w:t>
            </w:r>
            <w:r w:rsidRPr="008B53A9">
              <w:rPr>
                <w:rFonts w:cs="Calibri"/>
                <w:bCs/>
                <w:lang w:val="cs-CZ" w:eastAsia="cs-CZ"/>
              </w:rPr>
              <w:t xml:space="preserve">: </w:t>
            </w:r>
            <w:r w:rsidR="005F1729" w:rsidRPr="008B53A9">
              <w:rPr>
                <w:rFonts w:cs="Calibri"/>
                <w:bCs/>
                <w:lang w:val="cs-CZ" w:eastAsia="cs-CZ"/>
              </w:rPr>
              <w:t>Z</w:t>
            </w:r>
            <w:r w:rsidR="00DF4A5B" w:rsidRPr="008B53A9">
              <w:rPr>
                <w:rFonts w:cs="Calibri"/>
                <w:bCs/>
                <w:lang w:val="cs-CZ" w:eastAsia="cs-CZ"/>
              </w:rPr>
              <w:t xml:space="preserve">výšení schopnosti producentů identifikovat koncové trhy a rozvoj netechnických kompetencí </w:t>
            </w:r>
            <w:r w:rsidR="005821F5" w:rsidRPr="008B53A9">
              <w:rPr>
                <w:rFonts w:cs="Calibri"/>
                <w:bCs/>
                <w:lang w:val="cs-CZ" w:eastAsia="cs-CZ"/>
              </w:rPr>
              <w:t>podniků</w:t>
            </w:r>
            <w:r w:rsidR="00DF4A5B" w:rsidRPr="008B53A9">
              <w:rPr>
                <w:rFonts w:cs="Calibri"/>
                <w:bCs/>
                <w:lang w:val="cs-CZ" w:eastAsia="cs-CZ"/>
              </w:rPr>
              <w:t xml:space="preserve"> souvisejících se získáváním nových trhů</w:t>
            </w:r>
          </w:p>
          <w:p w:rsidR="00652335" w:rsidRPr="008B53A9" w:rsidRDefault="00652335" w:rsidP="0022028B">
            <w:pPr>
              <w:pStyle w:val="Tabulka"/>
              <w:jc w:val="left"/>
              <w:rPr>
                <w:rFonts w:cs="Calibri"/>
                <w:bCs/>
                <w:lang w:val="cs-CZ" w:eastAsia="cs-CZ"/>
              </w:rPr>
            </w:pPr>
            <w:r w:rsidRPr="008B53A9">
              <w:rPr>
                <w:rFonts w:cs="Calibri"/>
                <w:bCs/>
                <w:u w:val="single"/>
                <w:lang w:val="cs-CZ" w:eastAsia="cs-CZ"/>
              </w:rPr>
              <w:t>NIS</w:t>
            </w:r>
            <w:r w:rsidRPr="008B53A9">
              <w:rPr>
                <w:rFonts w:cs="Calibri"/>
                <w:bCs/>
                <w:lang w:val="cs-CZ" w:eastAsia="cs-CZ"/>
              </w:rPr>
              <w:t>: Rozvoj špičkových poradenských služeb jako je technolo</w:t>
            </w:r>
            <w:r w:rsidR="001F0603" w:rsidRPr="008B53A9">
              <w:rPr>
                <w:rFonts w:cs="Calibri"/>
                <w:bCs/>
                <w:lang w:val="cs-CZ" w:eastAsia="cs-CZ"/>
              </w:rPr>
              <w:t>gický foresight, mentoring, kouč</w:t>
            </w:r>
            <w:r w:rsidRPr="008B53A9">
              <w:rPr>
                <w:rFonts w:cs="Calibri"/>
                <w:bCs/>
                <w:lang w:val="cs-CZ" w:eastAsia="cs-CZ"/>
              </w:rPr>
              <w:t>ing, účast na zahraničních veletrzích</w:t>
            </w:r>
          </w:p>
          <w:p w:rsidR="00A863BB" w:rsidRPr="008B53A9" w:rsidRDefault="00A863BB" w:rsidP="005F1729">
            <w:pPr>
              <w:pStyle w:val="Tabulka"/>
              <w:jc w:val="left"/>
              <w:rPr>
                <w:rFonts w:cs="Calibri"/>
                <w:lang w:val="cs-CZ" w:eastAsia="cs-CZ"/>
              </w:rPr>
            </w:pPr>
            <w:r w:rsidRPr="008B53A9">
              <w:rPr>
                <w:rFonts w:cs="Calibri"/>
                <w:u w:val="single"/>
                <w:lang w:val="cs-CZ" w:eastAsia="cs-CZ"/>
              </w:rPr>
              <w:t xml:space="preserve">Koncepce podpory </w:t>
            </w:r>
            <w:r w:rsidR="005F1729" w:rsidRPr="008B53A9">
              <w:rPr>
                <w:rFonts w:cs="Calibri"/>
                <w:u w:val="single"/>
                <w:lang w:val="cs-CZ" w:eastAsia="cs-CZ"/>
              </w:rPr>
              <w:t>MSP</w:t>
            </w:r>
            <w:r w:rsidRPr="008B53A9">
              <w:rPr>
                <w:rFonts w:cs="Calibri"/>
                <w:lang w:val="cs-CZ" w:eastAsia="cs-CZ"/>
              </w:rPr>
              <w:t>:</w:t>
            </w:r>
            <w:r w:rsidR="00E3355D" w:rsidRPr="008B53A9">
              <w:rPr>
                <w:rFonts w:cs="Calibri"/>
                <w:lang w:val="cs-CZ" w:eastAsia="cs-CZ"/>
              </w:rPr>
              <w:t xml:space="preserve"> </w:t>
            </w:r>
            <w:r w:rsidR="005F1729" w:rsidRPr="008B53A9">
              <w:rPr>
                <w:rFonts w:cs="Calibri"/>
                <w:lang w:val="cs-CZ" w:eastAsia="cs-CZ"/>
              </w:rPr>
              <w:t>N</w:t>
            </w:r>
            <w:r w:rsidR="00E3355D" w:rsidRPr="008B53A9">
              <w:rPr>
                <w:rFonts w:cs="Calibri"/>
                <w:lang w:val="cs-CZ" w:eastAsia="cs-CZ"/>
              </w:rPr>
              <w:t xml:space="preserve">abídnout </w:t>
            </w:r>
            <w:r w:rsidR="005F1729" w:rsidRPr="008B53A9">
              <w:rPr>
                <w:rFonts w:cs="Calibri"/>
                <w:lang w:val="cs-CZ" w:eastAsia="cs-CZ"/>
              </w:rPr>
              <w:t>MSP</w:t>
            </w:r>
            <w:r w:rsidR="00E3355D" w:rsidRPr="008B53A9">
              <w:rPr>
                <w:rFonts w:cs="Calibri"/>
                <w:lang w:val="cs-CZ" w:eastAsia="cs-CZ"/>
              </w:rPr>
              <w:t xml:space="preserve"> </w:t>
            </w:r>
            <w:r w:rsidR="005F1729" w:rsidRPr="008B53A9">
              <w:rPr>
                <w:rFonts w:cs="Calibri"/>
                <w:lang w:val="cs-CZ" w:eastAsia="cs-CZ"/>
              </w:rPr>
              <w:t>inovační</w:t>
            </w:r>
            <w:r w:rsidR="00E3355D" w:rsidRPr="008B53A9">
              <w:rPr>
                <w:rFonts w:cs="Calibri"/>
                <w:lang w:val="cs-CZ" w:eastAsia="cs-CZ"/>
              </w:rPr>
              <w:t xml:space="preserve"> typ poradenských služeb</w:t>
            </w:r>
            <w:r w:rsidR="005F1729" w:rsidRPr="008B53A9">
              <w:rPr>
                <w:rFonts w:cs="Calibri"/>
                <w:lang w:val="cs-CZ" w:eastAsia="cs-CZ"/>
              </w:rPr>
              <w:t xml:space="preserve">, který jim pomůže </w:t>
            </w:r>
            <w:r w:rsidR="00E3355D" w:rsidRPr="008B53A9">
              <w:rPr>
                <w:rFonts w:cs="Calibri"/>
                <w:lang w:val="cs-CZ" w:eastAsia="cs-CZ"/>
              </w:rPr>
              <w:t xml:space="preserve">efektivněji vytipovat oblasti, </w:t>
            </w:r>
            <w:r w:rsidR="005F1729" w:rsidRPr="008B53A9">
              <w:rPr>
                <w:rFonts w:cs="Calibri"/>
                <w:lang w:val="cs-CZ" w:eastAsia="cs-CZ"/>
              </w:rPr>
              <w:t>v nichž</w:t>
            </w:r>
            <w:r w:rsidR="00E3355D" w:rsidRPr="008B53A9">
              <w:rPr>
                <w:rFonts w:cs="Calibri"/>
                <w:lang w:val="cs-CZ" w:eastAsia="cs-CZ"/>
              </w:rPr>
              <w:t xml:space="preserve"> mají potenciál a schopnosti dlouhodob</w:t>
            </w:r>
            <w:bookmarkStart w:id="18" w:name="Temp"/>
            <w:bookmarkEnd w:id="18"/>
            <w:r w:rsidR="00E3355D" w:rsidRPr="008B53A9">
              <w:rPr>
                <w:rFonts w:cs="Calibri"/>
                <w:lang w:val="cs-CZ" w:eastAsia="cs-CZ"/>
              </w:rPr>
              <w:t>ě obstát v globální soutěži</w:t>
            </w:r>
            <w:r w:rsidR="005F1729" w:rsidRPr="008B53A9">
              <w:rPr>
                <w:rFonts w:cs="Calibri"/>
                <w:lang w:val="cs-CZ" w:eastAsia="cs-CZ"/>
              </w:rPr>
              <w:t>;</w:t>
            </w:r>
            <w:r w:rsidR="00DC5729" w:rsidRPr="008B53A9">
              <w:rPr>
                <w:rFonts w:cs="Calibri"/>
                <w:lang w:val="cs-CZ" w:eastAsia="cs-CZ"/>
              </w:rPr>
              <w:t xml:space="preserve"> podpora jejich účasti na specializovaných vele</w:t>
            </w:r>
            <w:r w:rsidR="005F1729" w:rsidRPr="008B53A9">
              <w:rPr>
                <w:rFonts w:cs="Calibri"/>
                <w:lang w:val="cs-CZ" w:eastAsia="cs-CZ"/>
              </w:rPr>
              <w:t>trzích a výstavách v zahraničí</w:t>
            </w:r>
          </w:p>
          <w:p w:rsidR="00AD561F" w:rsidRPr="008B53A9" w:rsidRDefault="00AD561F" w:rsidP="00AD561F">
            <w:pPr>
              <w:pStyle w:val="Tabulka"/>
              <w:jc w:val="left"/>
              <w:rPr>
                <w:rFonts w:cs="Calibri"/>
                <w:bCs/>
                <w:u w:val="single"/>
                <w:lang w:val="cs-CZ" w:eastAsia="cs-CZ"/>
              </w:rPr>
            </w:pPr>
            <w:r w:rsidRPr="008B53A9">
              <w:rPr>
                <w:rFonts w:cs="Calibri"/>
                <w:bCs/>
                <w:u w:val="single"/>
                <w:lang w:val="cs-CZ" w:eastAsia="cs-CZ"/>
              </w:rPr>
              <w:t>Dohoda o partnerství:</w:t>
            </w:r>
          </w:p>
          <w:p w:rsidR="00AD561F" w:rsidRPr="008B53A9" w:rsidRDefault="00AD561F" w:rsidP="00AD561F">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Konkurenceschopné podniky</w:t>
            </w:r>
          </w:p>
          <w:p w:rsidR="00AD561F" w:rsidRPr="008B53A9" w:rsidRDefault="00AD561F" w:rsidP="00AD561F">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Slabý endogenní podnikatelský sektor</w:t>
            </w:r>
          </w:p>
          <w:p w:rsidR="00AD561F" w:rsidRPr="008B53A9" w:rsidRDefault="00AD561F" w:rsidP="00AD561F">
            <w:pPr>
              <w:pStyle w:val="Tabulka"/>
              <w:jc w:val="left"/>
              <w:rPr>
                <w:rFonts w:cs="Calibri"/>
                <w:lang w:val="cs-CZ" w:eastAsia="cs-CZ"/>
              </w:rPr>
            </w:pPr>
            <w:r w:rsidRPr="008B53A9">
              <w:rPr>
                <w:rFonts w:cs="Calibri"/>
                <w:b/>
                <w:bCs/>
                <w:lang w:val="cs-CZ" w:eastAsia="cs-CZ"/>
              </w:rPr>
              <w:t xml:space="preserve">Priorita financování: </w:t>
            </w:r>
            <w:r w:rsidRPr="008B53A9">
              <w:rPr>
                <w:szCs w:val="24"/>
                <w:lang w:val="cs-CZ" w:eastAsia="cs-CZ"/>
              </w:rPr>
              <w:t>Podniky využívající výsledků VaV, konkurenceschopné na globálním trhu a přispívající k nízko</w:t>
            </w:r>
            <w:r w:rsidR="00CC45C6" w:rsidRPr="008B53A9">
              <w:rPr>
                <w:szCs w:val="24"/>
                <w:lang w:val="cs-CZ" w:eastAsia="cs-CZ"/>
              </w:rPr>
              <w:t>uhlíkovému hospodářství</w:t>
            </w:r>
          </w:p>
        </w:tc>
      </w:tr>
      <w:tr w:rsidR="00A863BB" w:rsidRPr="008B53A9">
        <w:trPr>
          <w:jc w:val="center"/>
        </w:trPr>
        <w:tc>
          <w:tcPr>
            <w:tcW w:w="567" w:type="pct"/>
            <w:vMerge/>
            <w:shd w:val="clear" w:color="auto" w:fill="B8CCE4"/>
            <w:vAlign w:val="center"/>
          </w:tcPr>
          <w:p w:rsidR="00A863BB" w:rsidRPr="008B53A9" w:rsidRDefault="00A863BB" w:rsidP="0022028B">
            <w:pPr>
              <w:pStyle w:val="Tabulka"/>
              <w:jc w:val="left"/>
              <w:rPr>
                <w:rFonts w:cs="Calibri"/>
                <w:lang w:val="cs-CZ" w:eastAsia="cs-CZ"/>
              </w:rPr>
            </w:pPr>
          </w:p>
        </w:tc>
        <w:tc>
          <w:tcPr>
            <w:tcW w:w="1441" w:type="pct"/>
            <w:shd w:val="clear" w:color="auto" w:fill="DBE5F1"/>
            <w:vAlign w:val="center"/>
          </w:tcPr>
          <w:p w:rsidR="00A863BB" w:rsidRPr="008B53A9" w:rsidRDefault="00B54D2B" w:rsidP="0022028B">
            <w:pPr>
              <w:pStyle w:val="Tabulka"/>
              <w:jc w:val="left"/>
              <w:rPr>
                <w:rFonts w:cs="Calibri"/>
                <w:lang w:val="cs-CZ" w:eastAsia="cs-CZ"/>
              </w:rPr>
            </w:pPr>
            <w:r w:rsidRPr="008B53A9">
              <w:rPr>
                <w:rFonts w:cs="Calibri"/>
                <w:lang w:val="cs-CZ" w:eastAsia="cs-CZ"/>
              </w:rPr>
              <w:t xml:space="preserve">3 c) </w:t>
            </w:r>
            <w:r w:rsidR="002641C7" w:rsidRPr="008B53A9">
              <w:rPr>
                <w:rFonts w:cs="Calibri"/>
                <w:lang w:val="cs-CZ" w:eastAsia="cs-CZ"/>
              </w:rPr>
              <w:t>Podpora vytváření a rozšiřování vyspělých</w:t>
            </w:r>
            <w:r w:rsidR="00A863BB" w:rsidRPr="008B53A9">
              <w:rPr>
                <w:rFonts w:cs="Calibri"/>
                <w:lang w:val="cs-CZ" w:eastAsia="cs-CZ"/>
              </w:rPr>
              <w:t xml:space="preserve"> kapacit pro rozvoj produktů a služeb</w:t>
            </w:r>
          </w:p>
          <w:p w:rsidR="00A863BB" w:rsidRPr="008B53A9" w:rsidRDefault="00A863BB" w:rsidP="0022028B">
            <w:pPr>
              <w:pStyle w:val="Tabulka"/>
              <w:jc w:val="left"/>
              <w:rPr>
                <w:rFonts w:cs="Calibri"/>
                <w:lang w:val="cs-CZ" w:eastAsia="cs-CZ"/>
              </w:rPr>
            </w:pPr>
          </w:p>
        </w:tc>
        <w:tc>
          <w:tcPr>
            <w:tcW w:w="2992" w:type="pct"/>
            <w:shd w:val="clear" w:color="auto" w:fill="auto"/>
          </w:tcPr>
          <w:p w:rsidR="003F6EA6" w:rsidRPr="008B53A9" w:rsidRDefault="003F6EA6" w:rsidP="0022028B">
            <w:pPr>
              <w:pStyle w:val="Tabulka"/>
              <w:jc w:val="left"/>
              <w:rPr>
                <w:rFonts w:cs="Calibri"/>
                <w:bCs/>
                <w:lang w:val="cs-CZ" w:eastAsia="cs-CZ"/>
              </w:rPr>
            </w:pPr>
            <w:r w:rsidRPr="008B53A9">
              <w:rPr>
                <w:rFonts w:cs="Calibri"/>
                <w:bCs/>
                <w:u w:val="single"/>
                <w:lang w:val="cs-CZ" w:eastAsia="cs-CZ"/>
              </w:rPr>
              <w:t>Poziční dokument</w:t>
            </w:r>
            <w:r w:rsidRPr="008B53A9">
              <w:rPr>
                <w:rFonts w:cs="Calibri"/>
                <w:bCs/>
                <w:lang w:val="cs-CZ" w:eastAsia="cs-CZ"/>
              </w:rPr>
              <w:t xml:space="preserve">: </w:t>
            </w:r>
            <w:r w:rsidR="004B2B4D" w:rsidRPr="008B53A9">
              <w:rPr>
                <w:rFonts w:cs="Calibri"/>
                <w:bCs/>
                <w:lang w:val="cs-CZ" w:eastAsia="cs-CZ"/>
              </w:rPr>
              <w:t>Zlepšení celkového podnikatelského prostředí pro malé a střední podniky prostřednictvím poskytnutí příslušné infrastruktury, modernizace a vylepšení stávajících průmyslových areálů a renovace brownfield</w:t>
            </w:r>
            <w:r w:rsidR="00BF7E1C" w:rsidRPr="008B53A9">
              <w:rPr>
                <w:rFonts w:cs="Calibri"/>
                <w:bCs/>
                <w:lang w:val="cs-CZ" w:eastAsia="cs-CZ"/>
              </w:rPr>
              <w:t>ů</w:t>
            </w:r>
            <w:r w:rsidR="0022698D" w:rsidRPr="008B53A9">
              <w:rPr>
                <w:rFonts w:cs="Calibri"/>
                <w:bCs/>
                <w:lang w:val="cs-CZ" w:eastAsia="cs-CZ"/>
              </w:rPr>
              <w:t>;</w:t>
            </w:r>
            <w:r w:rsidR="004B2B4D" w:rsidRPr="008B53A9">
              <w:rPr>
                <w:rFonts w:cs="Calibri"/>
                <w:bCs/>
                <w:lang w:val="cs-CZ" w:eastAsia="cs-CZ"/>
              </w:rPr>
              <w:t xml:space="preserve"> </w:t>
            </w:r>
            <w:r w:rsidR="0022698D" w:rsidRPr="008B53A9">
              <w:rPr>
                <w:rFonts w:cs="Calibri"/>
                <w:bCs/>
                <w:lang w:val="cs-CZ" w:eastAsia="cs-CZ"/>
              </w:rPr>
              <w:t>r</w:t>
            </w:r>
            <w:r w:rsidR="00D63CF5" w:rsidRPr="008B53A9">
              <w:rPr>
                <w:rFonts w:cs="Calibri"/>
                <w:bCs/>
                <w:lang w:val="cs-CZ" w:eastAsia="cs-CZ"/>
              </w:rPr>
              <w:t>ozvoj odborného vzdělávání odpovídajícího požada</w:t>
            </w:r>
            <w:r w:rsidR="0022698D" w:rsidRPr="008B53A9">
              <w:rPr>
                <w:rFonts w:cs="Calibri"/>
                <w:bCs/>
                <w:lang w:val="cs-CZ" w:eastAsia="cs-CZ"/>
              </w:rPr>
              <w:t>vkům trhu</w:t>
            </w:r>
          </w:p>
          <w:p w:rsidR="00F27EC3" w:rsidRPr="008B53A9" w:rsidRDefault="00F27EC3" w:rsidP="0022028B">
            <w:pPr>
              <w:pStyle w:val="Tabulka"/>
              <w:jc w:val="left"/>
              <w:rPr>
                <w:rFonts w:cs="Calibri"/>
                <w:bCs/>
                <w:lang w:val="cs-CZ" w:eastAsia="cs-CZ"/>
              </w:rPr>
            </w:pPr>
            <w:r w:rsidRPr="008B53A9">
              <w:rPr>
                <w:rFonts w:cs="Calibri"/>
                <w:bCs/>
                <w:u w:val="single"/>
                <w:lang w:val="cs-CZ" w:eastAsia="cs-CZ"/>
              </w:rPr>
              <w:t>SRR</w:t>
            </w:r>
            <w:r w:rsidRPr="008B53A9">
              <w:rPr>
                <w:rFonts w:cs="Calibri"/>
                <w:bCs/>
                <w:lang w:val="cs-CZ" w:eastAsia="cs-CZ"/>
              </w:rPr>
              <w:t>: Rozšíření a zkvalitnění různých typů podnikatelské infrastruktury,</w:t>
            </w:r>
            <w:r w:rsidRPr="008B53A9">
              <w:rPr>
                <w:rFonts w:cs="Calibri"/>
                <w:lang w:val="cs-CZ" w:eastAsia="cs-CZ"/>
              </w:rPr>
              <w:t xml:space="preserve"> </w:t>
            </w:r>
            <w:r w:rsidRPr="008B53A9">
              <w:rPr>
                <w:rFonts w:cs="Calibri"/>
                <w:bCs/>
                <w:lang w:val="cs-CZ" w:eastAsia="cs-CZ"/>
              </w:rPr>
              <w:t xml:space="preserve">revitalizace </w:t>
            </w:r>
            <w:r w:rsidRPr="008B53A9">
              <w:rPr>
                <w:rFonts w:cs="Calibri"/>
                <w:bCs/>
                <w:lang w:val="cs-CZ" w:eastAsia="cs-CZ"/>
              </w:rPr>
              <w:lastRenderedPageBreak/>
              <w:t>brow</w:t>
            </w:r>
            <w:r w:rsidR="00BF7E1C" w:rsidRPr="008B53A9">
              <w:rPr>
                <w:rFonts w:cs="Calibri"/>
                <w:bCs/>
                <w:lang w:val="cs-CZ" w:eastAsia="cs-CZ"/>
              </w:rPr>
              <w:t>nfieldů</w:t>
            </w:r>
            <w:r w:rsidRPr="008B53A9">
              <w:rPr>
                <w:rFonts w:cs="Calibri"/>
                <w:bCs/>
                <w:lang w:val="cs-CZ" w:eastAsia="cs-CZ"/>
              </w:rPr>
              <w:t xml:space="preserve"> pro výrobní aktivity, zapojení zaměstnavatelů do odborného vzdělávání</w:t>
            </w:r>
          </w:p>
          <w:p w:rsidR="00A863BB" w:rsidRPr="008B53A9" w:rsidRDefault="0022698D" w:rsidP="0022028B">
            <w:pPr>
              <w:pStyle w:val="Tabulka"/>
              <w:jc w:val="left"/>
              <w:rPr>
                <w:rFonts w:cs="Calibri"/>
                <w:bCs/>
                <w:lang w:val="cs-CZ" w:eastAsia="cs-CZ"/>
              </w:rPr>
            </w:pPr>
            <w:r w:rsidRPr="008B53A9">
              <w:rPr>
                <w:rFonts w:cs="Calibri"/>
                <w:u w:val="single"/>
                <w:lang w:val="cs-CZ" w:eastAsia="cs-CZ"/>
              </w:rPr>
              <w:t>Koncepce podpory MSP</w:t>
            </w:r>
            <w:r w:rsidRPr="008B53A9">
              <w:rPr>
                <w:rFonts w:cs="Calibri"/>
                <w:lang w:val="cs-CZ" w:eastAsia="cs-CZ"/>
              </w:rPr>
              <w:t xml:space="preserve">: </w:t>
            </w:r>
            <w:r w:rsidRPr="008B53A9">
              <w:rPr>
                <w:rFonts w:cs="Calibri"/>
                <w:bCs/>
                <w:lang w:val="cs-CZ" w:eastAsia="cs-CZ"/>
              </w:rPr>
              <w:t>Rozvoj dalšího profesního vzdělávání zaměstnavatelů a zaměstnanců v MSP; regenerace brownfield</w:t>
            </w:r>
            <w:r w:rsidR="00BF7E1C" w:rsidRPr="008B53A9">
              <w:rPr>
                <w:rFonts w:cs="Calibri"/>
                <w:bCs/>
                <w:lang w:val="cs-CZ" w:eastAsia="cs-CZ"/>
              </w:rPr>
              <w:t>ů</w:t>
            </w:r>
            <w:r w:rsidRPr="008B53A9">
              <w:rPr>
                <w:rFonts w:cs="Calibri"/>
                <w:bCs/>
                <w:lang w:val="cs-CZ" w:eastAsia="cs-CZ"/>
              </w:rPr>
              <w:t xml:space="preserve"> za účelem další podnikatelské činnosti</w:t>
            </w:r>
          </w:p>
          <w:p w:rsidR="00CC45C6" w:rsidRPr="008B53A9" w:rsidRDefault="00CC45C6" w:rsidP="00CC45C6">
            <w:pPr>
              <w:pStyle w:val="Tabulka"/>
              <w:jc w:val="left"/>
              <w:rPr>
                <w:rFonts w:cs="Calibri"/>
                <w:bCs/>
                <w:u w:val="single"/>
                <w:lang w:val="cs-CZ" w:eastAsia="cs-CZ"/>
              </w:rPr>
            </w:pPr>
            <w:r w:rsidRPr="008B53A9">
              <w:rPr>
                <w:rFonts w:cs="Calibri"/>
                <w:bCs/>
                <w:u w:val="single"/>
                <w:lang w:val="cs-CZ" w:eastAsia="cs-CZ"/>
              </w:rPr>
              <w:t>Dohoda o partnerství:</w:t>
            </w:r>
          </w:p>
          <w:p w:rsidR="00CC45C6" w:rsidRPr="008B53A9" w:rsidRDefault="00CC45C6" w:rsidP="00CC45C6">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Konkurenceschopné podniky a částečně Ochrana životního prostředí</w:t>
            </w:r>
          </w:p>
          <w:p w:rsidR="00CC45C6" w:rsidRPr="008B53A9" w:rsidRDefault="00CC45C6" w:rsidP="00CC45C6">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Slabý endogenní podnikatelský sektor</w:t>
            </w:r>
          </w:p>
          <w:p w:rsidR="00CC45C6" w:rsidRPr="008B53A9" w:rsidRDefault="00CC45C6" w:rsidP="00CC45C6">
            <w:pPr>
              <w:pStyle w:val="Tabulka"/>
              <w:jc w:val="left"/>
              <w:rPr>
                <w:rFonts w:cs="Calibri"/>
                <w:bCs/>
                <w:lang w:val="cs-CZ" w:eastAsia="cs-CZ"/>
              </w:rPr>
            </w:pPr>
            <w:r w:rsidRPr="008B53A9">
              <w:rPr>
                <w:rFonts w:cs="Calibri"/>
                <w:b/>
                <w:bCs/>
                <w:lang w:val="cs-CZ" w:eastAsia="cs-CZ"/>
              </w:rPr>
              <w:t xml:space="preserve">Priorita financování: </w:t>
            </w:r>
            <w:r w:rsidRPr="008B53A9">
              <w:rPr>
                <w:szCs w:val="24"/>
                <w:lang w:val="cs-CZ" w:eastAsia="cs-CZ"/>
              </w:rPr>
              <w:t>Podniky využívající výsledků VaV, konkurenceschopné na globálním trhu a přispívající k nízkouhlíkovému hospodářství</w:t>
            </w:r>
          </w:p>
        </w:tc>
      </w:tr>
      <w:tr w:rsidR="00066396" w:rsidRPr="008B53A9">
        <w:trPr>
          <w:jc w:val="center"/>
        </w:trPr>
        <w:tc>
          <w:tcPr>
            <w:tcW w:w="567" w:type="pct"/>
            <w:vMerge w:val="restart"/>
            <w:shd w:val="clear" w:color="auto" w:fill="B8CCE4"/>
            <w:vAlign w:val="center"/>
          </w:tcPr>
          <w:p w:rsidR="00066396" w:rsidRPr="008B53A9" w:rsidRDefault="00906900" w:rsidP="0022028B">
            <w:pPr>
              <w:pStyle w:val="Tabulka"/>
              <w:jc w:val="left"/>
              <w:rPr>
                <w:rFonts w:cs="Calibri"/>
                <w:lang w:val="cs-CZ" w:eastAsia="cs-CZ"/>
              </w:rPr>
            </w:pPr>
            <w:r w:rsidRPr="008B53A9">
              <w:rPr>
                <w:rFonts w:cs="Calibri"/>
                <w:lang w:val="cs-CZ" w:eastAsia="cs-CZ"/>
              </w:rPr>
              <w:lastRenderedPageBreak/>
              <w:t>4</w:t>
            </w:r>
            <w:r w:rsidR="00CC5E04" w:rsidRPr="008B53A9">
              <w:rPr>
                <w:rFonts w:cs="Calibri"/>
                <w:lang w:val="cs-CZ" w:eastAsia="cs-CZ"/>
              </w:rPr>
              <w:t>)</w:t>
            </w:r>
            <w:r w:rsidRPr="008B53A9">
              <w:rPr>
                <w:rFonts w:cs="Calibri"/>
                <w:lang w:val="cs-CZ" w:eastAsia="cs-CZ"/>
              </w:rPr>
              <w:t xml:space="preserve"> </w:t>
            </w:r>
            <w:r w:rsidR="00066396" w:rsidRPr="008B53A9">
              <w:rPr>
                <w:rFonts w:cs="Calibri"/>
                <w:lang w:val="cs-CZ" w:eastAsia="cs-CZ"/>
              </w:rPr>
              <w:t>Podpora přechodu na nízkouhlíkové hospodářství ve všech odvětvích</w:t>
            </w:r>
          </w:p>
        </w:tc>
        <w:tc>
          <w:tcPr>
            <w:tcW w:w="1441" w:type="pct"/>
            <w:shd w:val="clear" w:color="auto" w:fill="DBE5F1"/>
            <w:vAlign w:val="center"/>
          </w:tcPr>
          <w:p w:rsidR="00066396" w:rsidRPr="008B53A9" w:rsidRDefault="00B54D2B" w:rsidP="0022028B">
            <w:pPr>
              <w:pStyle w:val="Tabulka"/>
              <w:jc w:val="left"/>
              <w:rPr>
                <w:rFonts w:cs="Calibri"/>
                <w:lang w:val="cs-CZ" w:eastAsia="cs-CZ"/>
              </w:rPr>
            </w:pPr>
            <w:r w:rsidRPr="008B53A9">
              <w:rPr>
                <w:rFonts w:cs="Calibri"/>
                <w:lang w:val="cs-CZ" w:eastAsia="cs-CZ"/>
              </w:rPr>
              <w:t xml:space="preserve">4 a) </w:t>
            </w:r>
            <w:r w:rsidR="00AA66A2" w:rsidRPr="008B53A9">
              <w:rPr>
                <w:rFonts w:cs="Calibri"/>
                <w:lang w:val="cs-CZ" w:eastAsia="cs-CZ"/>
              </w:rPr>
              <w:t>Podpora výroby a distribuce energie pocházející z obnovitelných zdrojů</w:t>
            </w:r>
          </w:p>
        </w:tc>
        <w:tc>
          <w:tcPr>
            <w:tcW w:w="2992" w:type="pct"/>
            <w:shd w:val="clear" w:color="auto" w:fill="auto"/>
          </w:tcPr>
          <w:p w:rsidR="00066396" w:rsidRPr="008B53A9" w:rsidRDefault="00CC7932" w:rsidP="0022028B">
            <w:pPr>
              <w:pStyle w:val="Tabulka"/>
              <w:jc w:val="left"/>
              <w:rPr>
                <w:rFonts w:cs="Calibri"/>
                <w:lang w:val="cs-CZ" w:eastAsia="cs-CZ"/>
              </w:rPr>
            </w:pPr>
            <w:r w:rsidRPr="008B53A9">
              <w:rPr>
                <w:rFonts w:cs="Calibri"/>
                <w:u w:val="single"/>
                <w:lang w:val="cs-CZ" w:eastAsia="cs-CZ"/>
              </w:rPr>
              <w:t>EU</w:t>
            </w:r>
            <w:r w:rsidR="00066396" w:rsidRPr="008B53A9">
              <w:rPr>
                <w:rFonts w:cs="Calibri"/>
                <w:u w:val="single"/>
                <w:lang w:val="cs-CZ" w:eastAsia="cs-CZ"/>
              </w:rPr>
              <w:t xml:space="preserve"> 2020</w:t>
            </w:r>
            <w:r w:rsidR="00066396" w:rsidRPr="008B53A9">
              <w:rPr>
                <w:rFonts w:cs="Calibri"/>
                <w:lang w:val="cs-CZ" w:eastAsia="cs-CZ"/>
              </w:rPr>
              <w:t xml:space="preserve">: </w:t>
            </w:r>
            <w:r w:rsidR="0022698D" w:rsidRPr="008B53A9">
              <w:rPr>
                <w:rFonts w:cs="Calibri"/>
                <w:lang w:val="cs-CZ" w:eastAsia="cs-CZ"/>
              </w:rPr>
              <w:t>Z</w:t>
            </w:r>
            <w:r w:rsidR="00066396" w:rsidRPr="008B53A9">
              <w:rPr>
                <w:rFonts w:cs="Calibri"/>
                <w:lang w:val="cs-CZ" w:eastAsia="cs-CZ"/>
              </w:rPr>
              <w:t>výšit podíl OZE v celkové spotřebě v EU na 20 %</w:t>
            </w:r>
            <w:r w:rsidR="00EF27CE" w:rsidRPr="008B53A9">
              <w:rPr>
                <w:rFonts w:cs="Calibri"/>
                <w:lang w:val="cs-CZ" w:eastAsia="cs-CZ"/>
              </w:rPr>
              <w:t xml:space="preserve"> do roku 2020</w:t>
            </w:r>
            <w:r w:rsidR="00652335" w:rsidRPr="008B53A9">
              <w:rPr>
                <w:rFonts w:cs="Calibri"/>
                <w:lang w:val="cs-CZ" w:eastAsia="cs-CZ"/>
              </w:rPr>
              <w:t xml:space="preserve">, stěžejní iniciativa </w:t>
            </w:r>
            <w:r w:rsidR="00652335" w:rsidRPr="008B53A9">
              <w:rPr>
                <w:rFonts w:cs="Calibri"/>
                <w:i/>
                <w:lang w:val="cs-CZ" w:eastAsia="cs-CZ"/>
              </w:rPr>
              <w:t>Evropa méně náročná na zdroje</w:t>
            </w:r>
          </w:p>
          <w:p w:rsidR="00066396" w:rsidRPr="008B53A9" w:rsidRDefault="00CC7932" w:rsidP="0022028B">
            <w:pPr>
              <w:pStyle w:val="Tabulka"/>
              <w:jc w:val="left"/>
              <w:rPr>
                <w:rFonts w:cs="Calibri"/>
                <w:bCs/>
                <w:lang w:val="cs-CZ" w:eastAsia="cs-CZ"/>
              </w:rPr>
            </w:pPr>
            <w:r w:rsidRPr="008B53A9">
              <w:rPr>
                <w:rFonts w:cs="Calibri"/>
                <w:bCs/>
                <w:u w:val="single"/>
                <w:lang w:val="cs-CZ" w:eastAsia="cs-CZ"/>
              </w:rPr>
              <w:t xml:space="preserve">NPR </w:t>
            </w:r>
            <w:r w:rsidR="009648EE" w:rsidRPr="008B53A9">
              <w:rPr>
                <w:rFonts w:cs="Calibri"/>
                <w:bCs/>
                <w:u w:val="single"/>
                <w:lang w:val="cs-CZ" w:eastAsia="cs-CZ"/>
              </w:rPr>
              <w:t>201</w:t>
            </w:r>
            <w:r w:rsidR="00C12521" w:rsidRPr="008B53A9">
              <w:rPr>
                <w:rFonts w:cs="Calibri"/>
                <w:bCs/>
                <w:u w:val="single"/>
                <w:lang w:val="cs-CZ" w:eastAsia="cs-CZ"/>
              </w:rPr>
              <w:t>4</w:t>
            </w:r>
            <w:r w:rsidR="009648EE" w:rsidRPr="008B53A9">
              <w:rPr>
                <w:rFonts w:cs="Calibri"/>
                <w:bCs/>
                <w:u w:val="single"/>
                <w:lang w:val="cs-CZ" w:eastAsia="cs-CZ"/>
              </w:rPr>
              <w:t>:</w:t>
            </w:r>
            <w:r w:rsidR="009648EE" w:rsidRPr="008B53A9">
              <w:rPr>
                <w:rFonts w:cs="Calibri"/>
                <w:bCs/>
                <w:lang w:val="cs-CZ" w:eastAsia="cs-CZ"/>
              </w:rPr>
              <w:t xml:space="preserve"> </w:t>
            </w:r>
            <w:r w:rsidR="00FE6CE5" w:rsidRPr="008B53A9">
              <w:rPr>
                <w:rFonts w:cs="Calibri"/>
                <w:bCs/>
                <w:lang w:val="cs-CZ" w:eastAsia="cs-CZ"/>
              </w:rPr>
              <w:t>Podpora rozvoje kapacit OZE, využití energetického potenciálu biomasy</w:t>
            </w:r>
          </w:p>
          <w:p w:rsidR="003F6EA6" w:rsidRPr="008B53A9" w:rsidRDefault="003F6EA6" w:rsidP="0022028B">
            <w:pPr>
              <w:pStyle w:val="Tabulka"/>
              <w:jc w:val="left"/>
              <w:rPr>
                <w:rFonts w:cs="Calibri"/>
                <w:bCs/>
                <w:lang w:val="cs-CZ" w:eastAsia="cs-CZ"/>
              </w:rPr>
            </w:pPr>
            <w:r w:rsidRPr="008B53A9">
              <w:rPr>
                <w:rFonts w:cs="Calibri"/>
                <w:bCs/>
                <w:u w:val="single"/>
                <w:lang w:val="cs-CZ" w:eastAsia="cs-CZ"/>
              </w:rPr>
              <w:t>Poziční dokument</w:t>
            </w:r>
            <w:r w:rsidRPr="008B53A9">
              <w:rPr>
                <w:rFonts w:cs="Calibri"/>
                <w:bCs/>
                <w:lang w:val="cs-CZ" w:eastAsia="cs-CZ"/>
              </w:rPr>
              <w:t xml:space="preserve">: </w:t>
            </w:r>
            <w:r w:rsidR="00CC7932" w:rsidRPr="008B53A9">
              <w:rPr>
                <w:rFonts w:cs="Calibri"/>
                <w:bCs/>
                <w:lang w:val="cs-CZ" w:eastAsia="cs-CZ"/>
              </w:rPr>
              <w:t>V</w:t>
            </w:r>
            <w:r w:rsidR="00260981" w:rsidRPr="008B53A9">
              <w:rPr>
                <w:rFonts w:cs="Calibri"/>
                <w:bCs/>
                <w:lang w:val="cs-CZ" w:eastAsia="cs-CZ"/>
              </w:rPr>
              <w:t xml:space="preserve">yužívání </w:t>
            </w:r>
            <w:r w:rsidR="00CC7932" w:rsidRPr="008B53A9">
              <w:rPr>
                <w:rFonts w:cs="Calibri"/>
                <w:bCs/>
                <w:lang w:val="cs-CZ" w:eastAsia="cs-CZ"/>
              </w:rPr>
              <w:t>OZE</w:t>
            </w:r>
            <w:r w:rsidR="00260981" w:rsidRPr="008B53A9">
              <w:rPr>
                <w:rFonts w:cs="Calibri"/>
                <w:bCs/>
                <w:lang w:val="cs-CZ" w:eastAsia="cs-CZ"/>
              </w:rPr>
              <w:t xml:space="preserve"> ve výrobě elektric</w:t>
            </w:r>
            <w:r w:rsidR="00CC7932" w:rsidRPr="008B53A9">
              <w:rPr>
                <w:rFonts w:cs="Calibri"/>
                <w:bCs/>
                <w:lang w:val="cs-CZ" w:eastAsia="cs-CZ"/>
              </w:rPr>
              <w:t>ké energie, vytápění a chlazení</w:t>
            </w:r>
          </w:p>
          <w:p w:rsidR="00066396" w:rsidRPr="008B53A9" w:rsidRDefault="00066396" w:rsidP="0022028B">
            <w:pPr>
              <w:pStyle w:val="Tabulka"/>
              <w:jc w:val="left"/>
              <w:rPr>
                <w:rFonts w:cs="Calibri"/>
                <w:bCs/>
                <w:lang w:val="cs-CZ" w:eastAsia="cs-CZ"/>
              </w:rPr>
            </w:pPr>
            <w:r w:rsidRPr="008B53A9">
              <w:rPr>
                <w:rFonts w:cs="Calibri"/>
                <w:bCs/>
                <w:u w:val="single"/>
                <w:lang w:val="cs-CZ" w:eastAsia="cs-CZ"/>
              </w:rPr>
              <w:t>S</w:t>
            </w:r>
            <w:r w:rsidR="00EF27CE" w:rsidRPr="008B53A9">
              <w:rPr>
                <w:rFonts w:cs="Calibri"/>
                <w:bCs/>
                <w:u w:val="single"/>
                <w:lang w:val="cs-CZ" w:eastAsia="cs-CZ"/>
              </w:rPr>
              <w:t>MK</w:t>
            </w:r>
            <w:r w:rsidRPr="008B53A9">
              <w:rPr>
                <w:rFonts w:cs="Calibri"/>
                <w:bCs/>
                <w:lang w:val="cs-CZ" w:eastAsia="cs-CZ"/>
              </w:rPr>
              <w:t xml:space="preserve">: </w:t>
            </w:r>
            <w:r w:rsidR="00CC7932" w:rsidRPr="008B53A9">
              <w:rPr>
                <w:rFonts w:cs="Calibri"/>
                <w:bCs/>
                <w:lang w:val="cs-CZ" w:eastAsia="cs-CZ"/>
              </w:rPr>
              <w:t>D</w:t>
            </w:r>
            <w:r w:rsidR="005102BB" w:rsidRPr="008B53A9">
              <w:rPr>
                <w:rFonts w:cs="Calibri"/>
                <w:lang w:val="cs-CZ" w:eastAsia="cs-CZ"/>
              </w:rPr>
              <w:t xml:space="preserve">osažení vyváženého energetického mixu, zvýšení využívání </w:t>
            </w:r>
            <w:r w:rsidR="00CC7932" w:rsidRPr="008B53A9">
              <w:rPr>
                <w:rFonts w:cs="Calibri"/>
                <w:lang w:val="cs-CZ" w:eastAsia="cs-CZ"/>
              </w:rPr>
              <w:t>OZE</w:t>
            </w:r>
          </w:p>
          <w:p w:rsidR="00066396" w:rsidRPr="008B53A9" w:rsidRDefault="00066396" w:rsidP="00EF27CE">
            <w:pPr>
              <w:pStyle w:val="Tabulka"/>
              <w:jc w:val="left"/>
              <w:rPr>
                <w:rFonts w:cs="Calibri"/>
                <w:lang w:val="cs-CZ" w:eastAsia="cs-CZ"/>
              </w:rPr>
            </w:pPr>
            <w:r w:rsidRPr="008B53A9">
              <w:rPr>
                <w:rFonts w:cs="Calibri"/>
                <w:bCs/>
                <w:u w:val="single"/>
                <w:lang w:val="cs-CZ" w:eastAsia="cs-CZ"/>
              </w:rPr>
              <w:t xml:space="preserve">Aktualizace </w:t>
            </w:r>
            <w:r w:rsidR="00EF27CE" w:rsidRPr="008B53A9">
              <w:rPr>
                <w:rFonts w:cs="Calibri"/>
                <w:bCs/>
                <w:u w:val="single"/>
                <w:lang w:val="cs-CZ" w:eastAsia="cs-CZ"/>
              </w:rPr>
              <w:t>SEK</w:t>
            </w:r>
            <w:r w:rsidRPr="008B53A9">
              <w:rPr>
                <w:rFonts w:cs="Calibri"/>
                <w:bCs/>
                <w:lang w:val="cs-CZ" w:eastAsia="cs-CZ"/>
              </w:rPr>
              <w:t xml:space="preserve">: </w:t>
            </w:r>
            <w:r w:rsidR="00EF27CE" w:rsidRPr="008B53A9">
              <w:rPr>
                <w:rFonts w:cs="Calibri"/>
                <w:bCs/>
                <w:lang w:val="cs-CZ" w:eastAsia="cs-CZ"/>
              </w:rPr>
              <w:t>R</w:t>
            </w:r>
            <w:r w:rsidR="004611C2" w:rsidRPr="008B53A9">
              <w:rPr>
                <w:rFonts w:cs="Calibri"/>
                <w:lang w:val="cs-CZ" w:eastAsia="cs-CZ"/>
              </w:rPr>
              <w:t xml:space="preserve">ozvoj a efektivní využití </w:t>
            </w:r>
            <w:r w:rsidR="00EF27CE" w:rsidRPr="008B53A9">
              <w:rPr>
                <w:rFonts w:cs="Calibri"/>
                <w:lang w:val="cs-CZ" w:eastAsia="cs-CZ"/>
              </w:rPr>
              <w:t>OZE</w:t>
            </w:r>
            <w:r w:rsidR="004611C2" w:rsidRPr="008B53A9">
              <w:rPr>
                <w:rFonts w:cs="Calibri"/>
                <w:lang w:val="cs-CZ" w:eastAsia="cs-CZ"/>
              </w:rPr>
              <w:t xml:space="preserve"> v souladu s ekonomickými možnostm</w:t>
            </w:r>
            <w:r w:rsidR="00F1702B" w:rsidRPr="008B53A9">
              <w:rPr>
                <w:rFonts w:cs="Calibri"/>
                <w:lang w:val="cs-CZ" w:eastAsia="cs-CZ"/>
              </w:rPr>
              <w:t>i</w:t>
            </w:r>
            <w:r w:rsidR="00193331" w:rsidRPr="008B53A9">
              <w:rPr>
                <w:rFonts w:cs="Calibri"/>
                <w:lang w:val="cs-CZ" w:eastAsia="cs-CZ"/>
              </w:rPr>
              <w:t xml:space="preserve"> a přírodními geograficko-geologicko-klimatickými podmínkami ČR</w:t>
            </w:r>
            <w:r w:rsidR="00F1702B" w:rsidRPr="008B53A9">
              <w:rPr>
                <w:rFonts w:cs="Calibri"/>
                <w:lang w:val="cs-CZ" w:eastAsia="cs-CZ"/>
              </w:rPr>
              <w:t>;</w:t>
            </w:r>
            <w:r w:rsidR="004611C2" w:rsidRPr="008B53A9">
              <w:rPr>
                <w:rFonts w:cs="Calibri"/>
                <w:lang w:val="cs-CZ" w:eastAsia="cs-CZ"/>
              </w:rPr>
              <w:t xml:space="preserve"> využít potenciál biomasy</w:t>
            </w:r>
          </w:p>
          <w:p w:rsidR="00CC45C6" w:rsidRPr="008B53A9" w:rsidRDefault="00CC45C6" w:rsidP="00CC45C6">
            <w:pPr>
              <w:pStyle w:val="Tabulka"/>
              <w:jc w:val="left"/>
              <w:rPr>
                <w:rFonts w:cs="Calibri"/>
                <w:bCs/>
                <w:u w:val="single"/>
                <w:lang w:val="cs-CZ" w:eastAsia="cs-CZ"/>
              </w:rPr>
            </w:pPr>
            <w:r w:rsidRPr="008B53A9">
              <w:rPr>
                <w:rFonts w:cs="Calibri"/>
                <w:bCs/>
                <w:u w:val="single"/>
                <w:lang w:val="cs-CZ" w:eastAsia="cs-CZ"/>
              </w:rPr>
              <w:t>Dohoda o partnerství:</w:t>
            </w:r>
          </w:p>
          <w:p w:rsidR="00CC45C6" w:rsidRPr="008B53A9" w:rsidRDefault="00CC45C6" w:rsidP="00CC45C6">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Energetická infrastruktura</w:t>
            </w:r>
          </w:p>
          <w:p w:rsidR="00CC45C6" w:rsidRPr="008B53A9" w:rsidRDefault="00CC45C6" w:rsidP="00CC45C6">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Závislost na neobnovitelných zdrojích energie, nízká orientace na využití obnovitelných zdrojů energie</w:t>
            </w:r>
          </w:p>
          <w:p w:rsidR="00CC45C6" w:rsidRPr="008B53A9" w:rsidRDefault="00CC45C6" w:rsidP="00CC45C6">
            <w:pPr>
              <w:pStyle w:val="Tabulka"/>
              <w:jc w:val="left"/>
              <w:rPr>
                <w:rFonts w:cs="Calibri"/>
                <w:color w:val="000000"/>
                <w:lang w:val="cs-CZ" w:eastAsia="cs-CZ"/>
              </w:rPr>
            </w:pPr>
            <w:r w:rsidRPr="008B53A9">
              <w:rPr>
                <w:rFonts w:cs="Calibri"/>
                <w:b/>
                <w:bCs/>
                <w:lang w:val="cs-CZ" w:eastAsia="cs-CZ"/>
              </w:rPr>
              <w:t xml:space="preserve">Priorita financování: </w:t>
            </w:r>
            <w:r w:rsidRPr="008B53A9">
              <w:rPr>
                <w:szCs w:val="24"/>
                <w:lang w:val="cs-CZ" w:eastAsia="cs-CZ"/>
              </w:rPr>
              <w:t>Udržitelná infrastruktura umožňující konkurenceschopnost ekonomiky a odpovídající obslužnost území</w:t>
            </w:r>
          </w:p>
        </w:tc>
      </w:tr>
      <w:tr w:rsidR="00066396" w:rsidRPr="008B53A9">
        <w:trPr>
          <w:jc w:val="center"/>
        </w:trPr>
        <w:tc>
          <w:tcPr>
            <w:tcW w:w="567" w:type="pct"/>
            <w:vMerge/>
            <w:shd w:val="clear" w:color="auto" w:fill="B8CCE4"/>
            <w:vAlign w:val="center"/>
          </w:tcPr>
          <w:p w:rsidR="00066396" w:rsidRPr="008B53A9" w:rsidRDefault="00066396" w:rsidP="0022028B">
            <w:pPr>
              <w:pStyle w:val="Tabulka"/>
              <w:jc w:val="left"/>
              <w:rPr>
                <w:rFonts w:cs="Calibri"/>
                <w:lang w:val="cs-CZ" w:eastAsia="cs-CZ"/>
              </w:rPr>
            </w:pPr>
          </w:p>
        </w:tc>
        <w:tc>
          <w:tcPr>
            <w:tcW w:w="1441" w:type="pct"/>
            <w:shd w:val="clear" w:color="auto" w:fill="DBE5F1"/>
            <w:vAlign w:val="center"/>
          </w:tcPr>
          <w:p w:rsidR="00066396" w:rsidRPr="008B53A9" w:rsidRDefault="00B54D2B" w:rsidP="0022028B">
            <w:pPr>
              <w:pStyle w:val="Tabulka"/>
              <w:jc w:val="left"/>
              <w:rPr>
                <w:rFonts w:cs="Calibri"/>
                <w:lang w:val="cs-CZ" w:eastAsia="cs-CZ"/>
              </w:rPr>
            </w:pPr>
            <w:r w:rsidRPr="008B53A9">
              <w:rPr>
                <w:rFonts w:cs="Calibri"/>
                <w:lang w:val="cs-CZ" w:eastAsia="cs-CZ"/>
              </w:rPr>
              <w:t xml:space="preserve">4 b) </w:t>
            </w:r>
            <w:r w:rsidR="00066396" w:rsidRPr="008B53A9">
              <w:rPr>
                <w:rFonts w:cs="Calibri"/>
                <w:lang w:val="cs-CZ" w:eastAsia="cs-CZ"/>
              </w:rPr>
              <w:t>Podpora energetické účinnosti a využívání energie z obnovitelných zdrojů v podnicích</w:t>
            </w:r>
          </w:p>
          <w:p w:rsidR="00066396" w:rsidRPr="008B53A9" w:rsidRDefault="00066396" w:rsidP="0022028B">
            <w:pPr>
              <w:pStyle w:val="Tabulka"/>
              <w:jc w:val="left"/>
              <w:rPr>
                <w:rFonts w:cs="Calibri"/>
                <w:lang w:val="cs-CZ" w:eastAsia="cs-CZ"/>
              </w:rPr>
            </w:pPr>
          </w:p>
        </w:tc>
        <w:tc>
          <w:tcPr>
            <w:tcW w:w="2992" w:type="pct"/>
            <w:shd w:val="clear" w:color="auto" w:fill="auto"/>
          </w:tcPr>
          <w:p w:rsidR="00066396" w:rsidRPr="008B53A9" w:rsidRDefault="00EF27CE" w:rsidP="0022028B">
            <w:pPr>
              <w:pStyle w:val="Tabulka"/>
              <w:jc w:val="left"/>
              <w:rPr>
                <w:rFonts w:cs="Calibri"/>
                <w:bCs/>
                <w:lang w:val="cs-CZ" w:eastAsia="cs-CZ"/>
              </w:rPr>
            </w:pPr>
            <w:r w:rsidRPr="008B53A9">
              <w:rPr>
                <w:rFonts w:cs="Calibri"/>
                <w:bCs/>
                <w:u w:val="single"/>
                <w:lang w:val="cs-CZ" w:eastAsia="cs-CZ"/>
              </w:rPr>
              <w:t>EU</w:t>
            </w:r>
            <w:r w:rsidR="00066396" w:rsidRPr="008B53A9">
              <w:rPr>
                <w:rFonts w:cs="Calibri"/>
                <w:bCs/>
                <w:u w:val="single"/>
                <w:lang w:val="cs-CZ" w:eastAsia="cs-CZ"/>
              </w:rPr>
              <w:t xml:space="preserve"> 2020</w:t>
            </w:r>
            <w:r w:rsidR="00066396" w:rsidRPr="008B53A9">
              <w:rPr>
                <w:rFonts w:cs="Calibri"/>
                <w:bCs/>
                <w:lang w:val="cs-CZ" w:eastAsia="cs-CZ"/>
              </w:rPr>
              <w:t xml:space="preserve">: </w:t>
            </w:r>
            <w:r w:rsidRPr="008B53A9">
              <w:rPr>
                <w:rFonts w:cs="Calibri"/>
                <w:bCs/>
                <w:lang w:val="cs-CZ" w:eastAsia="cs-CZ"/>
              </w:rPr>
              <w:t>Z</w:t>
            </w:r>
            <w:r w:rsidR="00066396" w:rsidRPr="008B53A9">
              <w:rPr>
                <w:rFonts w:cs="Calibri"/>
                <w:bCs/>
                <w:lang w:val="cs-CZ" w:eastAsia="cs-CZ"/>
              </w:rPr>
              <w:t>výšit energetickou účinnost v EU o 20 %</w:t>
            </w:r>
            <w:r w:rsidRPr="008B53A9">
              <w:rPr>
                <w:rFonts w:cs="Calibri"/>
                <w:bCs/>
                <w:lang w:val="cs-CZ" w:eastAsia="cs-CZ"/>
              </w:rPr>
              <w:t xml:space="preserve"> do roku 2020</w:t>
            </w:r>
            <w:r w:rsidR="001C4C18" w:rsidRPr="008B53A9">
              <w:rPr>
                <w:rFonts w:cs="Calibri"/>
                <w:bCs/>
                <w:lang w:val="cs-CZ" w:eastAsia="cs-CZ"/>
              </w:rPr>
              <w:t xml:space="preserve">, </w:t>
            </w:r>
            <w:r w:rsidR="001C4C18" w:rsidRPr="008B53A9">
              <w:rPr>
                <w:rFonts w:cs="Calibri"/>
                <w:lang w:val="cs-CZ" w:eastAsia="cs-CZ"/>
              </w:rPr>
              <w:t xml:space="preserve">stěžejní iniciativa </w:t>
            </w:r>
            <w:r w:rsidR="001C4C18" w:rsidRPr="008B53A9">
              <w:rPr>
                <w:rFonts w:cs="Calibri"/>
                <w:i/>
                <w:lang w:val="cs-CZ" w:eastAsia="cs-CZ"/>
              </w:rPr>
              <w:t>Evropa méně náročná na zdroje</w:t>
            </w:r>
          </w:p>
          <w:p w:rsidR="00066396" w:rsidRPr="008B53A9" w:rsidRDefault="009648EE" w:rsidP="0022028B">
            <w:pPr>
              <w:pStyle w:val="Tabulka"/>
              <w:jc w:val="left"/>
              <w:rPr>
                <w:rFonts w:cs="Calibri"/>
                <w:bCs/>
                <w:lang w:val="cs-CZ" w:eastAsia="cs-CZ"/>
              </w:rPr>
            </w:pPr>
            <w:r w:rsidRPr="008B53A9">
              <w:rPr>
                <w:rFonts w:cs="Calibri"/>
                <w:bCs/>
                <w:u w:val="single"/>
                <w:lang w:val="cs-CZ" w:eastAsia="cs-CZ"/>
              </w:rPr>
              <w:t>N</w:t>
            </w:r>
            <w:r w:rsidR="009B50CC" w:rsidRPr="008B53A9">
              <w:rPr>
                <w:rFonts w:cs="Calibri"/>
                <w:bCs/>
                <w:u w:val="single"/>
                <w:lang w:val="cs-CZ" w:eastAsia="cs-CZ"/>
              </w:rPr>
              <w:t xml:space="preserve">PR </w:t>
            </w:r>
            <w:r w:rsidRPr="008B53A9">
              <w:rPr>
                <w:rFonts w:cs="Calibri"/>
                <w:bCs/>
                <w:u w:val="single"/>
                <w:lang w:val="cs-CZ" w:eastAsia="cs-CZ"/>
              </w:rPr>
              <w:t>2013</w:t>
            </w:r>
            <w:r w:rsidRPr="008B53A9">
              <w:rPr>
                <w:rFonts w:cs="Calibri"/>
                <w:bCs/>
                <w:lang w:val="cs-CZ" w:eastAsia="cs-CZ"/>
              </w:rPr>
              <w:t xml:space="preserve">: </w:t>
            </w:r>
            <w:r w:rsidR="009B50CC" w:rsidRPr="008B53A9">
              <w:rPr>
                <w:rFonts w:cs="Calibri"/>
                <w:bCs/>
                <w:lang w:val="cs-CZ" w:eastAsia="cs-CZ"/>
              </w:rPr>
              <w:t>Dosažení cíle vyplývajícího z i</w:t>
            </w:r>
            <w:r w:rsidRPr="008B53A9">
              <w:rPr>
                <w:rFonts w:cs="Calibri"/>
                <w:bCs/>
                <w:lang w:val="cs-CZ" w:eastAsia="cs-CZ"/>
              </w:rPr>
              <w:t>mplementace směrnice o energetické účinnosti</w:t>
            </w:r>
          </w:p>
          <w:p w:rsidR="009B50CC" w:rsidRPr="008B53A9" w:rsidRDefault="003F6EA6" w:rsidP="0022028B">
            <w:pPr>
              <w:pStyle w:val="Tabulka"/>
              <w:jc w:val="left"/>
              <w:rPr>
                <w:rFonts w:cs="Calibri"/>
                <w:bCs/>
                <w:lang w:val="cs-CZ" w:eastAsia="cs-CZ"/>
              </w:rPr>
            </w:pPr>
            <w:r w:rsidRPr="008B53A9">
              <w:rPr>
                <w:rFonts w:cs="Calibri"/>
                <w:bCs/>
                <w:u w:val="single"/>
                <w:lang w:val="cs-CZ" w:eastAsia="cs-CZ"/>
              </w:rPr>
              <w:t>Poziční dokument</w:t>
            </w:r>
            <w:r w:rsidRPr="008B53A9">
              <w:rPr>
                <w:rFonts w:cs="Calibri"/>
                <w:bCs/>
                <w:lang w:val="cs-CZ" w:eastAsia="cs-CZ"/>
              </w:rPr>
              <w:t xml:space="preserve">: </w:t>
            </w:r>
            <w:r w:rsidR="00260981" w:rsidRPr="008B53A9">
              <w:rPr>
                <w:rFonts w:cs="Calibri"/>
                <w:bCs/>
                <w:lang w:val="cs-CZ" w:eastAsia="cs-CZ"/>
              </w:rPr>
              <w:t>Zlepšení energetické náročnosti budov zvýšením jejich energetické účinnosti a využívání</w:t>
            </w:r>
            <w:r w:rsidR="009B50CC" w:rsidRPr="008B53A9">
              <w:rPr>
                <w:rFonts w:cs="Calibri"/>
                <w:bCs/>
                <w:lang w:val="cs-CZ" w:eastAsia="cs-CZ"/>
              </w:rPr>
              <w:t>m OZE</w:t>
            </w:r>
          </w:p>
          <w:p w:rsidR="00066396" w:rsidRPr="008B53A9" w:rsidRDefault="00066396" w:rsidP="009B50CC">
            <w:pPr>
              <w:pStyle w:val="Tabulka"/>
              <w:jc w:val="left"/>
              <w:rPr>
                <w:rFonts w:cs="Calibri"/>
                <w:bCs/>
                <w:lang w:val="cs-CZ" w:eastAsia="cs-CZ"/>
              </w:rPr>
            </w:pPr>
            <w:r w:rsidRPr="008B53A9">
              <w:rPr>
                <w:rFonts w:cs="Calibri"/>
                <w:bCs/>
                <w:u w:val="single"/>
                <w:lang w:val="cs-CZ" w:eastAsia="cs-CZ"/>
              </w:rPr>
              <w:t>Aktualizace S</w:t>
            </w:r>
            <w:r w:rsidR="009B50CC" w:rsidRPr="008B53A9">
              <w:rPr>
                <w:rFonts w:cs="Calibri"/>
                <w:bCs/>
                <w:u w:val="single"/>
                <w:lang w:val="cs-CZ" w:eastAsia="cs-CZ"/>
              </w:rPr>
              <w:t>EK</w:t>
            </w:r>
            <w:r w:rsidRPr="008B53A9">
              <w:rPr>
                <w:rFonts w:cs="Calibri"/>
                <w:bCs/>
                <w:lang w:val="cs-CZ" w:eastAsia="cs-CZ"/>
              </w:rPr>
              <w:t xml:space="preserve">: </w:t>
            </w:r>
            <w:r w:rsidR="0007268F" w:rsidRPr="008B53A9">
              <w:rPr>
                <w:rFonts w:cs="Calibri"/>
                <w:bCs/>
                <w:lang w:val="cs-CZ" w:eastAsia="cs-CZ"/>
              </w:rPr>
              <w:t xml:space="preserve"> </w:t>
            </w:r>
            <w:r w:rsidR="00852093" w:rsidRPr="008B53A9">
              <w:rPr>
                <w:rFonts w:cs="Calibri"/>
                <w:bCs/>
                <w:lang w:val="cs-CZ" w:eastAsia="cs-CZ"/>
              </w:rPr>
              <w:t xml:space="preserve">Podporovat procesy vedoucí k energetickým úsporám a </w:t>
            </w:r>
            <w:r w:rsidR="0007268F" w:rsidRPr="008B53A9">
              <w:rPr>
                <w:rFonts w:cs="Calibri"/>
                <w:bCs/>
                <w:lang w:val="cs-CZ" w:eastAsia="cs-CZ"/>
              </w:rPr>
              <w:t>rekonstrukce zařízení a technologií za úč</w:t>
            </w:r>
            <w:r w:rsidR="009B50CC" w:rsidRPr="008B53A9">
              <w:rPr>
                <w:rFonts w:cs="Calibri"/>
                <w:bCs/>
                <w:lang w:val="cs-CZ" w:eastAsia="cs-CZ"/>
              </w:rPr>
              <w:t>elem zvýšení jejich efektivity; p</w:t>
            </w:r>
            <w:r w:rsidR="00852093" w:rsidRPr="008B53A9">
              <w:rPr>
                <w:rFonts w:cs="Calibri"/>
                <w:bCs/>
                <w:lang w:val="cs-CZ" w:eastAsia="cs-CZ"/>
              </w:rPr>
              <w:t xml:space="preserve">odporovat zavádění energetického </w:t>
            </w:r>
            <w:r w:rsidR="00852093" w:rsidRPr="008B53A9">
              <w:rPr>
                <w:rFonts w:cs="Calibri"/>
                <w:bCs/>
                <w:lang w:val="cs-CZ" w:eastAsia="cs-CZ"/>
              </w:rPr>
              <w:lastRenderedPageBreak/>
              <w:t>managementu a metody EPC ve veř</w:t>
            </w:r>
            <w:r w:rsidR="009B50CC" w:rsidRPr="008B53A9">
              <w:rPr>
                <w:rFonts w:cs="Calibri"/>
                <w:bCs/>
                <w:lang w:val="cs-CZ" w:eastAsia="cs-CZ"/>
              </w:rPr>
              <w:t>ejném a podnikatelském sektoru</w:t>
            </w:r>
          </w:p>
          <w:p w:rsidR="00CC45C6" w:rsidRPr="008B53A9" w:rsidRDefault="00CC45C6" w:rsidP="00CC45C6">
            <w:pPr>
              <w:pStyle w:val="Tabulka"/>
              <w:jc w:val="left"/>
              <w:rPr>
                <w:rFonts w:cs="Calibri"/>
                <w:bCs/>
                <w:u w:val="single"/>
                <w:lang w:val="cs-CZ" w:eastAsia="cs-CZ"/>
              </w:rPr>
            </w:pPr>
            <w:r w:rsidRPr="008B53A9">
              <w:rPr>
                <w:rFonts w:cs="Calibri"/>
                <w:bCs/>
                <w:u w:val="single"/>
                <w:lang w:val="cs-CZ" w:eastAsia="cs-CZ"/>
              </w:rPr>
              <w:t>Dohoda o partnerství:</w:t>
            </w:r>
          </w:p>
          <w:p w:rsidR="00CC45C6" w:rsidRPr="008B53A9" w:rsidRDefault="00CC45C6" w:rsidP="00CC45C6">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Konkurenceschopné podniky</w:t>
            </w:r>
          </w:p>
          <w:p w:rsidR="00CC45C6" w:rsidRPr="008B53A9" w:rsidRDefault="00CC45C6" w:rsidP="00CC45C6">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Vysoká energetická a surovinová náročnost hospodářství a rostoucí ceny energií</w:t>
            </w:r>
          </w:p>
          <w:p w:rsidR="00CC45C6" w:rsidRPr="008B53A9" w:rsidRDefault="00CC45C6" w:rsidP="00CC45C6">
            <w:pPr>
              <w:pStyle w:val="Tabulka"/>
              <w:jc w:val="left"/>
              <w:rPr>
                <w:rFonts w:cs="Calibri"/>
                <w:bCs/>
                <w:lang w:val="cs-CZ" w:eastAsia="cs-CZ"/>
              </w:rPr>
            </w:pPr>
            <w:r w:rsidRPr="008B53A9">
              <w:rPr>
                <w:rFonts w:cs="Calibri"/>
                <w:b/>
                <w:bCs/>
                <w:lang w:val="cs-CZ" w:eastAsia="cs-CZ"/>
              </w:rPr>
              <w:t xml:space="preserve">Priorita financování: </w:t>
            </w:r>
            <w:r w:rsidRPr="008B53A9">
              <w:rPr>
                <w:szCs w:val="24"/>
                <w:lang w:val="cs-CZ" w:eastAsia="cs-CZ"/>
              </w:rPr>
              <w:t>Podniky využívající výsledků VaV, konkurenceschopné na globálním trhu a přispívající k nízkouhlíkovému hospodářství, Udržitelná infrastruktura umožňující konkurenceschopnost ekonomiky a odpovídající obslužnost území</w:t>
            </w:r>
          </w:p>
        </w:tc>
      </w:tr>
      <w:tr w:rsidR="00066396" w:rsidRPr="008B53A9">
        <w:trPr>
          <w:jc w:val="center"/>
        </w:trPr>
        <w:tc>
          <w:tcPr>
            <w:tcW w:w="567" w:type="pct"/>
            <w:vMerge/>
            <w:shd w:val="clear" w:color="auto" w:fill="auto"/>
            <w:vAlign w:val="center"/>
          </w:tcPr>
          <w:p w:rsidR="00066396" w:rsidRPr="008B53A9" w:rsidRDefault="00066396" w:rsidP="0022028B">
            <w:pPr>
              <w:pStyle w:val="Tabulka"/>
              <w:jc w:val="left"/>
              <w:rPr>
                <w:rFonts w:cs="Calibri"/>
                <w:lang w:val="cs-CZ" w:eastAsia="cs-CZ"/>
              </w:rPr>
            </w:pPr>
          </w:p>
        </w:tc>
        <w:tc>
          <w:tcPr>
            <w:tcW w:w="1441" w:type="pct"/>
            <w:shd w:val="clear" w:color="auto" w:fill="DBE5F1"/>
            <w:vAlign w:val="center"/>
          </w:tcPr>
          <w:p w:rsidR="00066396" w:rsidRPr="008B53A9" w:rsidRDefault="00B54D2B" w:rsidP="0022028B">
            <w:pPr>
              <w:pStyle w:val="Tabulka"/>
              <w:jc w:val="left"/>
              <w:rPr>
                <w:rFonts w:cs="Calibri"/>
                <w:lang w:val="cs-CZ" w:eastAsia="cs-CZ"/>
              </w:rPr>
            </w:pPr>
            <w:r w:rsidRPr="008B53A9">
              <w:rPr>
                <w:rFonts w:cs="Calibri"/>
                <w:lang w:val="cs-CZ" w:eastAsia="cs-CZ"/>
              </w:rPr>
              <w:t xml:space="preserve">4 d) </w:t>
            </w:r>
            <w:r w:rsidR="00AA66A2" w:rsidRPr="008B53A9">
              <w:rPr>
                <w:rFonts w:cs="Calibri"/>
                <w:lang w:val="cs-CZ" w:eastAsia="cs-CZ"/>
              </w:rPr>
              <w:t>Rozvoj a zavádění inteligentních distribučních soustav, jež fungují na hladině nízkého a středního napětí</w:t>
            </w:r>
          </w:p>
          <w:p w:rsidR="00066396" w:rsidRPr="008B53A9" w:rsidRDefault="00066396" w:rsidP="0022028B">
            <w:pPr>
              <w:pStyle w:val="Tabulka"/>
              <w:jc w:val="left"/>
              <w:rPr>
                <w:rFonts w:cs="Calibri"/>
                <w:lang w:val="cs-CZ" w:eastAsia="cs-CZ"/>
              </w:rPr>
            </w:pPr>
          </w:p>
        </w:tc>
        <w:tc>
          <w:tcPr>
            <w:tcW w:w="2992" w:type="pct"/>
            <w:shd w:val="clear" w:color="auto" w:fill="auto"/>
          </w:tcPr>
          <w:p w:rsidR="00CC256A" w:rsidRPr="008B53A9" w:rsidRDefault="003F6EA6" w:rsidP="0022028B">
            <w:pPr>
              <w:pStyle w:val="Tabulka"/>
              <w:jc w:val="left"/>
              <w:rPr>
                <w:rFonts w:cs="Calibri"/>
                <w:bCs/>
                <w:lang w:val="cs-CZ" w:eastAsia="cs-CZ"/>
              </w:rPr>
            </w:pPr>
            <w:r w:rsidRPr="008B53A9">
              <w:rPr>
                <w:rFonts w:cs="Calibri"/>
                <w:bCs/>
                <w:u w:val="single"/>
                <w:lang w:val="cs-CZ" w:eastAsia="cs-CZ"/>
              </w:rPr>
              <w:t>Poziční dokument</w:t>
            </w:r>
            <w:r w:rsidRPr="008B53A9">
              <w:rPr>
                <w:rFonts w:cs="Calibri"/>
                <w:bCs/>
                <w:lang w:val="cs-CZ" w:eastAsia="cs-CZ"/>
              </w:rPr>
              <w:t xml:space="preserve">: </w:t>
            </w:r>
            <w:r w:rsidR="00260981" w:rsidRPr="008B53A9">
              <w:rPr>
                <w:rFonts w:cs="Calibri"/>
                <w:bCs/>
                <w:lang w:val="cs-CZ" w:eastAsia="cs-CZ"/>
              </w:rPr>
              <w:t>Podpora dalšího rozvoje distribučních sítí nízkovoltaické elektrické energie, včetně uvedení inteligentních měřičů e</w:t>
            </w:r>
            <w:r w:rsidR="00CC256A" w:rsidRPr="008B53A9">
              <w:rPr>
                <w:rFonts w:cs="Calibri"/>
                <w:bCs/>
                <w:lang w:val="cs-CZ" w:eastAsia="cs-CZ"/>
              </w:rPr>
              <w:t>lektrické energie</w:t>
            </w:r>
          </w:p>
          <w:p w:rsidR="00CC256A" w:rsidRPr="008B53A9" w:rsidRDefault="00CC256A" w:rsidP="0022028B">
            <w:pPr>
              <w:pStyle w:val="Tabulka"/>
              <w:jc w:val="left"/>
              <w:rPr>
                <w:rFonts w:cs="Calibri"/>
                <w:bCs/>
                <w:lang w:val="cs-CZ" w:eastAsia="cs-CZ"/>
              </w:rPr>
            </w:pPr>
            <w:r w:rsidRPr="008B53A9">
              <w:rPr>
                <w:rFonts w:cs="Calibri"/>
                <w:bCs/>
                <w:u w:val="single"/>
                <w:lang w:val="cs-CZ" w:eastAsia="cs-CZ"/>
              </w:rPr>
              <w:t>SMK</w:t>
            </w:r>
            <w:r w:rsidRPr="008B53A9">
              <w:rPr>
                <w:rFonts w:cs="Calibri"/>
                <w:bCs/>
                <w:lang w:val="cs-CZ" w:eastAsia="cs-CZ"/>
              </w:rPr>
              <w:t xml:space="preserve">: </w:t>
            </w:r>
            <w:r w:rsidR="009636EC" w:rsidRPr="008B53A9">
              <w:rPr>
                <w:rFonts w:cs="Calibri"/>
                <w:bCs/>
                <w:lang w:val="cs-CZ" w:eastAsia="cs-CZ"/>
              </w:rPr>
              <w:t xml:space="preserve">Posílení </w:t>
            </w:r>
            <w:r w:rsidR="009636EC" w:rsidRPr="008B53A9">
              <w:rPr>
                <w:rFonts w:cs="Calibri"/>
                <w:lang w:val="cs-CZ" w:eastAsia="cs-CZ"/>
              </w:rPr>
              <w:t>energetické</w:t>
            </w:r>
            <w:r w:rsidR="00F26347" w:rsidRPr="008B53A9">
              <w:rPr>
                <w:rFonts w:cs="Calibri"/>
                <w:lang w:val="cs-CZ" w:eastAsia="cs-CZ"/>
              </w:rPr>
              <w:t xml:space="preserve"> bezpečnosti ČR prostřednictvím</w:t>
            </w:r>
            <w:r w:rsidRPr="008B53A9">
              <w:rPr>
                <w:rFonts w:cs="Calibri"/>
                <w:lang w:val="cs-CZ" w:eastAsia="cs-CZ"/>
              </w:rPr>
              <w:t xml:space="preserve"> posilování energetických sítí</w:t>
            </w:r>
          </w:p>
          <w:p w:rsidR="00066396" w:rsidRPr="008B53A9" w:rsidRDefault="00066396" w:rsidP="00CC256A">
            <w:pPr>
              <w:pStyle w:val="Tabulka"/>
              <w:jc w:val="left"/>
              <w:rPr>
                <w:rFonts w:cs="Calibri"/>
                <w:bCs/>
                <w:lang w:val="cs-CZ" w:eastAsia="cs-CZ"/>
              </w:rPr>
            </w:pPr>
            <w:r w:rsidRPr="008B53A9">
              <w:rPr>
                <w:rFonts w:cs="Calibri"/>
                <w:bCs/>
                <w:u w:val="single"/>
                <w:lang w:val="cs-CZ" w:eastAsia="cs-CZ"/>
              </w:rPr>
              <w:t xml:space="preserve">Aktualizace </w:t>
            </w:r>
            <w:r w:rsidR="00CC256A" w:rsidRPr="008B53A9">
              <w:rPr>
                <w:rFonts w:cs="Calibri"/>
                <w:bCs/>
                <w:u w:val="single"/>
                <w:lang w:val="cs-CZ" w:eastAsia="cs-CZ"/>
              </w:rPr>
              <w:t>SEK</w:t>
            </w:r>
            <w:r w:rsidRPr="008B53A9">
              <w:rPr>
                <w:rFonts w:cs="Calibri"/>
                <w:bCs/>
                <w:lang w:val="cs-CZ" w:eastAsia="cs-CZ"/>
              </w:rPr>
              <w:t>:</w:t>
            </w:r>
            <w:r w:rsidR="003F0D38" w:rsidRPr="008B53A9">
              <w:rPr>
                <w:rFonts w:cs="Calibri"/>
                <w:bCs/>
                <w:lang w:val="cs-CZ" w:eastAsia="cs-CZ"/>
              </w:rPr>
              <w:t xml:space="preserve">  </w:t>
            </w:r>
            <w:r w:rsidR="0007268F" w:rsidRPr="008B53A9">
              <w:rPr>
                <w:rFonts w:cs="Calibri"/>
                <w:bCs/>
                <w:lang w:val="cs-CZ" w:eastAsia="cs-CZ"/>
              </w:rPr>
              <w:t xml:space="preserve">Zajistit obnovu a rozvoj distribučních soustav včetně </w:t>
            </w:r>
            <w:r w:rsidR="00F26347" w:rsidRPr="008B53A9">
              <w:rPr>
                <w:rFonts w:cs="Calibri"/>
                <w:bCs/>
                <w:lang w:val="cs-CZ" w:eastAsia="cs-CZ"/>
              </w:rPr>
              <w:t>nasazení tzv. smart prvků</w:t>
            </w:r>
          </w:p>
          <w:p w:rsidR="00FA6499" w:rsidRPr="008B53A9" w:rsidRDefault="00FA6499" w:rsidP="00CC45C6">
            <w:pPr>
              <w:pStyle w:val="Tabulka"/>
              <w:jc w:val="left"/>
              <w:rPr>
                <w:rFonts w:cs="Calibri"/>
                <w:b/>
                <w:bCs/>
                <w:lang w:val="cs-CZ" w:eastAsia="cs-CZ"/>
              </w:rPr>
            </w:pPr>
            <w:r w:rsidRPr="008B53A9">
              <w:rPr>
                <w:rFonts w:cs="Calibri"/>
                <w:bCs/>
                <w:u w:val="single"/>
                <w:lang w:val="cs-CZ" w:eastAsia="cs-CZ"/>
              </w:rPr>
              <w:t>Dohoda o partnerství:</w:t>
            </w:r>
          </w:p>
          <w:p w:rsidR="00CC45C6" w:rsidRPr="008B53A9" w:rsidRDefault="00CC45C6" w:rsidP="00CC45C6">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Energetická infrastruktura</w:t>
            </w:r>
          </w:p>
          <w:p w:rsidR="00CC45C6" w:rsidRPr="008B53A9" w:rsidRDefault="00CC45C6" w:rsidP="00CC45C6">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w:t>
            </w:r>
            <w:r w:rsidR="00050A91" w:rsidRPr="008B53A9">
              <w:rPr>
                <w:rFonts w:cs="Calibri"/>
                <w:bCs/>
                <w:lang w:val="cs-CZ" w:eastAsia="cs-CZ"/>
              </w:rPr>
              <w:t>Nedostatečná modernost a kapacita distribučních soustav z pohledu připojení distribuovaných (včetně intermitentních) zdrojů energie, dálkové spotřeby, spolehlivosti provozu a akumulace energie</w:t>
            </w:r>
          </w:p>
          <w:p w:rsidR="00CC45C6" w:rsidRPr="008B53A9" w:rsidRDefault="00CC45C6" w:rsidP="00CC45C6">
            <w:pPr>
              <w:pStyle w:val="Tabulka"/>
              <w:jc w:val="left"/>
              <w:rPr>
                <w:rFonts w:cs="Calibri"/>
                <w:lang w:val="cs-CZ" w:eastAsia="cs-CZ"/>
              </w:rPr>
            </w:pPr>
            <w:r w:rsidRPr="008B53A9">
              <w:rPr>
                <w:rFonts w:cs="Calibri"/>
                <w:b/>
                <w:bCs/>
                <w:lang w:val="cs-CZ" w:eastAsia="cs-CZ"/>
              </w:rPr>
              <w:t>Priorita financování:</w:t>
            </w:r>
            <w:r w:rsidRPr="008B53A9">
              <w:rPr>
                <w:szCs w:val="24"/>
                <w:lang w:val="cs-CZ" w:eastAsia="cs-CZ"/>
              </w:rPr>
              <w:t xml:space="preserve"> Udržitelná infrastruktura umožňující konkurenceschopnost ekonomiky a odpovídající obslužnost území</w:t>
            </w:r>
          </w:p>
        </w:tc>
      </w:tr>
      <w:tr w:rsidR="00066396" w:rsidRPr="008B53A9">
        <w:trPr>
          <w:jc w:val="center"/>
        </w:trPr>
        <w:tc>
          <w:tcPr>
            <w:tcW w:w="567" w:type="pct"/>
            <w:vMerge/>
            <w:shd w:val="clear" w:color="auto" w:fill="auto"/>
            <w:vAlign w:val="center"/>
          </w:tcPr>
          <w:p w:rsidR="00066396" w:rsidRPr="008B53A9" w:rsidRDefault="00066396" w:rsidP="0022028B">
            <w:pPr>
              <w:pStyle w:val="Tabulka"/>
              <w:jc w:val="left"/>
              <w:rPr>
                <w:rFonts w:cs="Calibri"/>
                <w:lang w:val="cs-CZ" w:eastAsia="cs-CZ"/>
              </w:rPr>
            </w:pPr>
          </w:p>
        </w:tc>
        <w:tc>
          <w:tcPr>
            <w:tcW w:w="1441" w:type="pct"/>
            <w:shd w:val="clear" w:color="auto" w:fill="DBE5F1"/>
            <w:vAlign w:val="center"/>
          </w:tcPr>
          <w:p w:rsidR="00066396" w:rsidRPr="008B53A9" w:rsidRDefault="00B54D2B" w:rsidP="0022028B">
            <w:pPr>
              <w:pStyle w:val="Tabulka"/>
              <w:jc w:val="left"/>
              <w:rPr>
                <w:rFonts w:cs="Calibri"/>
                <w:lang w:val="cs-CZ" w:eastAsia="cs-CZ"/>
              </w:rPr>
            </w:pPr>
            <w:r w:rsidRPr="008B53A9">
              <w:rPr>
                <w:rFonts w:cs="Calibri"/>
                <w:lang w:val="cs-CZ" w:eastAsia="cs-CZ"/>
              </w:rPr>
              <w:t xml:space="preserve">4 f) </w:t>
            </w:r>
            <w:r w:rsidR="002641C7" w:rsidRPr="008B53A9">
              <w:rPr>
                <w:rFonts w:cs="Calibri"/>
                <w:lang w:val="cs-CZ" w:eastAsia="cs-CZ"/>
              </w:rPr>
              <w:t>Podpora výzkumu a inovací a zavádění nízkouhlíkových technologií</w:t>
            </w:r>
          </w:p>
          <w:p w:rsidR="00066396" w:rsidRPr="008B53A9" w:rsidRDefault="00066396" w:rsidP="0022028B">
            <w:pPr>
              <w:pStyle w:val="Tabulka"/>
              <w:jc w:val="left"/>
              <w:rPr>
                <w:rFonts w:cs="Calibri"/>
                <w:lang w:val="cs-CZ" w:eastAsia="cs-CZ"/>
              </w:rPr>
            </w:pPr>
          </w:p>
        </w:tc>
        <w:tc>
          <w:tcPr>
            <w:tcW w:w="2992" w:type="pct"/>
            <w:shd w:val="clear" w:color="auto" w:fill="auto"/>
          </w:tcPr>
          <w:p w:rsidR="00BA292F" w:rsidRPr="008B53A9" w:rsidRDefault="00511660" w:rsidP="0022028B">
            <w:pPr>
              <w:pStyle w:val="Tabulka"/>
              <w:jc w:val="left"/>
              <w:rPr>
                <w:rFonts w:cs="Calibri"/>
                <w:lang w:val="cs-CZ" w:eastAsia="cs-CZ"/>
              </w:rPr>
            </w:pPr>
            <w:r w:rsidRPr="008B53A9">
              <w:rPr>
                <w:rFonts w:cs="Calibri"/>
                <w:bCs/>
                <w:u w:val="single"/>
                <w:lang w:val="cs-CZ" w:eastAsia="cs-CZ"/>
              </w:rPr>
              <w:t>N</w:t>
            </w:r>
            <w:r w:rsidR="00BA292F" w:rsidRPr="008B53A9">
              <w:rPr>
                <w:rFonts w:cs="Calibri"/>
                <w:bCs/>
                <w:u w:val="single"/>
                <w:lang w:val="cs-CZ" w:eastAsia="cs-CZ"/>
              </w:rPr>
              <w:t>PR</w:t>
            </w:r>
            <w:r w:rsidRPr="008B53A9">
              <w:rPr>
                <w:rFonts w:cs="Calibri"/>
                <w:bCs/>
                <w:u w:val="single"/>
                <w:lang w:val="cs-CZ" w:eastAsia="cs-CZ"/>
              </w:rPr>
              <w:t xml:space="preserve"> 201</w:t>
            </w:r>
            <w:r w:rsidR="00C12521" w:rsidRPr="008B53A9">
              <w:rPr>
                <w:rFonts w:cs="Calibri"/>
                <w:bCs/>
                <w:u w:val="single"/>
                <w:lang w:val="cs-CZ" w:eastAsia="cs-CZ"/>
              </w:rPr>
              <w:t>4</w:t>
            </w:r>
            <w:r w:rsidRPr="008B53A9">
              <w:rPr>
                <w:rFonts w:cs="Calibri"/>
                <w:bCs/>
                <w:lang w:val="cs-CZ" w:eastAsia="cs-CZ"/>
              </w:rPr>
              <w:t>:</w:t>
            </w:r>
            <w:r w:rsidR="008C3E51" w:rsidRPr="008B53A9">
              <w:rPr>
                <w:rFonts w:cs="Calibri"/>
                <w:lang w:val="cs-CZ" w:eastAsia="cs-CZ"/>
              </w:rPr>
              <w:t xml:space="preserve"> </w:t>
            </w:r>
            <w:r w:rsidR="00C12521" w:rsidRPr="008B53A9">
              <w:rPr>
                <w:rFonts w:cs="Calibri"/>
                <w:lang w:val="cs-CZ" w:eastAsia="cs-CZ"/>
              </w:rPr>
              <w:t>Podpora technologií umožňujících efektivní využívání druhotných surovin</w:t>
            </w:r>
          </w:p>
          <w:p w:rsidR="00066396" w:rsidRPr="008B53A9" w:rsidRDefault="00066396" w:rsidP="0022028B">
            <w:pPr>
              <w:pStyle w:val="Tabulka"/>
              <w:jc w:val="left"/>
              <w:rPr>
                <w:rFonts w:cs="Calibri"/>
                <w:bCs/>
                <w:lang w:val="cs-CZ" w:eastAsia="cs-CZ"/>
              </w:rPr>
            </w:pPr>
            <w:r w:rsidRPr="008B53A9">
              <w:rPr>
                <w:rFonts w:cs="Calibri"/>
                <w:bCs/>
                <w:u w:val="single"/>
                <w:lang w:val="cs-CZ" w:eastAsia="cs-CZ"/>
              </w:rPr>
              <w:t xml:space="preserve">Koncepce podpory </w:t>
            </w:r>
            <w:r w:rsidR="00BA292F" w:rsidRPr="008B53A9">
              <w:rPr>
                <w:rFonts w:cs="Calibri"/>
                <w:bCs/>
                <w:u w:val="single"/>
                <w:lang w:val="cs-CZ" w:eastAsia="cs-CZ"/>
              </w:rPr>
              <w:t>MSP</w:t>
            </w:r>
            <w:r w:rsidRPr="008B53A9">
              <w:rPr>
                <w:rFonts w:cs="Calibri"/>
                <w:bCs/>
                <w:lang w:val="cs-CZ" w:eastAsia="cs-CZ"/>
              </w:rPr>
              <w:t xml:space="preserve">: </w:t>
            </w:r>
            <w:r w:rsidR="00BA292F" w:rsidRPr="008B53A9">
              <w:rPr>
                <w:rFonts w:cs="Calibri"/>
                <w:bCs/>
                <w:lang w:val="cs-CZ" w:eastAsia="cs-CZ"/>
              </w:rPr>
              <w:t>Z</w:t>
            </w:r>
            <w:r w:rsidR="00B33473" w:rsidRPr="008B53A9">
              <w:rPr>
                <w:rFonts w:cs="Calibri"/>
                <w:bCs/>
                <w:lang w:val="cs-CZ" w:eastAsia="cs-CZ"/>
              </w:rPr>
              <w:t>avádění inovací v hledán</w:t>
            </w:r>
            <w:r w:rsidR="00BA292F" w:rsidRPr="008B53A9">
              <w:rPr>
                <w:rFonts w:cs="Calibri"/>
                <w:bCs/>
                <w:lang w:val="cs-CZ" w:eastAsia="cs-CZ"/>
              </w:rPr>
              <w:t>í nových alternativních zdrojů,</w:t>
            </w:r>
            <w:r w:rsidR="00B33473" w:rsidRPr="008B53A9">
              <w:rPr>
                <w:rFonts w:cs="Calibri"/>
                <w:bCs/>
                <w:lang w:val="cs-CZ" w:eastAsia="cs-CZ"/>
              </w:rPr>
              <w:t xml:space="preserve"> v oblasti úspor energie a vyšší</w:t>
            </w:r>
            <w:r w:rsidR="00BA292F" w:rsidRPr="008B53A9">
              <w:rPr>
                <w:rFonts w:cs="Calibri"/>
                <w:bCs/>
                <w:lang w:val="cs-CZ" w:eastAsia="cs-CZ"/>
              </w:rPr>
              <w:t>ho využívání druhotných surovin</w:t>
            </w:r>
          </w:p>
          <w:p w:rsidR="002356D6" w:rsidRPr="008B53A9" w:rsidRDefault="002356D6" w:rsidP="0022028B">
            <w:pPr>
              <w:pStyle w:val="Tabulka"/>
              <w:jc w:val="left"/>
              <w:rPr>
                <w:rFonts w:cs="Calibri"/>
                <w:bCs/>
                <w:lang w:val="cs-CZ" w:eastAsia="cs-CZ"/>
              </w:rPr>
            </w:pPr>
            <w:r w:rsidRPr="008B53A9">
              <w:rPr>
                <w:rFonts w:cs="Calibri"/>
                <w:bCs/>
                <w:u w:val="single"/>
                <w:lang w:val="cs-CZ" w:eastAsia="cs-CZ"/>
              </w:rPr>
              <w:t>Politika druhotných surovin ČR</w:t>
            </w:r>
            <w:r w:rsidRPr="008B53A9">
              <w:rPr>
                <w:rFonts w:cs="Calibri"/>
                <w:bCs/>
                <w:lang w:val="cs-CZ" w:eastAsia="cs-CZ"/>
              </w:rPr>
              <w:t>: Podpořit inovace zabezpečující získávání druhotných surovin v kvalitě vhodné pro další využití v průmyslu a podpořit využívání druhotných surovin jako nástroje pro snižování energetické a materiálové náročnosti průmyslové výroby</w:t>
            </w:r>
          </w:p>
          <w:p w:rsidR="00CC45C6" w:rsidRPr="008B53A9" w:rsidRDefault="00CC45C6" w:rsidP="00CC45C6">
            <w:pPr>
              <w:pStyle w:val="Tabulka"/>
              <w:jc w:val="left"/>
              <w:rPr>
                <w:rFonts w:cs="Calibri"/>
                <w:bCs/>
                <w:u w:val="single"/>
                <w:lang w:val="cs-CZ" w:eastAsia="cs-CZ"/>
              </w:rPr>
            </w:pPr>
            <w:r w:rsidRPr="008B53A9">
              <w:rPr>
                <w:rFonts w:cs="Calibri"/>
                <w:bCs/>
                <w:u w:val="single"/>
                <w:lang w:val="cs-CZ" w:eastAsia="cs-CZ"/>
              </w:rPr>
              <w:t>Dohoda o partnerství:</w:t>
            </w:r>
          </w:p>
          <w:p w:rsidR="00CC45C6" w:rsidRPr="008B53A9" w:rsidRDefault="00CC45C6" w:rsidP="00CC45C6">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Konkurenceschopné podniky a částečně Ochrana životního prostředí</w:t>
            </w:r>
          </w:p>
          <w:p w:rsidR="00CC45C6" w:rsidRPr="008B53A9" w:rsidRDefault="00CC45C6" w:rsidP="00CC45C6">
            <w:pPr>
              <w:pStyle w:val="Tabulka"/>
              <w:jc w:val="left"/>
              <w:rPr>
                <w:rFonts w:cs="Calibri"/>
                <w:bCs/>
                <w:lang w:val="cs-CZ" w:eastAsia="cs-CZ"/>
              </w:rPr>
            </w:pPr>
            <w:r w:rsidRPr="008B53A9">
              <w:rPr>
                <w:rFonts w:cs="Calibri"/>
                <w:b/>
                <w:bCs/>
                <w:lang w:val="cs-CZ" w:eastAsia="cs-CZ"/>
              </w:rPr>
              <w:lastRenderedPageBreak/>
              <w:t>Identifikované problémy relevantní pro OP PIK:</w:t>
            </w:r>
            <w:r w:rsidRPr="008B53A9">
              <w:rPr>
                <w:rFonts w:cs="Calibri"/>
                <w:bCs/>
                <w:lang w:val="cs-CZ" w:eastAsia="cs-CZ"/>
              </w:rPr>
              <w:t xml:space="preserve"> Vysoká energetická a surovinová náročnost hospodářství a rostoucí ceny energií</w:t>
            </w:r>
          </w:p>
          <w:p w:rsidR="00CC45C6" w:rsidRPr="008B53A9" w:rsidRDefault="00CC45C6" w:rsidP="00CC45C6">
            <w:pPr>
              <w:pStyle w:val="Tabulka"/>
              <w:jc w:val="left"/>
              <w:rPr>
                <w:rFonts w:cs="Calibri"/>
                <w:color w:val="000000"/>
                <w:lang w:val="cs-CZ" w:eastAsia="cs-CZ"/>
              </w:rPr>
            </w:pPr>
            <w:r w:rsidRPr="008B53A9">
              <w:rPr>
                <w:rFonts w:cs="Calibri"/>
                <w:b/>
                <w:bCs/>
                <w:lang w:val="cs-CZ" w:eastAsia="cs-CZ"/>
              </w:rPr>
              <w:t xml:space="preserve">Priorita financování: </w:t>
            </w:r>
            <w:r w:rsidRPr="008B53A9">
              <w:rPr>
                <w:szCs w:val="24"/>
                <w:lang w:val="cs-CZ" w:eastAsia="cs-CZ"/>
              </w:rPr>
              <w:t>Podniky využívající výsledků VaV, konkurenceschopné na globálním trhu a přispívající k nízkouhlíkovému hospodářství, Udržitelná infrastruktura umožňující konkurenceschopnost ekonomiky, Ochrana životního prostředí a krajiny a přizpůsobení se změně klimatu</w:t>
            </w:r>
          </w:p>
        </w:tc>
      </w:tr>
      <w:tr w:rsidR="00066396" w:rsidRPr="008B53A9">
        <w:trPr>
          <w:jc w:val="center"/>
        </w:trPr>
        <w:tc>
          <w:tcPr>
            <w:tcW w:w="567" w:type="pct"/>
            <w:vMerge/>
            <w:shd w:val="clear" w:color="auto" w:fill="auto"/>
            <w:vAlign w:val="center"/>
          </w:tcPr>
          <w:p w:rsidR="00066396" w:rsidRPr="008B53A9" w:rsidRDefault="00066396" w:rsidP="0022028B">
            <w:pPr>
              <w:pStyle w:val="Tabulka"/>
              <w:jc w:val="left"/>
              <w:rPr>
                <w:rFonts w:cs="Calibri"/>
                <w:lang w:val="cs-CZ" w:eastAsia="cs-CZ"/>
              </w:rPr>
            </w:pPr>
          </w:p>
        </w:tc>
        <w:tc>
          <w:tcPr>
            <w:tcW w:w="1441" w:type="pct"/>
            <w:shd w:val="clear" w:color="auto" w:fill="DBE5F1"/>
            <w:vAlign w:val="center"/>
          </w:tcPr>
          <w:p w:rsidR="00066396" w:rsidRPr="008B53A9" w:rsidRDefault="00B54D2B" w:rsidP="0022028B">
            <w:pPr>
              <w:pStyle w:val="Tabulka"/>
              <w:jc w:val="left"/>
              <w:rPr>
                <w:rFonts w:cs="Calibri"/>
                <w:lang w:val="cs-CZ" w:eastAsia="cs-CZ"/>
              </w:rPr>
            </w:pPr>
            <w:r w:rsidRPr="008B53A9">
              <w:rPr>
                <w:rFonts w:cs="Calibri"/>
                <w:lang w:val="cs-CZ" w:eastAsia="cs-CZ"/>
              </w:rPr>
              <w:t xml:space="preserve">4 g) </w:t>
            </w:r>
            <w:r w:rsidR="00066396" w:rsidRPr="008B53A9">
              <w:rPr>
                <w:rFonts w:cs="Calibri"/>
                <w:lang w:val="cs-CZ" w:eastAsia="cs-CZ"/>
              </w:rPr>
              <w:t>Podpora využívání vysoce účinné kombinované výroby tepla a elektřiny na základě poptávky po užitečném teple</w:t>
            </w:r>
          </w:p>
          <w:p w:rsidR="00066396" w:rsidRPr="008B53A9" w:rsidRDefault="00066396" w:rsidP="0022028B">
            <w:pPr>
              <w:pStyle w:val="Tabulka"/>
              <w:jc w:val="left"/>
              <w:rPr>
                <w:rFonts w:cs="Calibri"/>
                <w:lang w:val="cs-CZ" w:eastAsia="cs-CZ"/>
              </w:rPr>
            </w:pPr>
          </w:p>
        </w:tc>
        <w:tc>
          <w:tcPr>
            <w:tcW w:w="2992" w:type="pct"/>
            <w:shd w:val="clear" w:color="auto" w:fill="auto"/>
          </w:tcPr>
          <w:p w:rsidR="003F6EA6" w:rsidRPr="008B53A9" w:rsidRDefault="003F6EA6" w:rsidP="0022028B">
            <w:pPr>
              <w:pStyle w:val="Tabulka"/>
              <w:jc w:val="left"/>
              <w:rPr>
                <w:rFonts w:cs="Calibri"/>
                <w:bCs/>
                <w:lang w:val="cs-CZ" w:eastAsia="cs-CZ"/>
              </w:rPr>
            </w:pPr>
            <w:r w:rsidRPr="008B53A9">
              <w:rPr>
                <w:rFonts w:cs="Calibri"/>
                <w:bCs/>
                <w:u w:val="single"/>
                <w:lang w:val="cs-CZ" w:eastAsia="cs-CZ"/>
              </w:rPr>
              <w:t>Poziční dokument</w:t>
            </w:r>
            <w:r w:rsidRPr="008B53A9">
              <w:rPr>
                <w:rFonts w:cs="Calibri"/>
                <w:bCs/>
                <w:lang w:val="cs-CZ" w:eastAsia="cs-CZ"/>
              </w:rPr>
              <w:t xml:space="preserve">: </w:t>
            </w:r>
            <w:r w:rsidR="00FB134C" w:rsidRPr="008B53A9">
              <w:rPr>
                <w:rFonts w:cs="Calibri"/>
                <w:bCs/>
                <w:lang w:val="cs-CZ" w:eastAsia="cs-CZ"/>
              </w:rPr>
              <w:t>Zlepšení</w:t>
            </w:r>
            <w:r w:rsidR="00A1474A" w:rsidRPr="008B53A9">
              <w:rPr>
                <w:rFonts w:cs="Calibri"/>
                <w:bCs/>
                <w:lang w:val="cs-CZ" w:eastAsia="cs-CZ"/>
              </w:rPr>
              <w:t xml:space="preserve"> účinnosti místních zařízení pro dálkové vytápění a z</w:t>
            </w:r>
            <w:r w:rsidR="00260981" w:rsidRPr="008B53A9">
              <w:rPr>
                <w:rFonts w:cs="Calibri"/>
                <w:bCs/>
                <w:lang w:val="cs-CZ" w:eastAsia="cs-CZ"/>
              </w:rPr>
              <w:t>výšení účinnos</w:t>
            </w:r>
            <w:r w:rsidR="00FB134C" w:rsidRPr="008B53A9">
              <w:rPr>
                <w:rFonts w:cs="Calibri"/>
                <w:bCs/>
                <w:lang w:val="cs-CZ" w:eastAsia="cs-CZ"/>
              </w:rPr>
              <w:t>ti distribučních tepelných sítí</w:t>
            </w:r>
          </w:p>
          <w:p w:rsidR="00066396" w:rsidRPr="008B53A9" w:rsidRDefault="00066396" w:rsidP="0022028B">
            <w:pPr>
              <w:pStyle w:val="Tabulka"/>
              <w:jc w:val="left"/>
              <w:rPr>
                <w:rFonts w:cs="Calibri"/>
                <w:bCs/>
                <w:lang w:val="cs-CZ" w:eastAsia="cs-CZ"/>
              </w:rPr>
            </w:pPr>
            <w:r w:rsidRPr="008B53A9">
              <w:rPr>
                <w:rFonts w:cs="Calibri"/>
                <w:bCs/>
                <w:u w:val="single"/>
                <w:lang w:val="cs-CZ" w:eastAsia="cs-CZ"/>
              </w:rPr>
              <w:t xml:space="preserve">Koncepce podpory </w:t>
            </w:r>
            <w:r w:rsidR="00FB134C" w:rsidRPr="008B53A9">
              <w:rPr>
                <w:rFonts w:cs="Calibri"/>
                <w:bCs/>
                <w:u w:val="single"/>
                <w:lang w:val="cs-CZ" w:eastAsia="cs-CZ"/>
              </w:rPr>
              <w:t>MSP</w:t>
            </w:r>
            <w:r w:rsidRPr="008B53A9">
              <w:rPr>
                <w:rFonts w:cs="Calibri"/>
                <w:bCs/>
                <w:lang w:val="cs-CZ" w:eastAsia="cs-CZ"/>
              </w:rPr>
              <w:t xml:space="preserve">: </w:t>
            </w:r>
            <w:r w:rsidR="00D93658" w:rsidRPr="008B53A9">
              <w:rPr>
                <w:rFonts w:cs="Calibri"/>
                <w:bCs/>
                <w:lang w:val="cs-CZ" w:eastAsia="cs-CZ"/>
              </w:rPr>
              <w:t>Z</w:t>
            </w:r>
            <w:r w:rsidR="00B33473" w:rsidRPr="008B53A9">
              <w:rPr>
                <w:rFonts w:cs="Calibri"/>
                <w:bCs/>
                <w:lang w:val="cs-CZ" w:eastAsia="cs-CZ"/>
              </w:rPr>
              <w:t>vyšování energetické účinnosti zaváděním kombinované výroby elektřiny a tepla</w:t>
            </w:r>
            <w:r w:rsidR="00D93658" w:rsidRPr="008B53A9">
              <w:rPr>
                <w:rFonts w:cs="Calibri"/>
                <w:bCs/>
                <w:lang w:val="cs-CZ" w:eastAsia="cs-CZ"/>
              </w:rPr>
              <w:t>;</w:t>
            </w:r>
            <w:r w:rsidR="00B33473" w:rsidRPr="008B53A9">
              <w:rPr>
                <w:rFonts w:cs="Calibri"/>
                <w:bCs/>
                <w:lang w:val="cs-CZ" w:eastAsia="cs-CZ"/>
              </w:rPr>
              <w:t xml:space="preserve"> </w:t>
            </w:r>
            <w:r w:rsidR="00D846F4" w:rsidRPr="008B53A9">
              <w:rPr>
                <w:rFonts w:cs="Calibri"/>
                <w:bCs/>
                <w:lang w:val="cs-CZ" w:eastAsia="cs-CZ"/>
              </w:rPr>
              <w:t>modernizace, rekonstrukce a sn</w:t>
            </w:r>
            <w:r w:rsidR="00D93658" w:rsidRPr="008B53A9">
              <w:rPr>
                <w:rFonts w:cs="Calibri"/>
                <w:bCs/>
                <w:lang w:val="cs-CZ" w:eastAsia="cs-CZ"/>
              </w:rPr>
              <w:t>ižování ztrát v rozvodech tepla</w:t>
            </w:r>
          </w:p>
          <w:p w:rsidR="00066396" w:rsidRPr="008B53A9" w:rsidRDefault="00066396" w:rsidP="00FB134C">
            <w:pPr>
              <w:pStyle w:val="Tabulka"/>
              <w:jc w:val="left"/>
              <w:rPr>
                <w:rFonts w:cs="Calibri"/>
                <w:bCs/>
                <w:lang w:val="cs-CZ" w:eastAsia="cs-CZ"/>
              </w:rPr>
            </w:pPr>
            <w:r w:rsidRPr="008B53A9">
              <w:rPr>
                <w:rFonts w:cs="Calibri"/>
                <w:bCs/>
                <w:u w:val="single"/>
                <w:lang w:val="cs-CZ" w:eastAsia="cs-CZ"/>
              </w:rPr>
              <w:t xml:space="preserve">Aktualizace </w:t>
            </w:r>
            <w:r w:rsidR="00FB134C" w:rsidRPr="008B53A9">
              <w:rPr>
                <w:rFonts w:cs="Calibri"/>
                <w:bCs/>
                <w:u w:val="single"/>
                <w:lang w:val="cs-CZ" w:eastAsia="cs-CZ"/>
              </w:rPr>
              <w:t>SEK</w:t>
            </w:r>
            <w:r w:rsidRPr="008B53A9">
              <w:rPr>
                <w:rFonts w:cs="Calibri"/>
                <w:bCs/>
                <w:lang w:val="cs-CZ" w:eastAsia="cs-CZ"/>
              </w:rPr>
              <w:t>:</w:t>
            </w:r>
            <w:r w:rsidR="006A7841" w:rsidRPr="008B53A9">
              <w:rPr>
                <w:rFonts w:cs="Calibri"/>
                <w:bCs/>
                <w:lang w:val="cs-CZ" w:eastAsia="cs-CZ"/>
              </w:rPr>
              <w:t xml:space="preserve"> </w:t>
            </w:r>
            <w:r w:rsidR="00852093" w:rsidRPr="008B53A9">
              <w:rPr>
                <w:rFonts w:cs="Calibri"/>
                <w:bCs/>
                <w:lang w:val="cs-CZ" w:eastAsia="cs-CZ"/>
              </w:rPr>
              <w:t>Dlouhodobě udržet rozsah soustav zásobování teplem</w:t>
            </w:r>
            <w:r w:rsidR="00FB134C" w:rsidRPr="008B53A9">
              <w:rPr>
                <w:rFonts w:cs="Calibri"/>
                <w:bCs/>
                <w:lang w:val="cs-CZ" w:eastAsia="cs-CZ"/>
              </w:rPr>
              <w:t>; p</w:t>
            </w:r>
            <w:r w:rsidR="00852093" w:rsidRPr="008B53A9">
              <w:rPr>
                <w:rFonts w:cs="Calibri"/>
                <w:bCs/>
                <w:lang w:val="cs-CZ" w:eastAsia="cs-CZ"/>
              </w:rPr>
              <w:t xml:space="preserve">odporovat vysoce účinnou kogenerační výrobu </w:t>
            </w:r>
            <w:r w:rsidR="006A7841" w:rsidRPr="008B53A9">
              <w:rPr>
                <w:rFonts w:cs="Calibri"/>
                <w:bCs/>
                <w:lang w:val="cs-CZ" w:eastAsia="cs-CZ"/>
              </w:rPr>
              <w:t>s efektivním využitím tepelných čerpadel a související sn</w:t>
            </w:r>
            <w:r w:rsidR="00FB134C" w:rsidRPr="008B53A9">
              <w:rPr>
                <w:rFonts w:cs="Calibri"/>
                <w:bCs/>
                <w:lang w:val="cs-CZ" w:eastAsia="cs-CZ"/>
              </w:rPr>
              <w:t>ížení ztrát v distribuci tepla</w:t>
            </w:r>
          </w:p>
          <w:p w:rsidR="00CC45C6" w:rsidRPr="008B53A9" w:rsidRDefault="00CC45C6" w:rsidP="00CC45C6">
            <w:pPr>
              <w:pStyle w:val="Tabulka"/>
              <w:jc w:val="left"/>
              <w:rPr>
                <w:rFonts w:cs="Calibri"/>
                <w:bCs/>
                <w:u w:val="single"/>
                <w:lang w:val="cs-CZ" w:eastAsia="cs-CZ"/>
              </w:rPr>
            </w:pPr>
            <w:r w:rsidRPr="008B53A9">
              <w:rPr>
                <w:rFonts w:cs="Calibri"/>
                <w:bCs/>
                <w:u w:val="single"/>
                <w:lang w:val="cs-CZ" w:eastAsia="cs-CZ"/>
              </w:rPr>
              <w:t>Dohoda o partnerství:</w:t>
            </w:r>
          </w:p>
          <w:p w:rsidR="00CC45C6" w:rsidRPr="008B53A9" w:rsidRDefault="00CC45C6" w:rsidP="00CC45C6">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Energetická infrastruktura</w:t>
            </w:r>
          </w:p>
          <w:p w:rsidR="00CC45C6" w:rsidRPr="008B53A9" w:rsidRDefault="00CC45C6" w:rsidP="00CC45C6">
            <w:pPr>
              <w:pStyle w:val="Tabulka"/>
              <w:jc w:val="left"/>
              <w:rPr>
                <w:rFonts w:cs="Calibri"/>
                <w:bCs/>
                <w:lang w:val="cs-CZ" w:eastAsia="cs-CZ"/>
              </w:rPr>
            </w:pPr>
            <w:r w:rsidRPr="008B53A9">
              <w:rPr>
                <w:rFonts w:cs="Calibri"/>
                <w:b/>
                <w:bCs/>
                <w:lang w:val="cs-CZ" w:eastAsia="cs-CZ"/>
              </w:rPr>
              <w:t>Identifikované problémy relevantní pro OP PIK:</w:t>
            </w:r>
            <w:r w:rsidRPr="008B53A9">
              <w:rPr>
                <w:rFonts w:cs="Calibri"/>
                <w:bCs/>
                <w:lang w:val="cs-CZ" w:eastAsia="cs-CZ"/>
              </w:rPr>
              <w:t xml:space="preserve"> Vysoký podíl ztrát tepelné energie v tepelných rozvodných zařízeních a nevyužitý potenciál kombinované výroby elektřiny a tepla</w:t>
            </w:r>
          </w:p>
          <w:p w:rsidR="00CC45C6" w:rsidRPr="008B53A9" w:rsidRDefault="00CC45C6" w:rsidP="00CC45C6">
            <w:pPr>
              <w:pStyle w:val="Tabulka"/>
              <w:jc w:val="left"/>
              <w:rPr>
                <w:rFonts w:cs="Calibri"/>
                <w:color w:val="000000"/>
                <w:lang w:val="cs-CZ" w:eastAsia="cs-CZ"/>
              </w:rPr>
            </w:pPr>
            <w:r w:rsidRPr="008B53A9">
              <w:rPr>
                <w:rFonts w:cs="Calibri"/>
                <w:b/>
                <w:bCs/>
                <w:lang w:val="cs-CZ" w:eastAsia="cs-CZ"/>
              </w:rPr>
              <w:t>Priorita financování:</w:t>
            </w:r>
            <w:r w:rsidRPr="008B53A9">
              <w:rPr>
                <w:szCs w:val="24"/>
                <w:lang w:val="cs-CZ" w:eastAsia="cs-CZ"/>
              </w:rPr>
              <w:t xml:space="preserve"> Udržitelná infrastruktura umožňující konkurenceschopnost ekonomiky a odpovídající obslužnost území</w:t>
            </w:r>
          </w:p>
        </w:tc>
      </w:tr>
      <w:tr w:rsidR="00DB5E8B" w:rsidRPr="008B53A9">
        <w:trPr>
          <w:jc w:val="center"/>
        </w:trPr>
        <w:tc>
          <w:tcPr>
            <w:tcW w:w="567" w:type="pct"/>
            <w:shd w:val="clear" w:color="auto" w:fill="B8CCE4"/>
            <w:vAlign w:val="center"/>
          </w:tcPr>
          <w:p w:rsidR="00DB5E8B" w:rsidRPr="008B53A9" w:rsidRDefault="00DB5E8B" w:rsidP="0022028B">
            <w:pPr>
              <w:pStyle w:val="Tabulka"/>
              <w:jc w:val="left"/>
              <w:rPr>
                <w:rFonts w:cs="Calibri"/>
                <w:lang w:val="cs-CZ" w:eastAsia="cs-CZ"/>
              </w:rPr>
            </w:pPr>
            <w:r w:rsidRPr="008B53A9">
              <w:rPr>
                <w:rFonts w:cs="Calibri"/>
                <w:lang w:val="cs-CZ" w:eastAsia="cs-CZ"/>
              </w:rPr>
              <w:t>7</w:t>
            </w:r>
            <w:r w:rsidR="00CC5E04" w:rsidRPr="008B53A9">
              <w:rPr>
                <w:rFonts w:cs="Calibri"/>
                <w:lang w:val="cs-CZ" w:eastAsia="cs-CZ"/>
              </w:rPr>
              <w:t>)</w:t>
            </w:r>
            <w:r w:rsidRPr="008B53A9">
              <w:rPr>
                <w:rFonts w:cs="Calibri"/>
                <w:lang w:val="cs-CZ" w:eastAsia="cs-CZ"/>
              </w:rPr>
              <w:t xml:space="preserve"> Podpora udržitelné dopravy a odstraňování překážek v klíčových síťových infrastrukturách</w:t>
            </w:r>
          </w:p>
        </w:tc>
        <w:tc>
          <w:tcPr>
            <w:tcW w:w="1441" w:type="pct"/>
            <w:shd w:val="clear" w:color="auto" w:fill="DBE5F1"/>
            <w:vAlign w:val="center"/>
          </w:tcPr>
          <w:p w:rsidR="00DB5E8B" w:rsidRPr="008B53A9" w:rsidRDefault="00B54D2B" w:rsidP="0022028B">
            <w:pPr>
              <w:pStyle w:val="Tabulka"/>
              <w:jc w:val="left"/>
              <w:rPr>
                <w:rFonts w:cs="Calibri"/>
                <w:lang w:val="cs-CZ" w:eastAsia="cs-CZ"/>
              </w:rPr>
            </w:pPr>
            <w:r w:rsidRPr="008B53A9">
              <w:rPr>
                <w:rFonts w:cs="Calibri"/>
                <w:lang w:val="cs-CZ" w:eastAsia="cs-CZ"/>
              </w:rPr>
              <w:t xml:space="preserve">7 e) </w:t>
            </w:r>
            <w:r w:rsidR="00DB5E8B" w:rsidRPr="008B53A9">
              <w:rPr>
                <w:rFonts w:cs="Calibri"/>
                <w:lang w:val="cs-CZ" w:eastAsia="cs-CZ"/>
              </w:rPr>
              <w:t>Zvyšování energetické účinnosti a zabezpečení dodávek prostřednictvím rozvoje inteligentních systémů pro distribuci, skladování a přenos energie a prostřednictvím integrace distribuované výroby z obnovitelných zdrojů</w:t>
            </w:r>
          </w:p>
        </w:tc>
        <w:tc>
          <w:tcPr>
            <w:tcW w:w="2992" w:type="pct"/>
            <w:shd w:val="clear" w:color="auto" w:fill="auto"/>
          </w:tcPr>
          <w:p w:rsidR="00DB5E8B" w:rsidRPr="008B53A9" w:rsidRDefault="00DB5E8B" w:rsidP="00DB5E8B">
            <w:pPr>
              <w:pStyle w:val="Tabulka"/>
              <w:jc w:val="left"/>
              <w:rPr>
                <w:rFonts w:cs="Calibri"/>
                <w:bCs/>
                <w:lang w:val="cs-CZ" w:eastAsia="cs-CZ"/>
              </w:rPr>
            </w:pPr>
            <w:r w:rsidRPr="008B53A9">
              <w:rPr>
                <w:rFonts w:cs="Calibri"/>
                <w:bCs/>
                <w:u w:val="single"/>
                <w:lang w:val="cs-CZ" w:eastAsia="cs-CZ"/>
              </w:rPr>
              <w:t>NPR 201</w:t>
            </w:r>
            <w:r w:rsidR="00C12521" w:rsidRPr="008B53A9">
              <w:rPr>
                <w:rFonts w:cs="Calibri"/>
                <w:bCs/>
                <w:u w:val="single"/>
                <w:lang w:val="cs-CZ" w:eastAsia="cs-CZ"/>
              </w:rPr>
              <w:t>4</w:t>
            </w:r>
            <w:r w:rsidRPr="008B53A9">
              <w:rPr>
                <w:rFonts w:cs="Calibri"/>
                <w:bCs/>
                <w:lang w:val="cs-CZ" w:eastAsia="cs-CZ"/>
              </w:rPr>
              <w:t>:</w:t>
            </w:r>
            <w:r w:rsidRPr="008B53A9">
              <w:rPr>
                <w:rFonts w:cs="Calibri"/>
                <w:lang w:val="cs-CZ" w:eastAsia="cs-CZ"/>
              </w:rPr>
              <w:t xml:space="preserve"> </w:t>
            </w:r>
            <w:r w:rsidR="00050A91" w:rsidRPr="008B53A9">
              <w:rPr>
                <w:rFonts w:cs="Calibri"/>
                <w:lang w:val="cs-CZ" w:eastAsia="cs-CZ"/>
              </w:rPr>
              <w:t>Posílení kapacity přenosových sítí</w:t>
            </w:r>
          </w:p>
          <w:p w:rsidR="00DB5E8B" w:rsidRPr="008B53A9" w:rsidRDefault="00DB5E8B" w:rsidP="00DB5E8B">
            <w:pPr>
              <w:pStyle w:val="Tabulka"/>
              <w:jc w:val="left"/>
              <w:rPr>
                <w:rFonts w:cs="Calibri"/>
                <w:lang w:val="cs-CZ" w:eastAsia="cs-CZ"/>
              </w:rPr>
            </w:pPr>
            <w:r w:rsidRPr="008B53A9">
              <w:rPr>
                <w:rFonts w:cs="Calibri"/>
                <w:bCs/>
                <w:u w:val="single"/>
                <w:lang w:val="cs-CZ" w:eastAsia="cs-CZ"/>
              </w:rPr>
              <w:t>SMK</w:t>
            </w:r>
            <w:r w:rsidRPr="008B53A9">
              <w:rPr>
                <w:rFonts w:cs="Calibri"/>
                <w:bCs/>
                <w:lang w:val="cs-CZ" w:eastAsia="cs-CZ"/>
              </w:rPr>
              <w:t xml:space="preserve">: Posílení </w:t>
            </w:r>
            <w:r w:rsidRPr="008B53A9">
              <w:rPr>
                <w:rFonts w:cs="Calibri"/>
                <w:lang w:val="cs-CZ" w:eastAsia="cs-CZ"/>
              </w:rPr>
              <w:t>energetické bezpečnosti ČR, opatření v oblasti výstavby zálohových zdrojů, posilování energetických sítí</w:t>
            </w:r>
          </w:p>
          <w:p w:rsidR="00F26347" w:rsidRPr="008B53A9" w:rsidRDefault="00F26347" w:rsidP="00F26347">
            <w:pPr>
              <w:pStyle w:val="Tabulka"/>
              <w:jc w:val="left"/>
              <w:rPr>
                <w:rFonts w:cs="Calibri"/>
                <w:lang w:val="cs-CZ" w:eastAsia="cs-CZ"/>
              </w:rPr>
            </w:pPr>
            <w:r w:rsidRPr="008B53A9">
              <w:rPr>
                <w:rFonts w:cs="Calibri"/>
                <w:u w:val="single"/>
                <w:lang w:val="cs-CZ" w:eastAsia="cs-CZ"/>
              </w:rPr>
              <w:t>SRR</w:t>
            </w:r>
            <w:r w:rsidRPr="008B53A9">
              <w:rPr>
                <w:rFonts w:cs="Calibri"/>
                <w:lang w:val="cs-CZ" w:eastAsia="cs-CZ"/>
              </w:rPr>
              <w:t xml:space="preserve">: </w:t>
            </w:r>
            <w:r w:rsidR="00FA6499" w:rsidRPr="008B53A9">
              <w:rPr>
                <w:rFonts w:cs="Calibri"/>
                <w:lang w:val="cs-CZ" w:eastAsia="cs-CZ"/>
              </w:rPr>
              <w:t>M</w:t>
            </w:r>
            <w:r w:rsidRPr="008B53A9">
              <w:rPr>
                <w:rFonts w:cs="Calibri"/>
                <w:lang w:val="cs-CZ" w:eastAsia="cs-CZ"/>
              </w:rPr>
              <w:t>odernizace energetických sítí a zajištění bezpečnosti dodávek energií vzhledem k </w:t>
            </w:r>
            <w:r w:rsidR="007419E7" w:rsidRPr="008B53A9">
              <w:rPr>
                <w:rFonts w:cs="Calibri"/>
                <w:lang w:val="cs-CZ" w:eastAsia="cs-CZ"/>
              </w:rPr>
              <w:t>nárůstu</w:t>
            </w:r>
            <w:r w:rsidRPr="008B53A9">
              <w:rPr>
                <w:rFonts w:cs="Calibri"/>
                <w:lang w:val="cs-CZ" w:eastAsia="cs-CZ"/>
              </w:rPr>
              <w:t xml:space="preserve"> nárok</w:t>
            </w:r>
            <w:r w:rsidR="007419E7" w:rsidRPr="008B53A9">
              <w:rPr>
                <w:rFonts w:cs="Calibri"/>
                <w:lang w:val="cs-CZ" w:eastAsia="cs-CZ"/>
              </w:rPr>
              <w:t>ů</w:t>
            </w:r>
            <w:r w:rsidRPr="008B53A9">
              <w:rPr>
                <w:rFonts w:cs="Calibri"/>
                <w:lang w:val="cs-CZ" w:eastAsia="cs-CZ"/>
              </w:rPr>
              <w:t xml:space="preserve"> na přenosovou soustavu v důsledku rozvoje OZE v </w:t>
            </w:r>
            <w:r w:rsidR="00FA6499" w:rsidRPr="008B53A9">
              <w:rPr>
                <w:rFonts w:cs="Calibri"/>
                <w:lang w:val="cs-CZ" w:eastAsia="cs-CZ"/>
              </w:rPr>
              <w:t>Německu</w:t>
            </w:r>
          </w:p>
          <w:p w:rsidR="00DB5E8B" w:rsidRPr="008B53A9" w:rsidRDefault="00DB5E8B" w:rsidP="00F26347">
            <w:pPr>
              <w:pStyle w:val="Tabulka"/>
              <w:jc w:val="left"/>
              <w:rPr>
                <w:rFonts w:cs="Calibri"/>
                <w:bCs/>
                <w:lang w:val="cs-CZ" w:eastAsia="cs-CZ"/>
              </w:rPr>
            </w:pPr>
            <w:r w:rsidRPr="008B53A9">
              <w:rPr>
                <w:rFonts w:cs="Calibri"/>
                <w:bCs/>
                <w:u w:val="single"/>
                <w:lang w:val="cs-CZ" w:eastAsia="cs-CZ"/>
              </w:rPr>
              <w:t>Aktualizace SEK</w:t>
            </w:r>
            <w:r w:rsidRPr="008B53A9">
              <w:rPr>
                <w:rFonts w:cs="Calibri"/>
                <w:bCs/>
                <w:lang w:val="cs-CZ" w:eastAsia="cs-CZ"/>
              </w:rPr>
              <w:t xml:space="preserve">:  </w:t>
            </w:r>
            <w:r w:rsidR="00F26347" w:rsidRPr="008B53A9">
              <w:rPr>
                <w:rFonts w:cs="Calibri"/>
                <w:bCs/>
                <w:lang w:val="cs-CZ" w:eastAsia="cs-CZ"/>
              </w:rPr>
              <w:t>Obnova a modernizace přenosové soustavy a zvyšování její odolnosti při vzniku krizových situací, zajištění</w:t>
            </w:r>
            <w:r w:rsidRPr="008B53A9">
              <w:rPr>
                <w:rFonts w:cs="Calibri"/>
                <w:bCs/>
                <w:lang w:val="cs-CZ" w:eastAsia="cs-CZ"/>
              </w:rPr>
              <w:t xml:space="preserve"> připravenost</w:t>
            </w:r>
            <w:r w:rsidR="00F26347" w:rsidRPr="008B53A9">
              <w:rPr>
                <w:rFonts w:cs="Calibri"/>
                <w:bCs/>
                <w:lang w:val="cs-CZ" w:eastAsia="cs-CZ"/>
              </w:rPr>
              <w:t>i</w:t>
            </w:r>
            <w:r w:rsidRPr="008B53A9">
              <w:rPr>
                <w:rFonts w:cs="Calibri"/>
                <w:bCs/>
                <w:lang w:val="cs-CZ" w:eastAsia="cs-CZ"/>
              </w:rPr>
              <w:t xml:space="preserve"> přenosové soustavy k připojení nových výrobních kapacit</w:t>
            </w:r>
          </w:p>
          <w:p w:rsidR="00FA6499" w:rsidRPr="008B53A9" w:rsidRDefault="00FA6499" w:rsidP="00DB5E8B">
            <w:pPr>
              <w:pStyle w:val="Tabulka"/>
              <w:jc w:val="left"/>
              <w:rPr>
                <w:rFonts w:cs="Calibri"/>
                <w:b/>
                <w:bCs/>
                <w:lang w:val="cs-CZ" w:eastAsia="cs-CZ"/>
              </w:rPr>
            </w:pPr>
            <w:r w:rsidRPr="008B53A9">
              <w:rPr>
                <w:rFonts w:cs="Calibri"/>
                <w:bCs/>
                <w:u w:val="single"/>
                <w:lang w:val="cs-CZ" w:eastAsia="cs-CZ"/>
              </w:rPr>
              <w:t>Dohoda o partnerství:</w:t>
            </w:r>
          </w:p>
          <w:p w:rsidR="00DB5E8B" w:rsidRPr="008B53A9" w:rsidRDefault="00DB5E8B" w:rsidP="00DB5E8B">
            <w:pPr>
              <w:pStyle w:val="Tabulka"/>
              <w:jc w:val="left"/>
              <w:rPr>
                <w:rFonts w:cs="Calibri"/>
                <w:b/>
                <w:bCs/>
                <w:lang w:val="cs-CZ" w:eastAsia="cs-CZ"/>
              </w:rPr>
            </w:pPr>
            <w:r w:rsidRPr="008B53A9">
              <w:rPr>
                <w:rFonts w:cs="Calibri"/>
                <w:b/>
                <w:bCs/>
                <w:lang w:val="cs-CZ" w:eastAsia="cs-CZ"/>
              </w:rPr>
              <w:t>Problémová oblast:</w:t>
            </w:r>
            <w:r w:rsidRPr="008B53A9">
              <w:rPr>
                <w:rFonts w:cs="Calibri"/>
                <w:bCs/>
                <w:lang w:val="cs-CZ" w:eastAsia="cs-CZ"/>
              </w:rPr>
              <w:t xml:space="preserve"> Energetická infrastruktura</w:t>
            </w:r>
          </w:p>
          <w:p w:rsidR="00DB5E8B" w:rsidRPr="008B53A9" w:rsidRDefault="00DB5E8B" w:rsidP="00DB5E8B">
            <w:pPr>
              <w:pStyle w:val="Tabulka"/>
              <w:jc w:val="left"/>
              <w:rPr>
                <w:rFonts w:cs="Calibri"/>
                <w:bCs/>
                <w:lang w:val="cs-CZ" w:eastAsia="cs-CZ"/>
              </w:rPr>
            </w:pPr>
            <w:r w:rsidRPr="008B53A9">
              <w:rPr>
                <w:rFonts w:cs="Calibri"/>
                <w:b/>
                <w:bCs/>
                <w:lang w:val="cs-CZ" w:eastAsia="cs-CZ"/>
              </w:rPr>
              <w:lastRenderedPageBreak/>
              <w:t>Identifikované problémy relevantní pro OP PIK:</w:t>
            </w:r>
            <w:r w:rsidRPr="008B53A9">
              <w:rPr>
                <w:rFonts w:cs="Calibri"/>
                <w:bCs/>
                <w:lang w:val="cs-CZ" w:eastAsia="cs-CZ"/>
              </w:rPr>
              <w:t xml:space="preserve"> Nedostatečná modernost a kapacita přenosové soustavy </w:t>
            </w:r>
            <w:r w:rsidR="00050A91" w:rsidRPr="008B53A9">
              <w:rPr>
                <w:rFonts w:cs="Calibri"/>
                <w:bCs/>
                <w:lang w:val="cs-CZ" w:eastAsia="cs-CZ"/>
              </w:rPr>
              <w:t>zajišťující nárůst spotřeby, připojení nových zdrojů a tranzitní nároky na přenosovou soustavu v ČR ve směru sever – jih, garantující bezpečnost, odolnost a spolehlivost provozu na současné úrovni</w:t>
            </w:r>
          </w:p>
          <w:p w:rsidR="00DB5E8B" w:rsidRPr="008B53A9" w:rsidRDefault="00DB5E8B" w:rsidP="00DB5E8B">
            <w:pPr>
              <w:pStyle w:val="Tabulka"/>
              <w:jc w:val="left"/>
              <w:rPr>
                <w:rFonts w:cs="Calibri"/>
                <w:bCs/>
                <w:u w:val="single"/>
                <w:lang w:val="cs-CZ" w:eastAsia="cs-CZ"/>
              </w:rPr>
            </w:pPr>
            <w:r w:rsidRPr="008B53A9">
              <w:rPr>
                <w:rFonts w:cs="Calibri"/>
                <w:b/>
                <w:bCs/>
                <w:lang w:val="cs-CZ" w:eastAsia="cs-CZ"/>
              </w:rPr>
              <w:t>Priorita financování:</w:t>
            </w:r>
            <w:r w:rsidRPr="008B53A9">
              <w:rPr>
                <w:szCs w:val="24"/>
                <w:lang w:val="cs-CZ" w:eastAsia="cs-CZ"/>
              </w:rPr>
              <w:t xml:space="preserve"> Udržitelná infrastruktura umožňující konkurenceschopnost ekonomiky a odpovídající obslužnost území</w:t>
            </w:r>
          </w:p>
        </w:tc>
      </w:tr>
    </w:tbl>
    <w:p w:rsidR="00297A5A" w:rsidRPr="008B53A9" w:rsidRDefault="00066396" w:rsidP="00906900">
      <w:pPr>
        <w:pStyle w:val="Standardntext"/>
        <w:spacing w:before="120"/>
        <w:sectPr w:rsidR="00297A5A" w:rsidRPr="008B53A9" w:rsidSect="00E963F0">
          <w:headerReference w:type="default" r:id="rId15"/>
          <w:footerReference w:type="default" r:id="rId16"/>
          <w:pgSz w:w="16838" w:h="11906" w:orient="landscape" w:code="9"/>
          <w:pgMar w:top="1418" w:right="1418" w:bottom="1276" w:left="1276" w:header="709" w:footer="709" w:gutter="0"/>
          <w:cols w:space="708"/>
          <w:docGrid w:linePitch="272"/>
        </w:sectPr>
      </w:pPr>
      <w:r w:rsidRPr="008B53A9">
        <w:rPr>
          <w:b/>
        </w:rPr>
        <w:lastRenderedPageBreak/>
        <w:t>Pozn.:</w:t>
      </w:r>
      <w:r w:rsidRPr="008B53A9">
        <w:t xml:space="preserve"> </w:t>
      </w:r>
      <w:r w:rsidR="00981FDB" w:rsidRPr="008B53A9">
        <w:t>Znění tematických cílů</w:t>
      </w:r>
      <w:r w:rsidRPr="008B53A9">
        <w:t xml:space="preserve"> dle čl. 9 </w:t>
      </w:r>
      <w:r w:rsidR="00981FDB" w:rsidRPr="008B53A9">
        <w:t>obecného nařízení a investičních priorit</w:t>
      </w:r>
      <w:r w:rsidRPr="008B53A9">
        <w:t xml:space="preserve"> dle čl. 5 </w:t>
      </w:r>
      <w:r w:rsidR="00A30521" w:rsidRPr="008B53A9">
        <w:t xml:space="preserve">nařízení </w:t>
      </w:r>
      <w:r w:rsidR="00BF360E" w:rsidRPr="008B53A9">
        <w:t>o</w:t>
      </w:r>
      <w:r w:rsidR="0017188B" w:rsidRPr="008B53A9">
        <w:t> </w:t>
      </w:r>
      <w:r w:rsidR="0059287E" w:rsidRPr="008B53A9">
        <w:t>EFRR</w:t>
      </w:r>
      <w:r w:rsidRPr="008B53A9">
        <w:t>.</w:t>
      </w:r>
    </w:p>
    <w:p w:rsidR="00DD0FDA" w:rsidRPr="008B53A9" w:rsidRDefault="006271CC" w:rsidP="009C7BE0">
      <w:pPr>
        <w:pStyle w:val="Nadpis2"/>
        <w:spacing w:line="240" w:lineRule="auto"/>
        <w:rPr>
          <w:rFonts w:cs="Calibri"/>
        </w:rPr>
      </w:pPr>
      <w:bookmarkStart w:id="19" w:name="_Toc351464354"/>
      <w:bookmarkStart w:id="20" w:name="_Toc391539597"/>
      <w:r w:rsidRPr="008B53A9">
        <w:rPr>
          <w:rFonts w:cs="Calibri"/>
        </w:rPr>
        <w:lastRenderedPageBreak/>
        <w:t>O</w:t>
      </w:r>
      <w:r w:rsidR="001E2583" w:rsidRPr="008B53A9">
        <w:rPr>
          <w:rFonts w:cs="Calibri"/>
        </w:rPr>
        <w:t xml:space="preserve">důvodnění </w:t>
      </w:r>
      <w:r w:rsidRPr="008B53A9">
        <w:rPr>
          <w:rFonts w:cs="Calibri"/>
        </w:rPr>
        <w:t xml:space="preserve">přidělení </w:t>
      </w:r>
      <w:r w:rsidR="001E2583" w:rsidRPr="008B53A9">
        <w:rPr>
          <w:rFonts w:cs="Calibri"/>
        </w:rPr>
        <w:t>finančních alokací</w:t>
      </w:r>
      <w:bookmarkEnd w:id="19"/>
      <w:bookmarkEnd w:id="20"/>
      <w:r w:rsidR="001E2583" w:rsidRPr="008B53A9">
        <w:rPr>
          <w:rFonts w:cs="Calibri"/>
        </w:rPr>
        <w:t xml:space="preserve"> </w:t>
      </w:r>
    </w:p>
    <w:p w:rsidR="00FA22BB" w:rsidRPr="008B53A9" w:rsidRDefault="00FA22BB" w:rsidP="00FA22BB">
      <w:pPr>
        <w:pStyle w:val="Standardntext"/>
        <w:rPr>
          <w:lang w:val="cs-CZ"/>
        </w:rPr>
      </w:pPr>
      <w:r w:rsidRPr="008B53A9">
        <w:t xml:space="preserve">Rozdělení finanční alokace pro OP PIK ve výši 4 316 062 617 EUR (příspěvek EFRR) je navrženo v návaznosti na identifikované aktivity v rámci specifických cílů prioritních os s ohledem na jejich příspěvek k naplňování cílů programu a naplňování strategie Evropa 2020. Zohledněn byl Poziční dokument Komise pro ČR, Národní program reforem ČR 2013 a 2014 a cíle stanovené v Dohodě o partnerství. </w:t>
      </w:r>
      <w:r w:rsidRPr="008B53A9">
        <w:rPr>
          <w:b/>
        </w:rPr>
        <w:t xml:space="preserve">Prioritní osy 1, 2 a 4 se váží vždy k jednomu tematickému cíli dle čl. 9 bodů (1), (3) a (2) obecného nařízení, prioritní osa 3 se váže ke dvěma tematickým cílům dle čl. 9 bodů (4) a (7) obecného nařízení. </w:t>
      </w:r>
      <w:r w:rsidRPr="008B53A9">
        <w:t>Podíly alokací na tyto čtyři prioritní osy odpovídají (kromě jednoho specifického cíle prioritní osy 3 vztahujícího se k tematickému cíli 7) tedy zároveň podílům na  tematické cíle 1 až 4, což je podstatné z hlediska tematické koncentrace dle čl. 4 nařízení o EFRR. Finanční alokace pro operační program a jednotlivé prioritní osy jsou stanoveny jako 85% příspěvek EFRR doplněný o národní spolufinancování ve výši 15 %, přičemž míra spolufinancování se vztahuje dle čl. 120 obecného nařízení na způsobilé výdaje z veřejných zdrojů. Při stanovování finančních alokací bylo rovněž přihlédnuto k externě řešené analýze absorpční kapacity OP PIK</w:t>
      </w:r>
      <w:r w:rsidRPr="008B53A9">
        <w:rPr>
          <w:rStyle w:val="Znakapoznpodarou"/>
        </w:rPr>
        <w:footnoteReference w:id="20"/>
      </w:r>
      <w:r w:rsidRPr="008B53A9">
        <w:t>. Zejména u prioritní osy 1 a</w:t>
      </w:r>
      <w:r w:rsidR="00FE0B02" w:rsidRPr="008B53A9">
        <w:t xml:space="preserve"> 3 došlo vzhledem k podstatn</w:t>
      </w:r>
      <w:r w:rsidR="00FE0B02" w:rsidRPr="008B53A9">
        <w:rPr>
          <w:lang w:val="cs-CZ"/>
        </w:rPr>
        <w:t>é</w:t>
      </w:r>
      <w:r w:rsidRPr="008B53A9">
        <w:t>mu rozšíření aktivit k výraznému navýšení alokace oproti alokaci na aktivity z těchto oblastí podporovaných v rámci OPPI.</w:t>
      </w:r>
    </w:p>
    <w:p w:rsidR="00FA22BB" w:rsidRPr="008B53A9" w:rsidRDefault="00FA22BB" w:rsidP="00FA22BB">
      <w:pPr>
        <w:pStyle w:val="Standardntext"/>
      </w:pPr>
      <w:r w:rsidRPr="008B53A9">
        <w:t>Jakákoli veřejná podpora poskytnutá v rámci OP PIK musí být v souladu s procedurálními a materiálními pravidly pro poskytování veřejné podpory platnými v okamžiku, kdy je veřejná podpora poskytnuta.</w:t>
      </w:r>
    </w:p>
    <w:p w:rsidR="00FA22BB" w:rsidRPr="008B53A9" w:rsidRDefault="00FA22BB" w:rsidP="00FA22BB">
      <w:pPr>
        <w:pStyle w:val="Standardntext"/>
      </w:pPr>
      <w:r w:rsidRPr="008B53A9">
        <w:rPr>
          <w:b/>
        </w:rPr>
        <w:t>Pro prioritní osu 1</w:t>
      </w:r>
      <w:r w:rsidRPr="008B53A9">
        <w:t xml:space="preserve"> vážící se k tematickému cíli 1 dle čl. 9 bodu (1) obecného nařízení je předpokládána nejvyšší finanční alokace, cca 31,0 % celkové alokace programu. Poziční dokument identifikoval jako potřeby rozvoje ČR v oblasti VaV a inovací zlepšení kvality infrastruktury pro výzkum a technologický rozvoj s prioritou modernizace a rozšíření výzkumného vybavení, podporu podnikových investic do VaV a inovací, vývoje produktů a služeb, obchodování s výsledky výzkumu, přenosu technologií, vytváření sítí, rozvoje klastrů a aplikovaných inovací prostřednictvím konceptu inteligentní specializace, podporu technologického a aplikovaného výzkumu. Doporučení Rady pro ČR poukazují na nízké výdaje podniků na VaV a nízký počet patentových přihlášek. Realizace uvedených opatření budou zajišťovat intervence této prioritní osy. Navíc budou, na rozdíl od programového období 2007-2013, realizovány v programu nové VaV aktivity typu pre-commercial public procurement, proof-of-concept, aplikovaný průmyslový výzkum / KETs. Dominantní podíl alokace v rámci prioritní osy je předpokládán pro intervence na zvýšení inovační výkonnost podniků.</w:t>
      </w:r>
    </w:p>
    <w:p w:rsidR="00FA22BB" w:rsidRPr="008B53A9" w:rsidRDefault="00FA22BB" w:rsidP="00FA22BB">
      <w:pPr>
        <w:pStyle w:val="Standardntext"/>
      </w:pPr>
      <w:r w:rsidRPr="008B53A9">
        <w:rPr>
          <w:b/>
        </w:rPr>
        <w:t>Pro prioritní osu 2</w:t>
      </w:r>
      <w:r w:rsidRPr="008B53A9">
        <w:t xml:space="preserve"> vážící se k tematickému cíli 3 dle čl. 9 bodu (3) obecného nařízení je předpokládána finanční alokace ve výši cca 20,7 % celkové alokace programu. Poziční dokument konstatuje, že směrem k sektoru MSP patří mezi potřeby této skupiny podniků zlepšení přístupu k novým technologiím na podporu využívání inovací, zlepšení podnikatelského prostředí prostřednictvím poskytnutí infrastruktury typu inkubátorů a technologických parků (řešeno v PO-1), včetně modernizace a vylepšení stávajících průmyslových areálů a renovace brownfieldů pro následné ekonomické využití. Důraz má být kladen na vytvoření škály finančních nástrojů, včetně nástrojů pro řízení rizik a vstupní kapitál, </w:t>
      </w:r>
      <w:r w:rsidRPr="008B53A9">
        <w:lastRenderedPageBreak/>
        <w:t xml:space="preserve">na podporu zakládání nových firem a pro rozvoj firem stávajících s potenciálem růstu. K dalším identifikovaným potřebám patří zkvalitňování služeb pro poradenství v podnikání, zejména v oblastech začínajících podniků, přenosu technologií, přístupu k novým trhům a s tím související poskytování podpory při internacionalizaci MSP. Více než poloviční část alokace prioritní osy se předpokládá využít na realizaci nových podnikatelských záměrů MSP </w:t>
      </w:r>
      <w:r w:rsidR="00FE0B02" w:rsidRPr="008B53A9">
        <w:t>za využití finančních nástrojů.</w:t>
      </w:r>
    </w:p>
    <w:p w:rsidR="00FA22BB" w:rsidRPr="008B53A9" w:rsidRDefault="00FA22BB" w:rsidP="00FA22BB">
      <w:pPr>
        <w:pStyle w:val="Standardntext"/>
      </w:pPr>
      <w:r w:rsidRPr="008B53A9">
        <w:rPr>
          <w:b/>
        </w:rPr>
        <w:t>Pro prioritní osu 3</w:t>
      </w:r>
      <w:r w:rsidRPr="008B53A9">
        <w:t xml:space="preserve"> vážící se k tematickým cílům 4 a 7 dle čl. 9 bodů (4) a (7) obecného nařízení je předpokládána alokace ve výši zhruba 28,2 % celkové alokace programu. Poziční dokument identifikuje pro ČR v oblasti energetiky potřeby spočívající v modernizaci zařízení na výrobu elektrické energie, distribuce a transformace za účelem zvýšení energetické účinnosti průmyslu, zvýšení účinnosti distribučních tepelných sítí.  V oblasti úspor energie je důležité zlepšení energetické náročnosti budov, což souvisí i s doporučením Rady pro ČR v návaznosti na NPR 2013 přijmout další opatření ke zlepšení energetické náročnosti budov a průmyslových odvětví, doporučení Rady pro NPR 2014 hovoří o potřebě ČR realizovat nadále opatření ke zvýšení energetické účinnosti v ekonomice</w:t>
      </w:r>
      <w:r w:rsidRPr="008B53A9">
        <w:rPr>
          <w:rStyle w:val="Znakapoznpodarou"/>
        </w:rPr>
        <w:footnoteReference w:id="21"/>
      </w:r>
      <w:r w:rsidRPr="008B53A9">
        <w:t>. Poziční dokument zdůrazňuje potřebu využívání OZE ve výrobě elektrické energie, včetně příslušných investic do energetické infrastruktury a technologií, potřeba byla identifikována také v oblasti uplatňování ekoinovací a ekologických technologií malými a středními podniky. Všechna uvedená doporučení jsou promítnuta do intervencí této prioritní osy, v alokaci prioritní osy je dále promítnuta podpora vysokonapěťových sítí. Dominantní podíl alokace v rámci prioritní osy je předpokládán pro intervence na zvýšení energetické účinnosti podnikatelského sektoru</w:t>
      </w:r>
      <w:r w:rsidR="00FE0B02" w:rsidRPr="008B53A9">
        <w:rPr>
          <w:lang w:val="cs-CZ"/>
        </w:rPr>
        <w:t>.</w:t>
      </w:r>
    </w:p>
    <w:p w:rsidR="00FA22BB" w:rsidRPr="008B53A9" w:rsidRDefault="00FA22BB" w:rsidP="00FA22BB">
      <w:pPr>
        <w:pStyle w:val="Standardntext"/>
      </w:pPr>
      <w:r w:rsidRPr="008B53A9">
        <w:rPr>
          <w:b/>
        </w:rPr>
        <w:t>Pro prioritní osu 4</w:t>
      </w:r>
      <w:r w:rsidRPr="008B53A9">
        <w:t xml:space="preserve"> vážící se k tematickému cíli 2 dle čl. 9 bodu (2) obecného nařízení je předpokládána alokace ve výši zhruba 17,2 % celkové alokace programu. V případě intervencí zaměřených na zvýšení pokrytí vysokorychlostním přístupem k internetu se jedná o nové intervence, které nebyly dosud z fondů EU v ČR podporovány. Východiskem pro stanovení alokace je mapa tzv. bílých, šedých a černých míst v ČR, přičemž pouze v bílých místech lze poskytovat veřejnou podporu. Podporovány budou p</w:t>
      </w:r>
      <w:r w:rsidRPr="008B53A9">
        <w:rPr>
          <w:bCs/>
        </w:rPr>
        <w:t>rioritně</w:t>
      </w:r>
      <w:r w:rsidRPr="008B53A9">
        <w:rPr>
          <w:b/>
          <w:bCs/>
        </w:rPr>
        <w:t xml:space="preserve"> </w:t>
      </w:r>
      <w:r w:rsidRPr="008B53A9">
        <w:t>oblasti, ve kterých neexistuje žádný provozovatel sítě pro vysokorychlostní přístup k internetu umožňující zajišťování služby reálnou rychlostí alespoň 30 Mbit/s a není pravděpodobné, že by v ní do tří let nějaký poskytovatel vybudoval infrastrukturu pro poskytování této služby. Dále je potřeba při stanovování alokace přihlédnout k tomu, že mezi intervence prioritní osy je řazeno budování investičně náročných datových center. V oblasti ICT byly Pozičním dokumentem identifikovány jako základní potřeby rozvoj digitálních služeb a kompetencí a kvality ICT, zejména v méně rozvinutých oblastech k podpoře jejich udržitelnosti a konkurenceschopnosti, zlepšení přístupu k službám v rámci ICT pro malé a střední podniky. Na uvedené řešení těchto potřeb se orientuje tato prioritní osa s tím, že převážná část alokace je předpokládána na intervence do zvýšení pokrytí vysokorychlostním přístupem k internetu.</w:t>
      </w:r>
    </w:p>
    <w:p w:rsidR="004A17B3" w:rsidRPr="008B53A9" w:rsidRDefault="00FA22BB" w:rsidP="00757916">
      <w:pPr>
        <w:pStyle w:val="Standardntext"/>
        <w:rPr>
          <w:lang w:val="cs-CZ"/>
        </w:rPr>
      </w:pPr>
      <w:r w:rsidRPr="008B53A9">
        <w:rPr>
          <w:b/>
        </w:rPr>
        <w:t>Pro prioritní osu 5 „Technická pomoc“</w:t>
      </w:r>
      <w:r w:rsidRPr="008B53A9">
        <w:t xml:space="preserve"> je předpokládána alokace ve výši 2,9 % z celkové alokace programu. Rozdělení této alokace na jednotlivé specifické cíle vychází zejména ze zkušeností s realizací technické pomoci v OPPI a ve vazbě na alokaci a aktivity národního Operačního programu Technická pomoc.</w:t>
      </w:r>
    </w:p>
    <w:p w:rsidR="000733A8" w:rsidRPr="008B53A9" w:rsidRDefault="000733A8" w:rsidP="001D1607">
      <w:pPr>
        <w:pStyle w:val="Standardntext"/>
        <w:rPr>
          <w:bCs/>
          <w:color w:val="FF0000"/>
        </w:rPr>
        <w:sectPr w:rsidR="000733A8" w:rsidRPr="008B53A9" w:rsidSect="00297A5A">
          <w:headerReference w:type="default" r:id="rId17"/>
          <w:footerReference w:type="default" r:id="rId18"/>
          <w:type w:val="continuous"/>
          <w:pgSz w:w="11906" w:h="16838"/>
          <w:pgMar w:top="1418" w:right="1276" w:bottom="1276" w:left="1418" w:header="709" w:footer="709" w:gutter="0"/>
          <w:cols w:space="708"/>
          <w:docGrid w:linePitch="272"/>
        </w:sectPr>
      </w:pPr>
    </w:p>
    <w:p w:rsidR="00676C59" w:rsidRPr="008B53A9" w:rsidRDefault="004C54D5" w:rsidP="001D1607">
      <w:pPr>
        <w:pStyle w:val="Titulek"/>
        <w:keepNext/>
        <w:keepLines/>
      </w:pPr>
      <w:r w:rsidRPr="008B53A9">
        <w:lastRenderedPageBreak/>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2</w:t>
      </w:r>
      <w:r w:rsidR="00C3289B" w:rsidRPr="008B53A9">
        <w:rPr>
          <w:noProof/>
        </w:rPr>
        <w:fldChar w:fldCharType="end"/>
      </w:r>
      <w:r w:rsidR="00676C59" w:rsidRPr="008B53A9">
        <w:t xml:space="preserve">: Přehled investiční strategie </w:t>
      </w:r>
      <w:r w:rsidR="00C277A8" w:rsidRPr="008B53A9">
        <w:t xml:space="preserve">operačního </w:t>
      </w:r>
      <w:r w:rsidR="00676C59" w:rsidRPr="008B53A9">
        <w:t>programu</w:t>
      </w:r>
      <w:r w:rsidR="00811581" w:rsidRPr="008B53A9">
        <w:rPr>
          <w:rStyle w:val="Znakapoznpodarou"/>
        </w:rPr>
        <w:footnoteReference w:id="2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00"/>
        <w:gridCol w:w="709"/>
        <w:gridCol w:w="1445"/>
        <w:gridCol w:w="1330"/>
        <w:gridCol w:w="1619"/>
        <w:gridCol w:w="3119"/>
        <w:gridCol w:w="2254"/>
        <w:gridCol w:w="1882"/>
      </w:tblGrid>
      <w:tr w:rsidR="001366EB" w:rsidRPr="008B53A9">
        <w:trPr>
          <w:jc w:val="center"/>
        </w:trPr>
        <w:tc>
          <w:tcPr>
            <w:tcW w:w="1900" w:type="dxa"/>
            <w:shd w:val="clear" w:color="auto" w:fill="B8CCE4"/>
          </w:tcPr>
          <w:p w:rsidR="001366EB" w:rsidRPr="008B53A9" w:rsidRDefault="001366EB" w:rsidP="00B91AC2">
            <w:pPr>
              <w:pStyle w:val="Tabulka"/>
              <w:keepNext/>
              <w:keepLines/>
              <w:rPr>
                <w:rFonts w:cs="Calibri"/>
                <w:b/>
                <w:lang w:val="cs-CZ" w:eastAsia="cs-CZ"/>
              </w:rPr>
            </w:pPr>
            <w:r w:rsidRPr="008B53A9">
              <w:rPr>
                <w:rFonts w:cs="Calibri"/>
                <w:b/>
                <w:lang w:val="cs-CZ" w:eastAsia="cs-CZ"/>
              </w:rPr>
              <w:t>Prioritní osa</w:t>
            </w:r>
          </w:p>
        </w:tc>
        <w:tc>
          <w:tcPr>
            <w:tcW w:w="709" w:type="dxa"/>
            <w:shd w:val="clear" w:color="auto" w:fill="B8CCE4"/>
          </w:tcPr>
          <w:p w:rsidR="00B91AC2" w:rsidRPr="008B53A9" w:rsidRDefault="001366EB" w:rsidP="00703630">
            <w:pPr>
              <w:pStyle w:val="Tabulka"/>
              <w:keepNext/>
              <w:keepLines/>
              <w:rPr>
                <w:rFonts w:cs="Calibri"/>
                <w:b/>
                <w:lang w:val="cs-CZ" w:eastAsia="cs-CZ"/>
              </w:rPr>
            </w:pPr>
            <w:r w:rsidRPr="008B53A9">
              <w:rPr>
                <w:rFonts w:cs="Calibri"/>
                <w:b/>
                <w:lang w:val="cs-CZ" w:eastAsia="cs-CZ"/>
              </w:rPr>
              <w:t>Fond</w:t>
            </w:r>
          </w:p>
        </w:tc>
        <w:tc>
          <w:tcPr>
            <w:tcW w:w="1445" w:type="dxa"/>
            <w:shd w:val="clear" w:color="auto" w:fill="B8CCE4"/>
          </w:tcPr>
          <w:p w:rsidR="00B91AC2" w:rsidRPr="008B53A9" w:rsidRDefault="00C277A8" w:rsidP="00703630">
            <w:pPr>
              <w:pStyle w:val="Tabulka"/>
              <w:keepNext/>
              <w:keepLines/>
              <w:rPr>
                <w:rFonts w:cs="Calibri"/>
                <w:b/>
                <w:lang w:val="cs-CZ" w:eastAsia="cs-CZ"/>
              </w:rPr>
            </w:pPr>
            <w:r w:rsidRPr="008B53A9">
              <w:rPr>
                <w:rFonts w:cs="Calibri"/>
                <w:b/>
                <w:lang w:val="cs-CZ" w:eastAsia="cs-CZ"/>
              </w:rPr>
              <w:t>Podpora</w:t>
            </w:r>
            <w:r w:rsidR="00B91AC2" w:rsidRPr="008B53A9">
              <w:rPr>
                <w:rFonts w:cs="Calibri"/>
                <w:b/>
                <w:lang w:val="cs-CZ" w:eastAsia="cs-CZ"/>
              </w:rPr>
              <w:t xml:space="preserve"> </w:t>
            </w:r>
            <w:r w:rsidR="001366EB" w:rsidRPr="008B53A9">
              <w:rPr>
                <w:rFonts w:cs="Calibri"/>
                <w:b/>
                <w:lang w:val="cs-CZ" w:eastAsia="cs-CZ"/>
              </w:rPr>
              <w:t>U</w:t>
            </w:r>
            <w:r w:rsidR="00B91AC2" w:rsidRPr="008B53A9">
              <w:rPr>
                <w:rFonts w:cs="Calibri"/>
                <w:b/>
                <w:lang w:val="cs-CZ" w:eastAsia="cs-CZ"/>
              </w:rPr>
              <w:t>nie</w:t>
            </w:r>
            <w:r w:rsidR="00ED2F09" w:rsidRPr="008B53A9">
              <w:rPr>
                <w:rFonts w:cs="Calibri"/>
                <w:b/>
                <w:lang w:val="cs-CZ" w:eastAsia="cs-CZ"/>
              </w:rPr>
              <w:t xml:space="preserve"> </w:t>
            </w:r>
            <w:r w:rsidR="00A74A51" w:rsidRPr="008B53A9">
              <w:rPr>
                <w:rFonts w:cs="Calibri"/>
                <w:b/>
                <w:lang w:val="cs-CZ" w:eastAsia="cs-CZ"/>
              </w:rPr>
              <w:t>(</w:t>
            </w:r>
            <w:r w:rsidR="00ED2F09" w:rsidRPr="008B53A9">
              <w:rPr>
                <w:rFonts w:cs="Calibri"/>
                <w:b/>
                <w:lang w:val="cs-CZ" w:eastAsia="cs-CZ"/>
              </w:rPr>
              <w:t>EUR</w:t>
            </w:r>
            <w:r w:rsidR="00A74A51" w:rsidRPr="008B53A9">
              <w:rPr>
                <w:rFonts w:cs="Calibri"/>
                <w:b/>
                <w:lang w:val="cs-CZ" w:eastAsia="cs-CZ"/>
              </w:rPr>
              <w:t>)</w:t>
            </w:r>
          </w:p>
        </w:tc>
        <w:tc>
          <w:tcPr>
            <w:tcW w:w="1330" w:type="dxa"/>
            <w:shd w:val="clear" w:color="auto" w:fill="B8CCE4"/>
          </w:tcPr>
          <w:p w:rsidR="00B91AC2" w:rsidRPr="008B53A9" w:rsidRDefault="00846C82" w:rsidP="00703630">
            <w:pPr>
              <w:pStyle w:val="Tabulka"/>
              <w:keepNext/>
              <w:keepLines/>
              <w:rPr>
                <w:rFonts w:cs="Calibri"/>
                <w:b/>
                <w:lang w:val="cs-CZ" w:eastAsia="cs-CZ"/>
              </w:rPr>
            </w:pPr>
            <w:r w:rsidRPr="008B53A9">
              <w:rPr>
                <w:rFonts w:cs="Calibri"/>
                <w:b/>
                <w:lang w:val="cs-CZ" w:eastAsia="cs-CZ"/>
              </w:rPr>
              <w:t>P</w:t>
            </w:r>
            <w:r w:rsidR="00C277A8" w:rsidRPr="008B53A9">
              <w:rPr>
                <w:rFonts w:cs="Calibri"/>
                <w:b/>
                <w:lang w:val="cs-CZ" w:eastAsia="cs-CZ"/>
              </w:rPr>
              <w:t>odíl celkové</w:t>
            </w:r>
            <w:r w:rsidRPr="008B53A9">
              <w:rPr>
                <w:rFonts w:cs="Calibri"/>
                <w:b/>
                <w:lang w:val="cs-CZ" w:eastAsia="cs-CZ"/>
              </w:rPr>
              <w:t xml:space="preserve"> </w:t>
            </w:r>
            <w:r w:rsidR="00C277A8" w:rsidRPr="008B53A9">
              <w:rPr>
                <w:rFonts w:cs="Calibri"/>
                <w:b/>
                <w:lang w:val="cs-CZ" w:eastAsia="cs-CZ"/>
              </w:rPr>
              <w:t>podpory</w:t>
            </w:r>
            <w:r w:rsidRPr="008B53A9">
              <w:rPr>
                <w:rFonts w:cs="Calibri"/>
                <w:b/>
                <w:lang w:val="cs-CZ" w:eastAsia="cs-CZ"/>
              </w:rPr>
              <w:t xml:space="preserve"> Unie operační</w:t>
            </w:r>
            <w:r w:rsidR="00C277A8" w:rsidRPr="008B53A9">
              <w:rPr>
                <w:rFonts w:cs="Calibri"/>
                <w:b/>
                <w:lang w:val="cs-CZ" w:eastAsia="cs-CZ"/>
              </w:rPr>
              <w:t>mu</w:t>
            </w:r>
            <w:r w:rsidRPr="008B53A9">
              <w:rPr>
                <w:rFonts w:cs="Calibri"/>
                <w:b/>
                <w:lang w:val="cs-CZ" w:eastAsia="cs-CZ"/>
              </w:rPr>
              <w:t xml:space="preserve"> program</w:t>
            </w:r>
            <w:r w:rsidR="00C277A8" w:rsidRPr="008B53A9">
              <w:rPr>
                <w:rFonts w:cs="Calibri"/>
                <w:b/>
                <w:lang w:val="cs-CZ" w:eastAsia="cs-CZ"/>
              </w:rPr>
              <w:t>u</w:t>
            </w:r>
          </w:p>
        </w:tc>
        <w:tc>
          <w:tcPr>
            <w:tcW w:w="1619" w:type="dxa"/>
            <w:shd w:val="clear" w:color="auto" w:fill="B8CCE4"/>
          </w:tcPr>
          <w:p w:rsidR="001366EB" w:rsidRPr="008B53A9" w:rsidRDefault="001366EB" w:rsidP="00B91AC2">
            <w:pPr>
              <w:pStyle w:val="Tabulka"/>
              <w:keepNext/>
              <w:keepLines/>
              <w:rPr>
                <w:rFonts w:cs="Calibri"/>
                <w:b/>
                <w:lang w:val="cs-CZ" w:eastAsia="cs-CZ"/>
              </w:rPr>
            </w:pPr>
            <w:r w:rsidRPr="008B53A9">
              <w:rPr>
                <w:rFonts w:cs="Calibri"/>
                <w:b/>
                <w:lang w:val="cs-CZ" w:eastAsia="cs-CZ"/>
              </w:rPr>
              <w:t>Tematický cíl</w:t>
            </w:r>
          </w:p>
          <w:p w:rsidR="00B91AC2" w:rsidRPr="008B53A9" w:rsidRDefault="00B91AC2" w:rsidP="00703630">
            <w:pPr>
              <w:pStyle w:val="Tabulka"/>
              <w:keepNext/>
              <w:keepLines/>
              <w:jc w:val="left"/>
              <w:rPr>
                <w:rFonts w:cs="Calibri"/>
                <w:lang w:val="cs-CZ" w:eastAsia="cs-CZ"/>
              </w:rPr>
            </w:pPr>
          </w:p>
        </w:tc>
        <w:tc>
          <w:tcPr>
            <w:tcW w:w="3119" w:type="dxa"/>
            <w:shd w:val="clear" w:color="auto" w:fill="B8CCE4"/>
          </w:tcPr>
          <w:p w:rsidR="00846C82" w:rsidRPr="008B53A9" w:rsidRDefault="001366EB" w:rsidP="00703630">
            <w:pPr>
              <w:pStyle w:val="Tabulka"/>
              <w:keepNext/>
              <w:keepLines/>
              <w:rPr>
                <w:rFonts w:cs="Calibri"/>
                <w:b/>
                <w:lang w:val="cs-CZ" w:eastAsia="cs-CZ"/>
              </w:rPr>
            </w:pPr>
            <w:r w:rsidRPr="008B53A9">
              <w:rPr>
                <w:rFonts w:cs="Calibri"/>
                <w:b/>
                <w:lang w:val="cs-CZ" w:eastAsia="cs-CZ"/>
              </w:rPr>
              <w:t>Investiční priority</w:t>
            </w:r>
          </w:p>
        </w:tc>
        <w:tc>
          <w:tcPr>
            <w:tcW w:w="2254" w:type="dxa"/>
            <w:shd w:val="clear" w:color="auto" w:fill="B8CCE4"/>
          </w:tcPr>
          <w:p w:rsidR="00846C82" w:rsidRPr="008B53A9" w:rsidRDefault="001366EB" w:rsidP="00703630">
            <w:pPr>
              <w:pStyle w:val="Tabulka"/>
              <w:keepNext/>
              <w:keepLines/>
              <w:rPr>
                <w:rFonts w:cs="Calibri"/>
                <w:b/>
                <w:lang w:val="cs-CZ" w:eastAsia="cs-CZ"/>
              </w:rPr>
            </w:pPr>
            <w:r w:rsidRPr="008B53A9">
              <w:rPr>
                <w:rFonts w:cs="Calibri"/>
                <w:b/>
                <w:lang w:val="cs-CZ" w:eastAsia="cs-CZ"/>
              </w:rPr>
              <w:t>Specifické cíle odpovídající investiční prioritě</w:t>
            </w:r>
          </w:p>
        </w:tc>
        <w:tc>
          <w:tcPr>
            <w:tcW w:w="1882" w:type="dxa"/>
            <w:shd w:val="clear" w:color="auto" w:fill="B8CCE4"/>
            <w:vAlign w:val="center"/>
          </w:tcPr>
          <w:p w:rsidR="001366EB" w:rsidRPr="008B53A9" w:rsidRDefault="00846C82" w:rsidP="00BA1E1C">
            <w:pPr>
              <w:pStyle w:val="Tabulka"/>
              <w:keepNext/>
              <w:keepLines/>
              <w:rPr>
                <w:rFonts w:cs="Calibri"/>
                <w:b/>
                <w:lang w:val="cs-CZ" w:eastAsia="cs-CZ"/>
              </w:rPr>
            </w:pPr>
            <w:r w:rsidRPr="008B53A9">
              <w:rPr>
                <w:rFonts w:cs="Calibri"/>
                <w:b/>
                <w:lang w:val="cs-CZ" w:eastAsia="cs-CZ"/>
              </w:rPr>
              <w:t xml:space="preserve">Společné a specifické </w:t>
            </w:r>
            <w:r w:rsidR="00703630" w:rsidRPr="008B53A9">
              <w:rPr>
                <w:rFonts w:cs="Calibri"/>
                <w:b/>
                <w:lang w:val="cs-CZ" w:eastAsia="cs-CZ"/>
              </w:rPr>
              <w:t xml:space="preserve">programové </w:t>
            </w:r>
            <w:r w:rsidR="00C277A8" w:rsidRPr="008B53A9">
              <w:rPr>
                <w:rFonts w:cs="Calibri"/>
                <w:b/>
                <w:lang w:val="cs-CZ" w:eastAsia="cs-CZ"/>
              </w:rPr>
              <w:t>ukazatele výsledků, pro které byl stanoven cíl</w:t>
            </w:r>
          </w:p>
        </w:tc>
      </w:tr>
      <w:tr w:rsidR="00BD619A" w:rsidRPr="008B53A9">
        <w:trPr>
          <w:jc w:val="center"/>
        </w:trPr>
        <w:tc>
          <w:tcPr>
            <w:tcW w:w="1900" w:type="dxa"/>
            <w:vMerge w:val="restart"/>
            <w:shd w:val="clear" w:color="auto" w:fill="DBE5F1"/>
            <w:vAlign w:val="center"/>
          </w:tcPr>
          <w:p w:rsidR="00BD619A" w:rsidRPr="008B53A9" w:rsidRDefault="00BD619A" w:rsidP="001D1607">
            <w:pPr>
              <w:pStyle w:val="Tabulka"/>
              <w:keepNext/>
              <w:keepLines/>
              <w:jc w:val="left"/>
              <w:rPr>
                <w:rFonts w:cs="Calibri"/>
                <w:lang w:val="cs-CZ" w:eastAsia="cs-CZ"/>
              </w:rPr>
            </w:pPr>
            <w:r w:rsidRPr="008B53A9">
              <w:rPr>
                <w:rFonts w:cs="Calibri"/>
                <w:lang w:val="cs-CZ" w:eastAsia="cs-CZ"/>
              </w:rPr>
              <w:t>PO 1: Rozvoj výzkumu a vývoje pro inovace</w:t>
            </w:r>
          </w:p>
          <w:p w:rsidR="00BD619A" w:rsidRPr="008B53A9" w:rsidRDefault="00BD619A" w:rsidP="001D1607">
            <w:pPr>
              <w:pStyle w:val="Tabulka"/>
              <w:keepNext/>
              <w:keepLines/>
              <w:rPr>
                <w:rFonts w:cs="Calibri"/>
                <w:lang w:val="cs-CZ" w:eastAsia="cs-CZ"/>
              </w:rPr>
            </w:pPr>
          </w:p>
        </w:tc>
        <w:tc>
          <w:tcPr>
            <w:tcW w:w="709" w:type="dxa"/>
            <w:vMerge w:val="restart"/>
            <w:vAlign w:val="center"/>
          </w:tcPr>
          <w:p w:rsidR="00BD619A" w:rsidRPr="008B53A9" w:rsidRDefault="00BD619A" w:rsidP="00D40246">
            <w:pPr>
              <w:pStyle w:val="Tabulka"/>
              <w:keepNext/>
              <w:keepLines/>
              <w:rPr>
                <w:rFonts w:cs="Calibri"/>
                <w:lang w:val="cs-CZ" w:eastAsia="cs-CZ"/>
              </w:rPr>
            </w:pPr>
            <w:r w:rsidRPr="008B53A9">
              <w:rPr>
                <w:rFonts w:cs="Calibri"/>
                <w:lang w:val="cs-CZ" w:eastAsia="cs-CZ"/>
              </w:rPr>
              <w:t>EFRR</w:t>
            </w:r>
          </w:p>
        </w:tc>
        <w:tc>
          <w:tcPr>
            <w:tcW w:w="1445" w:type="dxa"/>
            <w:vMerge w:val="restart"/>
            <w:vAlign w:val="center"/>
          </w:tcPr>
          <w:p w:rsidR="00BD619A" w:rsidRPr="008B53A9" w:rsidRDefault="00537B82" w:rsidP="00D40246">
            <w:pPr>
              <w:pStyle w:val="Tabulka"/>
              <w:keepNext/>
              <w:keepLines/>
              <w:rPr>
                <w:rFonts w:cs="Calibri"/>
                <w:lang w:val="cs-CZ" w:eastAsia="cs-CZ"/>
              </w:rPr>
            </w:pPr>
            <w:r w:rsidRPr="008B53A9">
              <w:rPr>
                <w:rFonts w:cs="Calibri"/>
                <w:lang w:val="cs-CZ" w:eastAsia="cs-CZ"/>
              </w:rPr>
              <w:t>1 337 979 411</w:t>
            </w:r>
          </w:p>
        </w:tc>
        <w:tc>
          <w:tcPr>
            <w:tcW w:w="1330" w:type="dxa"/>
            <w:vMerge w:val="restart"/>
            <w:vAlign w:val="center"/>
          </w:tcPr>
          <w:p w:rsidR="00BD619A" w:rsidRPr="008B53A9" w:rsidRDefault="00847395" w:rsidP="00847395">
            <w:pPr>
              <w:pStyle w:val="Tabulka"/>
              <w:keepNext/>
              <w:keepLines/>
              <w:rPr>
                <w:rFonts w:cs="Calibri"/>
                <w:lang w:val="cs-CZ" w:eastAsia="cs-CZ"/>
              </w:rPr>
            </w:pPr>
            <w:r w:rsidRPr="008B53A9">
              <w:rPr>
                <w:rFonts w:cs="Calibri"/>
                <w:lang w:val="cs-CZ" w:eastAsia="cs-CZ"/>
              </w:rPr>
              <w:t>31</w:t>
            </w:r>
            <w:r w:rsidR="00BD619A" w:rsidRPr="008B53A9">
              <w:rPr>
                <w:rFonts w:cs="Calibri"/>
                <w:lang w:val="cs-CZ" w:eastAsia="cs-CZ"/>
              </w:rPr>
              <w:t>,0</w:t>
            </w:r>
            <w:r w:rsidRPr="008B53A9">
              <w:rPr>
                <w:rFonts w:cs="Calibri"/>
                <w:lang w:val="cs-CZ" w:eastAsia="cs-CZ"/>
              </w:rPr>
              <w:t>0</w:t>
            </w:r>
            <w:r w:rsidR="00A74A51" w:rsidRPr="008B53A9">
              <w:rPr>
                <w:rFonts w:cs="Calibri"/>
                <w:lang w:val="cs-CZ" w:eastAsia="cs-CZ"/>
              </w:rPr>
              <w:t xml:space="preserve"> %</w:t>
            </w:r>
          </w:p>
        </w:tc>
        <w:tc>
          <w:tcPr>
            <w:tcW w:w="1619" w:type="dxa"/>
            <w:vMerge w:val="restart"/>
            <w:vAlign w:val="center"/>
          </w:tcPr>
          <w:p w:rsidR="00BD619A" w:rsidRPr="008B53A9" w:rsidRDefault="00BD619A" w:rsidP="00D40246">
            <w:pPr>
              <w:pStyle w:val="Tabulka"/>
              <w:keepNext/>
              <w:keepLines/>
              <w:rPr>
                <w:rFonts w:cs="Calibri"/>
                <w:lang w:val="cs-CZ" w:eastAsia="cs-CZ"/>
              </w:rPr>
            </w:pPr>
            <w:r w:rsidRPr="008B53A9">
              <w:rPr>
                <w:rFonts w:cs="Calibri"/>
                <w:lang w:val="cs-CZ" w:eastAsia="cs-CZ"/>
              </w:rPr>
              <w:t>1</w:t>
            </w:r>
            <w:r w:rsidR="00CC5E04" w:rsidRPr="008B53A9">
              <w:rPr>
                <w:rFonts w:cs="Calibri"/>
                <w:lang w:val="cs-CZ" w:eastAsia="cs-CZ"/>
              </w:rPr>
              <w:t>)</w:t>
            </w:r>
            <w:r w:rsidRPr="008B53A9">
              <w:rPr>
                <w:rFonts w:cs="Calibri"/>
                <w:lang w:val="cs-CZ" w:eastAsia="cs-CZ"/>
              </w:rPr>
              <w:t xml:space="preserve"> Posílení výzkumu, technologického rozvoje a inovací</w:t>
            </w:r>
          </w:p>
        </w:tc>
        <w:tc>
          <w:tcPr>
            <w:tcW w:w="3119" w:type="dxa"/>
            <w:vMerge w:val="restart"/>
            <w:shd w:val="clear" w:color="auto" w:fill="auto"/>
            <w:vAlign w:val="center"/>
          </w:tcPr>
          <w:p w:rsidR="00BD619A" w:rsidRPr="008B53A9" w:rsidRDefault="00B54D2B" w:rsidP="00BE6D25">
            <w:pPr>
              <w:pStyle w:val="Tabulka"/>
              <w:widowControl w:val="0"/>
              <w:rPr>
                <w:rFonts w:cs="Calibri"/>
                <w:lang w:val="cs-CZ" w:eastAsia="cs-CZ"/>
              </w:rPr>
            </w:pPr>
            <w:r w:rsidRPr="008B53A9">
              <w:rPr>
                <w:rFonts w:cs="Calibri"/>
                <w:lang w:val="cs-CZ" w:eastAsia="cs-CZ"/>
              </w:rPr>
              <w:t xml:space="preserve">1 b) </w:t>
            </w:r>
            <w:r w:rsidR="002641C7" w:rsidRPr="008B53A9">
              <w:rPr>
                <w:rFonts w:cs="Calibri"/>
                <w:lang w:val="cs-CZ" w:eastAsia="cs-CZ"/>
              </w:rPr>
              <w:t>Podpora podnikových investic do výzkumu a inovací a vytváření</w:t>
            </w:r>
            <w:r w:rsidR="000534DA" w:rsidRPr="008B53A9">
              <w:rPr>
                <w:rFonts w:cs="Calibri"/>
                <w:lang w:val="cs-CZ" w:eastAsia="cs-CZ"/>
              </w:rPr>
              <w:t xml:space="preserve"> vazeb a součinnosti mezi podniky, středisky výzkumu a vývoje a odvětvím vysokoškolského vzdělávání, zejména podpora investic v oblasti vývoje produktů a služeb, přenosu technologií, sociálních inovací, ekologických inovací, aplikací veřejných služeb, stimulace poptávky, vytváření sítí, klastrů a otevřených inovací prostřednictvím inteligentní specializace a podpora technického a aplikovaného výzkumu, pilotních linek, opatření k včasnému ověřování produktů, schopností vyspělé výroby a prvovýroby, zejména v </w:t>
            </w:r>
            <w:r w:rsidR="000534DA" w:rsidRPr="008B53A9">
              <w:rPr>
                <w:rFonts w:cs="Calibri"/>
                <w:lang w:val="cs-CZ" w:eastAsia="cs-CZ"/>
              </w:rPr>
              <w:lastRenderedPageBreak/>
              <w:t>oblasti klíčových technologií a šíření technologií pro všeobecné použití</w:t>
            </w:r>
          </w:p>
        </w:tc>
        <w:tc>
          <w:tcPr>
            <w:tcW w:w="2254" w:type="dxa"/>
            <w:shd w:val="clear" w:color="auto" w:fill="auto"/>
            <w:vAlign w:val="center"/>
          </w:tcPr>
          <w:p w:rsidR="00BD619A" w:rsidRPr="008B53A9" w:rsidRDefault="00BD619A" w:rsidP="001D1607">
            <w:pPr>
              <w:pStyle w:val="Tabulka"/>
              <w:keepNext/>
              <w:keepLines/>
              <w:rPr>
                <w:rFonts w:cs="Calibri"/>
                <w:lang w:val="cs-CZ" w:eastAsia="cs-CZ"/>
              </w:rPr>
            </w:pPr>
            <w:r w:rsidRPr="008B53A9">
              <w:rPr>
                <w:rFonts w:cs="Calibri"/>
                <w:lang w:val="cs-CZ" w:eastAsia="cs-CZ"/>
              </w:rPr>
              <w:lastRenderedPageBreak/>
              <w:t>1.1 - Zvýšit inovační výkonnost podniků</w:t>
            </w:r>
          </w:p>
        </w:tc>
        <w:tc>
          <w:tcPr>
            <w:tcW w:w="1882" w:type="dxa"/>
            <w:vAlign w:val="center"/>
          </w:tcPr>
          <w:p w:rsidR="00B1649F" w:rsidRPr="008B53A9" w:rsidRDefault="00B1649F" w:rsidP="00BA1E1C">
            <w:pPr>
              <w:pStyle w:val="Tabulka"/>
              <w:keepNext/>
              <w:keepLines/>
              <w:rPr>
                <w:rFonts w:cs="Calibri"/>
                <w:lang w:val="cs-CZ" w:eastAsia="cs-CZ"/>
              </w:rPr>
            </w:pPr>
            <w:r w:rsidRPr="008B53A9">
              <w:rPr>
                <w:rFonts w:cs="Calibri"/>
                <w:lang w:val="cs-CZ" w:eastAsia="cs-CZ"/>
              </w:rPr>
              <w:t>Výdaje na VaV v podnikatelském sektoru jako % HDP - regiony ČR (mimo hl. m. Praha)</w:t>
            </w:r>
          </w:p>
          <w:p w:rsidR="00BD619A" w:rsidRPr="008B53A9" w:rsidRDefault="008E48D1" w:rsidP="00BA1E1C">
            <w:pPr>
              <w:pStyle w:val="Tabulka"/>
              <w:keepNext/>
              <w:keepLines/>
              <w:rPr>
                <w:rFonts w:cs="Calibri"/>
                <w:lang w:val="cs-CZ" w:eastAsia="cs-CZ"/>
              </w:rPr>
            </w:pPr>
            <w:r w:rsidRPr="008B53A9">
              <w:rPr>
                <w:rFonts w:cs="Calibri"/>
                <w:lang w:val="cs-CZ" w:eastAsia="cs-CZ"/>
              </w:rPr>
              <w:t>Tržby z inovované produkce jako % celkových tržeb podniků s produktovou inovací</w:t>
            </w:r>
          </w:p>
        </w:tc>
      </w:tr>
      <w:tr w:rsidR="00BD619A" w:rsidRPr="008B53A9">
        <w:trPr>
          <w:jc w:val="center"/>
        </w:trPr>
        <w:tc>
          <w:tcPr>
            <w:tcW w:w="1900" w:type="dxa"/>
            <w:vMerge/>
            <w:shd w:val="clear" w:color="auto" w:fill="DBE5F1"/>
            <w:vAlign w:val="center"/>
          </w:tcPr>
          <w:p w:rsidR="00BD619A" w:rsidRPr="008B53A9" w:rsidRDefault="00BD619A" w:rsidP="001D1607">
            <w:pPr>
              <w:pStyle w:val="Tabulka"/>
              <w:keepNext/>
              <w:keepLines/>
              <w:rPr>
                <w:rFonts w:cs="Calibri"/>
                <w:lang w:val="cs-CZ" w:eastAsia="cs-CZ"/>
              </w:rPr>
            </w:pPr>
          </w:p>
        </w:tc>
        <w:tc>
          <w:tcPr>
            <w:tcW w:w="709" w:type="dxa"/>
            <w:vMerge/>
            <w:vAlign w:val="center"/>
          </w:tcPr>
          <w:p w:rsidR="00BD619A" w:rsidRPr="008B53A9" w:rsidRDefault="00BD619A" w:rsidP="00D40246">
            <w:pPr>
              <w:pStyle w:val="Tabulka"/>
              <w:keepNext/>
              <w:keepLines/>
              <w:rPr>
                <w:rFonts w:cs="Calibri"/>
                <w:lang w:val="cs-CZ" w:eastAsia="cs-CZ"/>
              </w:rPr>
            </w:pPr>
          </w:p>
        </w:tc>
        <w:tc>
          <w:tcPr>
            <w:tcW w:w="1445" w:type="dxa"/>
            <w:vMerge/>
            <w:vAlign w:val="center"/>
          </w:tcPr>
          <w:p w:rsidR="00BD619A" w:rsidRPr="008B53A9" w:rsidRDefault="00BD619A" w:rsidP="00D40246">
            <w:pPr>
              <w:pStyle w:val="Tabulka"/>
              <w:keepNext/>
              <w:keepLines/>
              <w:rPr>
                <w:rFonts w:cs="Calibri"/>
                <w:lang w:val="cs-CZ" w:eastAsia="cs-CZ"/>
              </w:rPr>
            </w:pPr>
          </w:p>
        </w:tc>
        <w:tc>
          <w:tcPr>
            <w:tcW w:w="1330" w:type="dxa"/>
            <w:vMerge/>
            <w:vAlign w:val="center"/>
          </w:tcPr>
          <w:p w:rsidR="00BD619A" w:rsidRPr="008B53A9" w:rsidRDefault="00BD619A" w:rsidP="00D40246">
            <w:pPr>
              <w:pStyle w:val="Tabulka"/>
              <w:keepNext/>
              <w:keepLines/>
              <w:rPr>
                <w:rFonts w:cs="Calibri"/>
                <w:lang w:val="cs-CZ" w:eastAsia="cs-CZ"/>
              </w:rPr>
            </w:pPr>
          </w:p>
        </w:tc>
        <w:tc>
          <w:tcPr>
            <w:tcW w:w="1619" w:type="dxa"/>
            <w:vMerge/>
            <w:vAlign w:val="center"/>
          </w:tcPr>
          <w:p w:rsidR="00BD619A" w:rsidRPr="008B53A9" w:rsidRDefault="00BD619A" w:rsidP="00D40246">
            <w:pPr>
              <w:pStyle w:val="Tabulka"/>
              <w:keepNext/>
              <w:keepLines/>
              <w:rPr>
                <w:rFonts w:cs="Calibri"/>
                <w:lang w:val="cs-CZ" w:eastAsia="cs-CZ"/>
              </w:rPr>
            </w:pPr>
          </w:p>
        </w:tc>
        <w:tc>
          <w:tcPr>
            <w:tcW w:w="3119" w:type="dxa"/>
            <w:vMerge/>
            <w:shd w:val="clear" w:color="auto" w:fill="auto"/>
            <w:vAlign w:val="center"/>
          </w:tcPr>
          <w:p w:rsidR="00BD619A" w:rsidRPr="008B53A9" w:rsidRDefault="00BD619A" w:rsidP="001D1607">
            <w:pPr>
              <w:pStyle w:val="Tabulka"/>
              <w:keepNext/>
              <w:keepLines/>
              <w:rPr>
                <w:rFonts w:cs="Calibri"/>
                <w:lang w:val="cs-CZ" w:eastAsia="cs-CZ"/>
              </w:rPr>
            </w:pPr>
          </w:p>
        </w:tc>
        <w:tc>
          <w:tcPr>
            <w:tcW w:w="2254" w:type="dxa"/>
            <w:shd w:val="clear" w:color="auto" w:fill="auto"/>
            <w:vAlign w:val="center"/>
          </w:tcPr>
          <w:p w:rsidR="00BD619A" w:rsidRPr="008B53A9" w:rsidRDefault="00BD619A" w:rsidP="00771951">
            <w:pPr>
              <w:pStyle w:val="Tabulka"/>
              <w:keepNext/>
              <w:keepLines/>
              <w:rPr>
                <w:rFonts w:cs="Calibri"/>
                <w:lang w:val="cs-CZ" w:eastAsia="cs-CZ"/>
              </w:rPr>
            </w:pPr>
            <w:r w:rsidRPr="008B53A9">
              <w:rPr>
                <w:rFonts w:cs="Calibri"/>
                <w:lang w:val="cs-CZ" w:eastAsia="cs-CZ"/>
              </w:rPr>
              <w:t>1.2 – Zvýšit intenzitu a účinnost spolupráce ve výzkumu, vývoji a inovacích</w:t>
            </w:r>
          </w:p>
        </w:tc>
        <w:tc>
          <w:tcPr>
            <w:tcW w:w="1882" w:type="dxa"/>
            <w:vAlign w:val="center"/>
          </w:tcPr>
          <w:p w:rsidR="00BD619A" w:rsidRPr="008B53A9" w:rsidRDefault="008E48D1" w:rsidP="00BA1E1C">
            <w:pPr>
              <w:pStyle w:val="Tabulka"/>
              <w:keepNext/>
              <w:keepLines/>
              <w:rPr>
                <w:rFonts w:cs="Calibri"/>
                <w:lang w:val="cs-CZ" w:eastAsia="cs-CZ"/>
              </w:rPr>
            </w:pPr>
            <w:r w:rsidRPr="008B53A9">
              <w:rPr>
                <w:rFonts w:cs="Calibri"/>
                <w:lang w:val="cs-CZ" w:eastAsia="cs-CZ"/>
              </w:rPr>
              <w:t xml:space="preserve">Výdaje podnikatelského sektoru na provádění VaV ve vládním a vysokoškolském sektoru jako % </w:t>
            </w:r>
            <w:r w:rsidRPr="008B53A9">
              <w:rPr>
                <w:rFonts w:cs="Calibri"/>
                <w:lang w:val="cs-CZ" w:eastAsia="cs-CZ"/>
              </w:rPr>
              <w:lastRenderedPageBreak/>
              <w:t>celkových výdajů na provádění VaV v těchto sektorech</w:t>
            </w:r>
          </w:p>
        </w:tc>
      </w:tr>
      <w:tr w:rsidR="00BE6D25" w:rsidRPr="008B53A9">
        <w:trPr>
          <w:trHeight w:val="364"/>
          <w:jc w:val="center"/>
        </w:trPr>
        <w:tc>
          <w:tcPr>
            <w:tcW w:w="1900" w:type="dxa"/>
            <w:vMerge w:val="restart"/>
            <w:shd w:val="clear" w:color="auto" w:fill="DBE5F1"/>
            <w:vAlign w:val="center"/>
          </w:tcPr>
          <w:p w:rsidR="00BE6D25" w:rsidRPr="008B53A9" w:rsidRDefault="00BE6D25" w:rsidP="005821F5">
            <w:pPr>
              <w:pStyle w:val="Tabulka"/>
              <w:jc w:val="left"/>
              <w:rPr>
                <w:rFonts w:cs="Calibri"/>
                <w:lang w:val="cs-CZ" w:eastAsia="cs-CZ"/>
              </w:rPr>
            </w:pPr>
            <w:r w:rsidRPr="008B53A9">
              <w:rPr>
                <w:rFonts w:cs="Calibri"/>
                <w:lang w:val="cs-CZ" w:eastAsia="cs-CZ"/>
              </w:rPr>
              <w:lastRenderedPageBreak/>
              <w:t xml:space="preserve">PO 2: Rozvoj podnikání a konkurenceschopnosti malých a středních </w:t>
            </w:r>
            <w:r w:rsidR="005821F5" w:rsidRPr="008B53A9">
              <w:rPr>
                <w:rFonts w:cs="Calibri"/>
                <w:lang w:val="cs-CZ" w:eastAsia="cs-CZ"/>
              </w:rPr>
              <w:t>podniků</w:t>
            </w:r>
            <w:r w:rsidRPr="008B53A9">
              <w:rPr>
                <w:rFonts w:cs="Calibri"/>
                <w:lang w:val="cs-CZ" w:eastAsia="cs-CZ"/>
              </w:rPr>
              <w:t xml:space="preserve"> </w:t>
            </w:r>
          </w:p>
        </w:tc>
        <w:tc>
          <w:tcPr>
            <w:tcW w:w="709" w:type="dxa"/>
            <w:vAlign w:val="center"/>
          </w:tcPr>
          <w:p w:rsidR="00BE6D25" w:rsidRPr="008B53A9" w:rsidRDefault="00BE6D25" w:rsidP="00D40246">
            <w:pPr>
              <w:pStyle w:val="Tabulka"/>
              <w:rPr>
                <w:rFonts w:cs="Calibri"/>
                <w:lang w:val="cs-CZ" w:eastAsia="cs-CZ"/>
              </w:rPr>
            </w:pPr>
            <w:r w:rsidRPr="008B53A9">
              <w:rPr>
                <w:rFonts w:cs="Calibri"/>
                <w:lang w:val="cs-CZ" w:eastAsia="cs-CZ"/>
              </w:rPr>
              <w:t>EFRR</w:t>
            </w:r>
          </w:p>
        </w:tc>
        <w:tc>
          <w:tcPr>
            <w:tcW w:w="1445" w:type="dxa"/>
            <w:vAlign w:val="center"/>
          </w:tcPr>
          <w:p w:rsidR="00BE6D25" w:rsidRPr="008B53A9" w:rsidRDefault="00537B82" w:rsidP="00D40246">
            <w:pPr>
              <w:pStyle w:val="Tabulka"/>
              <w:rPr>
                <w:rFonts w:cs="Calibri"/>
                <w:lang w:val="cs-CZ" w:eastAsia="cs-CZ"/>
              </w:rPr>
            </w:pPr>
            <w:r w:rsidRPr="008B53A9">
              <w:rPr>
                <w:rFonts w:cs="Calibri"/>
                <w:lang w:val="cs-CZ" w:eastAsia="cs-CZ"/>
              </w:rPr>
              <w:t>609 428 042</w:t>
            </w:r>
          </w:p>
        </w:tc>
        <w:tc>
          <w:tcPr>
            <w:tcW w:w="1330" w:type="dxa"/>
            <w:vAlign w:val="center"/>
          </w:tcPr>
          <w:p w:rsidR="00BE6D25" w:rsidRPr="008B53A9" w:rsidRDefault="00BD619A" w:rsidP="00847395">
            <w:pPr>
              <w:pStyle w:val="Tabulka"/>
              <w:rPr>
                <w:rFonts w:cs="Calibri"/>
                <w:lang w:val="cs-CZ" w:eastAsia="cs-CZ"/>
              </w:rPr>
            </w:pPr>
            <w:r w:rsidRPr="008B53A9">
              <w:rPr>
                <w:rFonts w:cs="Calibri"/>
                <w:lang w:val="cs-CZ" w:eastAsia="cs-CZ"/>
              </w:rPr>
              <w:t>1</w:t>
            </w:r>
            <w:r w:rsidR="00847395" w:rsidRPr="008B53A9">
              <w:rPr>
                <w:rFonts w:cs="Calibri"/>
                <w:lang w:val="cs-CZ" w:eastAsia="cs-CZ"/>
              </w:rPr>
              <w:t>4</w:t>
            </w:r>
            <w:r w:rsidRPr="008B53A9">
              <w:rPr>
                <w:rFonts w:cs="Calibri"/>
                <w:lang w:val="cs-CZ" w:eastAsia="cs-CZ"/>
              </w:rPr>
              <w:t>,</w:t>
            </w:r>
            <w:r w:rsidR="00847395" w:rsidRPr="008B53A9">
              <w:rPr>
                <w:rFonts w:cs="Calibri"/>
                <w:lang w:val="cs-CZ" w:eastAsia="cs-CZ"/>
              </w:rPr>
              <w:t>12</w:t>
            </w:r>
            <w:r w:rsidR="00A74A51" w:rsidRPr="008B53A9">
              <w:rPr>
                <w:rFonts w:cs="Calibri"/>
                <w:lang w:val="cs-CZ" w:eastAsia="cs-CZ"/>
              </w:rPr>
              <w:t xml:space="preserve"> %</w:t>
            </w:r>
          </w:p>
        </w:tc>
        <w:tc>
          <w:tcPr>
            <w:tcW w:w="1619" w:type="dxa"/>
            <w:vMerge w:val="restart"/>
            <w:vAlign w:val="center"/>
          </w:tcPr>
          <w:p w:rsidR="00BE6D25" w:rsidRPr="008B53A9" w:rsidRDefault="00BE6D25" w:rsidP="00D40246">
            <w:pPr>
              <w:pStyle w:val="Tabulka"/>
              <w:rPr>
                <w:rFonts w:cs="Calibri"/>
                <w:lang w:val="cs-CZ" w:eastAsia="cs-CZ"/>
              </w:rPr>
            </w:pPr>
            <w:r w:rsidRPr="008B53A9">
              <w:rPr>
                <w:rFonts w:cs="Calibri"/>
                <w:lang w:val="cs-CZ" w:eastAsia="cs-CZ"/>
              </w:rPr>
              <w:t>3</w:t>
            </w:r>
            <w:r w:rsidR="00CC5E04" w:rsidRPr="008B53A9">
              <w:rPr>
                <w:rFonts w:cs="Calibri"/>
                <w:lang w:val="cs-CZ" w:eastAsia="cs-CZ"/>
              </w:rPr>
              <w:t>)</w:t>
            </w:r>
            <w:r w:rsidRPr="008B53A9">
              <w:rPr>
                <w:rFonts w:cs="Calibri"/>
                <w:lang w:val="cs-CZ" w:eastAsia="cs-CZ"/>
              </w:rPr>
              <w:t xml:space="preserve"> Zvýšení konkurenceschopnosti malých a středních podniků, odvětví zemědělství (v případě EZFRV) a rybářství a akvakultury (v případě </w:t>
            </w:r>
            <w:r w:rsidR="001B1FD9" w:rsidRPr="008B53A9">
              <w:rPr>
                <w:rFonts w:cs="Calibri"/>
                <w:lang w:val="cs-CZ" w:eastAsia="cs-CZ"/>
              </w:rPr>
              <w:t>EMFF</w:t>
            </w:r>
            <w:r w:rsidRPr="008B53A9">
              <w:rPr>
                <w:rFonts w:cs="Calibri"/>
                <w:lang w:val="cs-CZ" w:eastAsia="cs-CZ"/>
              </w:rPr>
              <w:t>)</w:t>
            </w:r>
          </w:p>
        </w:tc>
        <w:tc>
          <w:tcPr>
            <w:tcW w:w="3119" w:type="dxa"/>
            <w:shd w:val="clear" w:color="auto" w:fill="auto"/>
            <w:vAlign w:val="center"/>
          </w:tcPr>
          <w:p w:rsidR="00BE6D25" w:rsidRPr="008B53A9" w:rsidRDefault="00B54D2B" w:rsidP="00BE6D25">
            <w:pPr>
              <w:pStyle w:val="Tabulka"/>
              <w:widowControl w:val="0"/>
              <w:rPr>
                <w:rFonts w:cs="Calibri"/>
                <w:lang w:val="cs-CZ" w:eastAsia="cs-CZ"/>
              </w:rPr>
            </w:pPr>
            <w:r w:rsidRPr="008B53A9">
              <w:rPr>
                <w:rFonts w:cs="Calibri"/>
                <w:lang w:val="cs-CZ" w:eastAsia="cs-CZ"/>
              </w:rPr>
              <w:t xml:space="preserve">3 a) </w:t>
            </w:r>
            <w:r w:rsidR="00F27EC3" w:rsidRPr="008B53A9">
              <w:rPr>
                <w:rFonts w:cs="Calibri"/>
                <w:lang w:val="cs-CZ" w:eastAsia="cs-CZ"/>
              </w:rPr>
              <w:t>Podpora podnikání, zejména usnadněním hospodářského využívání nových myšlenek a podporou zakládání nových firem</w:t>
            </w:r>
            <w:r w:rsidR="00BE6D25" w:rsidRPr="008B53A9">
              <w:rPr>
                <w:rFonts w:cs="Calibri"/>
                <w:lang w:val="cs-CZ" w:eastAsia="cs-CZ"/>
              </w:rPr>
              <w:t>, mimo jiné prostřednictvím podnikatelských inkubátorů</w:t>
            </w:r>
          </w:p>
        </w:tc>
        <w:tc>
          <w:tcPr>
            <w:tcW w:w="2254" w:type="dxa"/>
            <w:shd w:val="clear" w:color="auto" w:fill="auto"/>
            <w:vAlign w:val="center"/>
          </w:tcPr>
          <w:p w:rsidR="00BE6D25" w:rsidRPr="008B53A9" w:rsidRDefault="00BE6D25" w:rsidP="00CE3F25">
            <w:pPr>
              <w:pStyle w:val="Tabulka"/>
              <w:rPr>
                <w:rFonts w:cs="Calibri"/>
                <w:lang w:val="cs-CZ" w:eastAsia="cs-CZ"/>
              </w:rPr>
            </w:pPr>
            <w:r w:rsidRPr="008B53A9">
              <w:rPr>
                <w:rFonts w:cs="Calibri"/>
                <w:lang w:val="cs-CZ" w:eastAsia="cs-CZ"/>
              </w:rPr>
              <w:t xml:space="preserve">2.1 – </w:t>
            </w:r>
            <w:r w:rsidR="00CE3F25" w:rsidRPr="008B53A9">
              <w:rPr>
                <w:rFonts w:cs="Calibri"/>
                <w:lang w:val="cs-CZ" w:eastAsia="cs-CZ"/>
              </w:rPr>
              <w:t>Zvýšit konkurenceschopnost začínajících a rozvojových MSP</w:t>
            </w:r>
          </w:p>
        </w:tc>
        <w:tc>
          <w:tcPr>
            <w:tcW w:w="1882" w:type="dxa"/>
            <w:vAlign w:val="center"/>
          </w:tcPr>
          <w:p w:rsidR="00BE6D25" w:rsidRPr="008B53A9" w:rsidRDefault="008E48D1" w:rsidP="00BA1E1C">
            <w:pPr>
              <w:pStyle w:val="Tabulka"/>
              <w:rPr>
                <w:rFonts w:cs="Calibri"/>
                <w:lang w:val="cs-CZ" w:eastAsia="cs-CZ"/>
              </w:rPr>
            </w:pPr>
            <w:r w:rsidRPr="008B53A9">
              <w:rPr>
                <w:rFonts w:cs="Calibri"/>
                <w:lang w:val="cs-CZ" w:eastAsia="cs-CZ"/>
              </w:rPr>
              <w:t>Přidaná hodnota MSP jako % přidané hodnoty ČR</w:t>
            </w:r>
          </w:p>
        </w:tc>
      </w:tr>
      <w:tr w:rsidR="00BE6D25" w:rsidRPr="008B53A9">
        <w:trPr>
          <w:trHeight w:val="599"/>
          <w:jc w:val="center"/>
        </w:trPr>
        <w:tc>
          <w:tcPr>
            <w:tcW w:w="1900" w:type="dxa"/>
            <w:vMerge/>
            <w:shd w:val="clear" w:color="auto" w:fill="DBE5F1"/>
            <w:vAlign w:val="center"/>
          </w:tcPr>
          <w:p w:rsidR="00BE6D25" w:rsidRPr="008B53A9" w:rsidRDefault="00BE6D25" w:rsidP="000E0E9B">
            <w:pPr>
              <w:pStyle w:val="Tabulka"/>
              <w:rPr>
                <w:rFonts w:cs="Calibri"/>
                <w:lang w:val="cs-CZ" w:eastAsia="cs-CZ"/>
              </w:rPr>
            </w:pPr>
          </w:p>
        </w:tc>
        <w:tc>
          <w:tcPr>
            <w:tcW w:w="709" w:type="dxa"/>
            <w:vAlign w:val="center"/>
          </w:tcPr>
          <w:p w:rsidR="00BE6D25" w:rsidRPr="008B53A9" w:rsidRDefault="00BE6D25" w:rsidP="00D40246">
            <w:pPr>
              <w:pStyle w:val="Tabulka"/>
              <w:rPr>
                <w:rFonts w:cs="Calibri"/>
                <w:lang w:val="cs-CZ" w:eastAsia="cs-CZ"/>
              </w:rPr>
            </w:pPr>
            <w:r w:rsidRPr="008B53A9">
              <w:rPr>
                <w:rFonts w:cs="Calibri"/>
                <w:lang w:val="cs-CZ" w:eastAsia="cs-CZ"/>
              </w:rPr>
              <w:t>EFRR</w:t>
            </w:r>
          </w:p>
        </w:tc>
        <w:tc>
          <w:tcPr>
            <w:tcW w:w="1445" w:type="dxa"/>
            <w:vAlign w:val="center"/>
          </w:tcPr>
          <w:p w:rsidR="00BE6D25" w:rsidRPr="008B53A9" w:rsidRDefault="00537B82" w:rsidP="00D40246">
            <w:pPr>
              <w:pStyle w:val="Tabulka"/>
              <w:rPr>
                <w:rFonts w:cs="Calibri"/>
                <w:lang w:val="cs-CZ" w:eastAsia="cs-CZ"/>
              </w:rPr>
            </w:pPr>
            <w:r w:rsidRPr="008B53A9">
              <w:rPr>
                <w:rFonts w:cs="Calibri"/>
                <w:lang w:val="cs-CZ" w:eastAsia="cs-CZ"/>
              </w:rPr>
              <w:t>56 540 420</w:t>
            </w:r>
          </w:p>
        </w:tc>
        <w:tc>
          <w:tcPr>
            <w:tcW w:w="1330" w:type="dxa"/>
            <w:vAlign w:val="center"/>
          </w:tcPr>
          <w:p w:rsidR="00BE6D25" w:rsidRPr="008B53A9" w:rsidRDefault="00847395" w:rsidP="00D40246">
            <w:pPr>
              <w:pStyle w:val="Tabulka"/>
              <w:rPr>
                <w:rFonts w:cs="Calibri"/>
                <w:lang w:val="cs-CZ" w:eastAsia="cs-CZ"/>
              </w:rPr>
            </w:pPr>
            <w:r w:rsidRPr="008B53A9">
              <w:rPr>
                <w:rFonts w:cs="Calibri"/>
                <w:lang w:val="cs-CZ" w:eastAsia="cs-CZ"/>
              </w:rPr>
              <w:t>1,31</w:t>
            </w:r>
            <w:r w:rsidR="00A74A51" w:rsidRPr="008B53A9">
              <w:rPr>
                <w:rFonts w:cs="Calibri"/>
                <w:lang w:val="cs-CZ" w:eastAsia="cs-CZ"/>
              </w:rPr>
              <w:t xml:space="preserve"> %</w:t>
            </w:r>
          </w:p>
        </w:tc>
        <w:tc>
          <w:tcPr>
            <w:tcW w:w="1619" w:type="dxa"/>
            <w:vMerge/>
            <w:vAlign w:val="center"/>
          </w:tcPr>
          <w:p w:rsidR="00BE6D25" w:rsidRPr="008B53A9" w:rsidRDefault="00BE6D25" w:rsidP="00D40246">
            <w:pPr>
              <w:pStyle w:val="Tabulka"/>
              <w:rPr>
                <w:rFonts w:cs="Calibri"/>
                <w:lang w:val="cs-CZ" w:eastAsia="cs-CZ"/>
              </w:rPr>
            </w:pPr>
          </w:p>
        </w:tc>
        <w:tc>
          <w:tcPr>
            <w:tcW w:w="3119" w:type="dxa"/>
            <w:shd w:val="clear" w:color="auto" w:fill="auto"/>
            <w:vAlign w:val="center"/>
          </w:tcPr>
          <w:p w:rsidR="00BE6D25" w:rsidRPr="008B53A9" w:rsidRDefault="00B54D2B" w:rsidP="00BE6D25">
            <w:pPr>
              <w:pStyle w:val="Tabulka"/>
              <w:widowControl w:val="0"/>
              <w:rPr>
                <w:rFonts w:cs="Calibri"/>
                <w:lang w:val="cs-CZ" w:eastAsia="cs-CZ"/>
              </w:rPr>
            </w:pPr>
            <w:r w:rsidRPr="008B53A9">
              <w:rPr>
                <w:rFonts w:cs="Calibri"/>
                <w:lang w:val="cs-CZ" w:eastAsia="cs-CZ"/>
              </w:rPr>
              <w:t xml:space="preserve">3 b) </w:t>
            </w:r>
            <w:r w:rsidR="008C7D72" w:rsidRPr="008B53A9">
              <w:rPr>
                <w:rFonts w:cs="Calibri"/>
                <w:lang w:val="cs-CZ" w:eastAsia="cs-CZ"/>
              </w:rPr>
              <w:t>Vyvíjení a provádění nových obchodních modelů</w:t>
            </w:r>
            <w:r w:rsidR="00BE6D25" w:rsidRPr="008B53A9">
              <w:rPr>
                <w:rFonts w:cs="Calibri"/>
                <w:lang w:val="cs-CZ" w:eastAsia="cs-CZ"/>
              </w:rPr>
              <w:t xml:space="preserve"> pro MSP, zejména pro oblast mezinárodního obchodu</w:t>
            </w:r>
          </w:p>
        </w:tc>
        <w:tc>
          <w:tcPr>
            <w:tcW w:w="2254" w:type="dxa"/>
            <w:shd w:val="clear" w:color="auto" w:fill="auto"/>
            <w:vAlign w:val="center"/>
          </w:tcPr>
          <w:p w:rsidR="00BE6D25" w:rsidRPr="008B53A9" w:rsidRDefault="00BE6D25" w:rsidP="000E0E9B">
            <w:pPr>
              <w:pStyle w:val="Tabulka"/>
              <w:rPr>
                <w:rFonts w:cs="Calibri"/>
                <w:lang w:val="cs-CZ" w:eastAsia="cs-CZ"/>
              </w:rPr>
            </w:pPr>
            <w:r w:rsidRPr="008B53A9">
              <w:rPr>
                <w:rFonts w:cs="Calibri"/>
                <w:lang w:val="cs-CZ" w:eastAsia="cs-CZ"/>
              </w:rPr>
              <w:t xml:space="preserve">2.2 - </w:t>
            </w:r>
            <w:r w:rsidR="00FF3A47" w:rsidRPr="008B53A9">
              <w:rPr>
                <w:rFonts w:cs="Calibri"/>
                <w:lang w:val="cs-CZ" w:eastAsia="cs-CZ"/>
              </w:rPr>
              <w:t>Zvýšit internacionalizaci malých a středních podniků</w:t>
            </w:r>
          </w:p>
        </w:tc>
        <w:tc>
          <w:tcPr>
            <w:tcW w:w="1882" w:type="dxa"/>
            <w:vAlign w:val="center"/>
          </w:tcPr>
          <w:p w:rsidR="00BE6D25" w:rsidRPr="008B53A9" w:rsidRDefault="008E48D1" w:rsidP="00BA1E1C">
            <w:pPr>
              <w:pStyle w:val="Tabulka"/>
              <w:rPr>
                <w:rFonts w:cs="Calibri"/>
                <w:lang w:val="cs-CZ" w:eastAsia="cs-CZ"/>
              </w:rPr>
            </w:pPr>
            <w:r w:rsidRPr="008B53A9">
              <w:rPr>
                <w:rFonts w:cs="Calibri"/>
                <w:lang w:val="cs-CZ" w:eastAsia="cs-CZ"/>
              </w:rPr>
              <w:t>Podíl exportu MSP/celkovým výkonům MSP</w:t>
            </w:r>
          </w:p>
        </w:tc>
      </w:tr>
      <w:tr w:rsidR="00BD619A" w:rsidRPr="008B53A9">
        <w:trPr>
          <w:jc w:val="center"/>
        </w:trPr>
        <w:tc>
          <w:tcPr>
            <w:tcW w:w="1900" w:type="dxa"/>
            <w:vMerge/>
            <w:shd w:val="clear" w:color="auto" w:fill="DBE5F1"/>
            <w:vAlign w:val="center"/>
          </w:tcPr>
          <w:p w:rsidR="00BD619A" w:rsidRPr="008B53A9" w:rsidRDefault="00BD619A" w:rsidP="000E0E9B">
            <w:pPr>
              <w:pStyle w:val="Tabulka"/>
              <w:rPr>
                <w:rFonts w:cs="Calibri"/>
                <w:lang w:val="cs-CZ" w:eastAsia="cs-CZ"/>
              </w:rPr>
            </w:pPr>
          </w:p>
        </w:tc>
        <w:tc>
          <w:tcPr>
            <w:tcW w:w="709" w:type="dxa"/>
            <w:vMerge w:val="restart"/>
            <w:vAlign w:val="center"/>
          </w:tcPr>
          <w:p w:rsidR="00BD619A" w:rsidRPr="008B53A9" w:rsidRDefault="00BD619A" w:rsidP="00D40246">
            <w:pPr>
              <w:pStyle w:val="Tabulka"/>
              <w:rPr>
                <w:rFonts w:cs="Calibri"/>
                <w:lang w:val="cs-CZ" w:eastAsia="cs-CZ"/>
              </w:rPr>
            </w:pPr>
            <w:r w:rsidRPr="008B53A9">
              <w:rPr>
                <w:rFonts w:cs="Calibri"/>
                <w:lang w:val="cs-CZ" w:eastAsia="cs-CZ"/>
              </w:rPr>
              <w:t>EFRR</w:t>
            </w:r>
          </w:p>
        </w:tc>
        <w:tc>
          <w:tcPr>
            <w:tcW w:w="1445" w:type="dxa"/>
            <w:vMerge w:val="restart"/>
            <w:vAlign w:val="center"/>
          </w:tcPr>
          <w:p w:rsidR="00BD619A" w:rsidRPr="008B53A9" w:rsidRDefault="00537B82" w:rsidP="00D40246">
            <w:pPr>
              <w:pStyle w:val="Tabulka"/>
              <w:rPr>
                <w:rFonts w:cs="Calibri"/>
                <w:lang w:val="cs-CZ" w:eastAsia="cs-CZ"/>
              </w:rPr>
            </w:pPr>
            <w:r w:rsidRPr="008B53A9">
              <w:rPr>
                <w:rFonts w:cs="Calibri"/>
                <w:lang w:val="cs-CZ" w:eastAsia="cs-CZ"/>
              </w:rPr>
              <w:t>226 161 681</w:t>
            </w:r>
          </w:p>
        </w:tc>
        <w:tc>
          <w:tcPr>
            <w:tcW w:w="1330" w:type="dxa"/>
            <w:vMerge w:val="restart"/>
            <w:vAlign w:val="center"/>
          </w:tcPr>
          <w:p w:rsidR="00BD619A" w:rsidRPr="008B53A9" w:rsidRDefault="00847395" w:rsidP="00D40246">
            <w:pPr>
              <w:pStyle w:val="Tabulka"/>
              <w:rPr>
                <w:rFonts w:cs="Calibri"/>
                <w:lang w:val="cs-CZ" w:eastAsia="cs-CZ"/>
              </w:rPr>
            </w:pPr>
            <w:r w:rsidRPr="008B53A9">
              <w:rPr>
                <w:rFonts w:cs="Calibri"/>
                <w:lang w:val="cs-CZ" w:eastAsia="cs-CZ"/>
              </w:rPr>
              <w:t>5,24</w:t>
            </w:r>
            <w:r w:rsidR="00A74A51" w:rsidRPr="008B53A9">
              <w:rPr>
                <w:rFonts w:cs="Calibri"/>
                <w:lang w:val="cs-CZ" w:eastAsia="cs-CZ"/>
              </w:rPr>
              <w:t xml:space="preserve"> %</w:t>
            </w:r>
          </w:p>
        </w:tc>
        <w:tc>
          <w:tcPr>
            <w:tcW w:w="1619" w:type="dxa"/>
            <w:vMerge/>
            <w:vAlign w:val="center"/>
          </w:tcPr>
          <w:p w:rsidR="00BD619A" w:rsidRPr="008B53A9" w:rsidRDefault="00BD619A" w:rsidP="00D40246">
            <w:pPr>
              <w:pStyle w:val="Tabulka"/>
              <w:rPr>
                <w:rFonts w:cs="Calibri"/>
                <w:lang w:val="cs-CZ" w:eastAsia="cs-CZ"/>
              </w:rPr>
            </w:pPr>
          </w:p>
        </w:tc>
        <w:tc>
          <w:tcPr>
            <w:tcW w:w="3119" w:type="dxa"/>
            <w:vMerge w:val="restart"/>
            <w:shd w:val="clear" w:color="auto" w:fill="auto"/>
            <w:vAlign w:val="center"/>
          </w:tcPr>
          <w:p w:rsidR="00BD619A" w:rsidRPr="008B53A9" w:rsidRDefault="00B54D2B" w:rsidP="00BE6D25">
            <w:pPr>
              <w:pStyle w:val="Tabulka"/>
              <w:widowControl w:val="0"/>
              <w:rPr>
                <w:rFonts w:cs="Calibri"/>
                <w:lang w:val="cs-CZ" w:eastAsia="cs-CZ"/>
              </w:rPr>
            </w:pPr>
            <w:r w:rsidRPr="008B53A9">
              <w:rPr>
                <w:rFonts w:cs="Calibri"/>
                <w:lang w:val="cs-CZ" w:eastAsia="cs-CZ"/>
              </w:rPr>
              <w:t xml:space="preserve">3 c) </w:t>
            </w:r>
            <w:r w:rsidR="002641C7" w:rsidRPr="008B53A9">
              <w:rPr>
                <w:rFonts w:cs="Calibri"/>
                <w:lang w:val="cs-CZ" w:eastAsia="cs-CZ"/>
              </w:rPr>
              <w:t>Podpora vytváření a rozšiřování vyspělých</w:t>
            </w:r>
            <w:r w:rsidR="00BD619A" w:rsidRPr="008B53A9">
              <w:rPr>
                <w:rFonts w:cs="Calibri"/>
                <w:lang w:val="cs-CZ" w:eastAsia="cs-CZ"/>
              </w:rPr>
              <w:t xml:space="preserve"> kapacit pro rozvoj produktů a služeb</w:t>
            </w:r>
          </w:p>
        </w:tc>
        <w:tc>
          <w:tcPr>
            <w:tcW w:w="2254" w:type="dxa"/>
            <w:shd w:val="clear" w:color="auto" w:fill="auto"/>
            <w:vAlign w:val="center"/>
          </w:tcPr>
          <w:p w:rsidR="00BD619A" w:rsidRPr="008B53A9" w:rsidRDefault="00BD619A" w:rsidP="00771951">
            <w:pPr>
              <w:pStyle w:val="Tabulka"/>
              <w:rPr>
                <w:rFonts w:cs="Calibri"/>
                <w:lang w:val="cs-CZ" w:eastAsia="cs-CZ"/>
              </w:rPr>
            </w:pPr>
            <w:r w:rsidRPr="008B53A9">
              <w:rPr>
                <w:rFonts w:cs="Calibri"/>
                <w:lang w:val="cs-CZ" w:eastAsia="cs-CZ"/>
              </w:rPr>
              <w:t>2.3 – Zvýšit využitelnost infrastruktury pro podnikání</w:t>
            </w:r>
          </w:p>
        </w:tc>
        <w:tc>
          <w:tcPr>
            <w:tcW w:w="1882" w:type="dxa"/>
            <w:vAlign w:val="center"/>
          </w:tcPr>
          <w:p w:rsidR="00BD619A" w:rsidRPr="008B53A9" w:rsidRDefault="008E48D1" w:rsidP="00BA1E1C">
            <w:pPr>
              <w:pStyle w:val="Tabulka"/>
              <w:rPr>
                <w:rFonts w:cs="Calibri"/>
                <w:lang w:val="cs-CZ" w:eastAsia="cs-CZ"/>
              </w:rPr>
            </w:pPr>
            <w:r w:rsidRPr="008B53A9">
              <w:rPr>
                <w:rFonts w:cs="Calibri"/>
                <w:lang w:val="cs-CZ" w:eastAsia="cs-CZ"/>
              </w:rPr>
              <w:t>Celková rozloha regenerovaných lokalit v Národní databázi brownfieldů</w:t>
            </w:r>
          </w:p>
        </w:tc>
      </w:tr>
      <w:tr w:rsidR="00BD619A" w:rsidRPr="008B53A9">
        <w:trPr>
          <w:jc w:val="center"/>
        </w:trPr>
        <w:tc>
          <w:tcPr>
            <w:tcW w:w="1900" w:type="dxa"/>
            <w:vMerge/>
            <w:shd w:val="clear" w:color="auto" w:fill="DBE5F1"/>
            <w:vAlign w:val="center"/>
          </w:tcPr>
          <w:p w:rsidR="00BD619A" w:rsidRPr="008B53A9" w:rsidRDefault="00BD619A" w:rsidP="000E0E9B">
            <w:pPr>
              <w:pStyle w:val="Tabulka"/>
              <w:rPr>
                <w:rFonts w:cs="Calibri"/>
                <w:lang w:val="cs-CZ" w:eastAsia="cs-CZ"/>
              </w:rPr>
            </w:pPr>
          </w:p>
        </w:tc>
        <w:tc>
          <w:tcPr>
            <w:tcW w:w="709" w:type="dxa"/>
            <w:vMerge/>
            <w:vAlign w:val="center"/>
          </w:tcPr>
          <w:p w:rsidR="00BD619A" w:rsidRPr="008B53A9" w:rsidRDefault="00BD619A" w:rsidP="00D40246">
            <w:pPr>
              <w:pStyle w:val="Tabulka"/>
              <w:rPr>
                <w:rFonts w:cs="Calibri"/>
                <w:lang w:val="cs-CZ" w:eastAsia="cs-CZ"/>
              </w:rPr>
            </w:pPr>
          </w:p>
        </w:tc>
        <w:tc>
          <w:tcPr>
            <w:tcW w:w="1445" w:type="dxa"/>
            <w:vMerge/>
            <w:vAlign w:val="center"/>
          </w:tcPr>
          <w:p w:rsidR="00BD619A" w:rsidRPr="008B53A9" w:rsidRDefault="00BD619A" w:rsidP="00D40246">
            <w:pPr>
              <w:pStyle w:val="Tabulka"/>
              <w:rPr>
                <w:rFonts w:cs="Calibri"/>
                <w:lang w:val="cs-CZ" w:eastAsia="cs-CZ"/>
              </w:rPr>
            </w:pPr>
          </w:p>
        </w:tc>
        <w:tc>
          <w:tcPr>
            <w:tcW w:w="1330" w:type="dxa"/>
            <w:vMerge/>
            <w:vAlign w:val="center"/>
          </w:tcPr>
          <w:p w:rsidR="00BD619A" w:rsidRPr="008B53A9" w:rsidRDefault="00BD619A" w:rsidP="00D40246">
            <w:pPr>
              <w:pStyle w:val="Tabulka"/>
              <w:rPr>
                <w:rFonts w:cs="Calibri"/>
                <w:lang w:val="cs-CZ" w:eastAsia="cs-CZ"/>
              </w:rPr>
            </w:pPr>
          </w:p>
        </w:tc>
        <w:tc>
          <w:tcPr>
            <w:tcW w:w="1619" w:type="dxa"/>
            <w:vMerge/>
            <w:vAlign w:val="center"/>
          </w:tcPr>
          <w:p w:rsidR="00BD619A" w:rsidRPr="008B53A9" w:rsidRDefault="00BD619A" w:rsidP="00D40246">
            <w:pPr>
              <w:pStyle w:val="Tabulka"/>
              <w:rPr>
                <w:rFonts w:cs="Calibri"/>
                <w:lang w:val="cs-CZ" w:eastAsia="cs-CZ"/>
              </w:rPr>
            </w:pPr>
          </w:p>
        </w:tc>
        <w:tc>
          <w:tcPr>
            <w:tcW w:w="3119" w:type="dxa"/>
            <w:vMerge/>
            <w:shd w:val="clear" w:color="auto" w:fill="auto"/>
            <w:vAlign w:val="center"/>
          </w:tcPr>
          <w:p w:rsidR="00BD619A" w:rsidRPr="008B53A9" w:rsidRDefault="00BD619A" w:rsidP="000E0E9B">
            <w:pPr>
              <w:pStyle w:val="Tabulka"/>
              <w:rPr>
                <w:rFonts w:cs="Calibri"/>
                <w:lang w:val="cs-CZ" w:eastAsia="cs-CZ"/>
              </w:rPr>
            </w:pPr>
          </w:p>
        </w:tc>
        <w:tc>
          <w:tcPr>
            <w:tcW w:w="2254" w:type="dxa"/>
            <w:shd w:val="clear" w:color="auto" w:fill="auto"/>
            <w:vAlign w:val="center"/>
          </w:tcPr>
          <w:p w:rsidR="00BD619A" w:rsidRPr="008B53A9" w:rsidRDefault="00BD619A" w:rsidP="00AC3ECC">
            <w:pPr>
              <w:pStyle w:val="Tabulka"/>
              <w:rPr>
                <w:rFonts w:cs="Calibri"/>
                <w:lang w:val="cs-CZ" w:eastAsia="cs-CZ"/>
              </w:rPr>
            </w:pPr>
            <w:r w:rsidRPr="008B53A9">
              <w:rPr>
                <w:rFonts w:cs="Calibri"/>
                <w:lang w:val="cs-CZ" w:eastAsia="cs-CZ"/>
              </w:rPr>
              <w:t xml:space="preserve">2.4 - </w:t>
            </w:r>
            <w:r w:rsidR="00AC3ECC" w:rsidRPr="008B53A9">
              <w:rPr>
                <w:rFonts w:cs="Calibri"/>
                <w:lang w:val="cs-CZ" w:eastAsia="cs-CZ"/>
              </w:rPr>
              <w:t>Zvýšit kapacitu pro odborné vzdělávání v MSP</w:t>
            </w:r>
          </w:p>
        </w:tc>
        <w:tc>
          <w:tcPr>
            <w:tcW w:w="1882" w:type="dxa"/>
            <w:vAlign w:val="center"/>
          </w:tcPr>
          <w:p w:rsidR="00BD619A" w:rsidRPr="008B53A9" w:rsidRDefault="008E48D1" w:rsidP="00BA1E1C">
            <w:pPr>
              <w:pStyle w:val="Tabulka"/>
              <w:rPr>
                <w:rFonts w:cs="Calibri"/>
                <w:lang w:val="cs-CZ" w:eastAsia="cs-CZ"/>
              </w:rPr>
            </w:pPr>
            <w:r w:rsidRPr="008B53A9">
              <w:rPr>
                <w:rFonts w:cs="Calibri"/>
                <w:lang w:val="cs-CZ" w:eastAsia="cs-CZ"/>
              </w:rPr>
              <w:t>Kapacita školících a vzdělávacích středisek</w:t>
            </w:r>
          </w:p>
        </w:tc>
      </w:tr>
      <w:tr w:rsidR="00DB5E8B" w:rsidRPr="008B53A9">
        <w:trPr>
          <w:jc w:val="center"/>
        </w:trPr>
        <w:tc>
          <w:tcPr>
            <w:tcW w:w="1900" w:type="dxa"/>
            <w:vMerge w:val="restart"/>
            <w:shd w:val="clear" w:color="auto" w:fill="DBE5F1"/>
            <w:vAlign w:val="center"/>
          </w:tcPr>
          <w:p w:rsidR="00DB5E8B" w:rsidRPr="008B53A9" w:rsidRDefault="00DB5E8B" w:rsidP="009670FD">
            <w:pPr>
              <w:pStyle w:val="Tabulka"/>
              <w:jc w:val="left"/>
              <w:rPr>
                <w:rFonts w:cs="Calibri"/>
                <w:lang w:val="cs-CZ" w:eastAsia="cs-CZ"/>
              </w:rPr>
            </w:pPr>
            <w:r w:rsidRPr="008B53A9">
              <w:rPr>
                <w:rFonts w:cs="Calibri"/>
                <w:lang w:val="cs-CZ" w:eastAsia="cs-CZ"/>
              </w:rPr>
              <w:t xml:space="preserve">PO 3: Účinné nakládání energií, rozvoj energetické infrastruktury a obnovitelných zdrojů energie, podpora zavádění nových technologií </w:t>
            </w:r>
            <w:r w:rsidRPr="008B53A9">
              <w:rPr>
                <w:rFonts w:cs="Calibri"/>
                <w:lang w:val="cs-CZ" w:eastAsia="cs-CZ"/>
              </w:rPr>
              <w:lastRenderedPageBreak/>
              <w:t xml:space="preserve">v oblasti nakládání energií a druhotných surovin </w:t>
            </w:r>
          </w:p>
          <w:p w:rsidR="00DB5E8B" w:rsidRPr="008B53A9" w:rsidRDefault="00DB5E8B" w:rsidP="000E0E9B">
            <w:pPr>
              <w:pStyle w:val="Tabulka"/>
              <w:rPr>
                <w:rFonts w:cs="Calibri"/>
                <w:lang w:val="cs-CZ" w:eastAsia="cs-CZ"/>
              </w:rPr>
            </w:pPr>
          </w:p>
        </w:tc>
        <w:tc>
          <w:tcPr>
            <w:tcW w:w="709" w:type="dxa"/>
            <w:vAlign w:val="center"/>
          </w:tcPr>
          <w:p w:rsidR="00DB5E8B" w:rsidRPr="008B53A9" w:rsidRDefault="00DB5E8B" w:rsidP="00D40246">
            <w:pPr>
              <w:pStyle w:val="Tabulka"/>
              <w:rPr>
                <w:rFonts w:cs="Calibri"/>
                <w:lang w:val="cs-CZ" w:eastAsia="cs-CZ"/>
              </w:rPr>
            </w:pPr>
            <w:r w:rsidRPr="008B53A9">
              <w:rPr>
                <w:rFonts w:cs="Calibri"/>
                <w:lang w:val="cs-CZ" w:eastAsia="cs-CZ"/>
              </w:rPr>
              <w:lastRenderedPageBreak/>
              <w:t>EFRR</w:t>
            </w:r>
          </w:p>
        </w:tc>
        <w:tc>
          <w:tcPr>
            <w:tcW w:w="1445" w:type="dxa"/>
            <w:vAlign w:val="center"/>
          </w:tcPr>
          <w:p w:rsidR="00DB5E8B" w:rsidRPr="008B53A9" w:rsidRDefault="00537B82" w:rsidP="00D40246">
            <w:pPr>
              <w:pStyle w:val="Tabulka"/>
              <w:rPr>
                <w:rFonts w:cs="Calibri"/>
                <w:lang w:val="cs-CZ" w:eastAsia="cs-CZ"/>
              </w:rPr>
            </w:pPr>
            <w:r w:rsidRPr="008B53A9">
              <w:rPr>
                <w:rFonts w:cs="Calibri"/>
                <w:lang w:val="cs-CZ" w:eastAsia="cs-CZ"/>
              </w:rPr>
              <w:t>53 519 176</w:t>
            </w:r>
          </w:p>
        </w:tc>
        <w:tc>
          <w:tcPr>
            <w:tcW w:w="1330" w:type="dxa"/>
            <w:vAlign w:val="center"/>
          </w:tcPr>
          <w:p w:rsidR="00DB5E8B" w:rsidRPr="008B53A9" w:rsidRDefault="00DB5E8B" w:rsidP="00847395">
            <w:pPr>
              <w:pStyle w:val="Tabulka"/>
              <w:rPr>
                <w:rFonts w:cs="Calibri"/>
                <w:lang w:val="cs-CZ" w:eastAsia="cs-CZ"/>
              </w:rPr>
            </w:pPr>
            <w:r w:rsidRPr="008B53A9">
              <w:rPr>
                <w:rFonts w:cs="Calibri"/>
                <w:lang w:val="cs-CZ" w:eastAsia="cs-CZ"/>
              </w:rPr>
              <w:t>1,2</w:t>
            </w:r>
            <w:r w:rsidR="00847395" w:rsidRPr="008B53A9">
              <w:rPr>
                <w:rFonts w:cs="Calibri"/>
                <w:lang w:val="cs-CZ" w:eastAsia="cs-CZ"/>
              </w:rPr>
              <w:t>4</w:t>
            </w:r>
            <w:r w:rsidRPr="008B53A9">
              <w:rPr>
                <w:rFonts w:cs="Calibri"/>
                <w:lang w:val="cs-CZ" w:eastAsia="cs-CZ"/>
              </w:rPr>
              <w:t xml:space="preserve"> %</w:t>
            </w:r>
          </w:p>
        </w:tc>
        <w:tc>
          <w:tcPr>
            <w:tcW w:w="1619" w:type="dxa"/>
            <w:vMerge w:val="restart"/>
            <w:vAlign w:val="center"/>
          </w:tcPr>
          <w:p w:rsidR="00DB5E8B" w:rsidRPr="008B53A9" w:rsidRDefault="00DB5E8B" w:rsidP="00D40246">
            <w:pPr>
              <w:pStyle w:val="Tabulka"/>
              <w:rPr>
                <w:rFonts w:cs="Calibri"/>
                <w:lang w:val="cs-CZ" w:eastAsia="cs-CZ"/>
              </w:rPr>
            </w:pPr>
            <w:r w:rsidRPr="008B53A9">
              <w:rPr>
                <w:rFonts w:cs="Calibri"/>
                <w:lang w:val="cs-CZ" w:eastAsia="cs-CZ"/>
              </w:rPr>
              <w:t>4</w:t>
            </w:r>
            <w:r w:rsidR="00CC5E04" w:rsidRPr="008B53A9">
              <w:rPr>
                <w:rFonts w:cs="Calibri"/>
                <w:lang w:val="cs-CZ" w:eastAsia="cs-CZ"/>
              </w:rPr>
              <w:t>)</w:t>
            </w:r>
            <w:r w:rsidRPr="008B53A9">
              <w:rPr>
                <w:rFonts w:cs="Calibri"/>
                <w:lang w:val="cs-CZ" w:eastAsia="cs-CZ"/>
              </w:rPr>
              <w:t xml:space="preserve"> Podpora přechodu na nízkouhlíkové hospodářství ve všech odvětvích</w:t>
            </w:r>
          </w:p>
        </w:tc>
        <w:tc>
          <w:tcPr>
            <w:tcW w:w="3119" w:type="dxa"/>
            <w:shd w:val="clear" w:color="auto" w:fill="auto"/>
            <w:vAlign w:val="center"/>
          </w:tcPr>
          <w:p w:rsidR="00DB5E8B" w:rsidRPr="008B53A9" w:rsidRDefault="00B54D2B" w:rsidP="00BE6D25">
            <w:pPr>
              <w:pStyle w:val="Tabulka"/>
              <w:widowControl w:val="0"/>
              <w:rPr>
                <w:rFonts w:cs="Calibri"/>
                <w:lang w:val="cs-CZ" w:eastAsia="cs-CZ"/>
              </w:rPr>
            </w:pPr>
            <w:r w:rsidRPr="008B53A9">
              <w:rPr>
                <w:rFonts w:cs="Calibri"/>
                <w:lang w:val="cs-CZ" w:eastAsia="cs-CZ"/>
              </w:rPr>
              <w:t xml:space="preserve">4 a) </w:t>
            </w:r>
            <w:r w:rsidR="00DB5E8B" w:rsidRPr="008B53A9">
              <w:rPr>
                <w:rFonts w:cs="Calibri"/>
                <w:lang w:val="cs-CZ" w:eastAsia="cs-CZ"/>
              </w:rPr>
              <w:t>Podpora výroby a distribuce energie pocházející z obnovitelných zdrojů</w:t>
            </w:r>
          </w:p>
        </w:tc>
        <w:tc>
          <w:tcPr>
            <w:tcW w:w="2254" w:type="dxa"/>
            <w:shd w:val="clear" w:color="auto" w:fill="auto"/>
            <w:vAlign w:val="center"/>
          </w:tcPr>
          <w:p w:rsidR="00DB5E8B" w:rsidRPr="008B53A9" w:rsidRDefault="00DB5E8B" w:rsidP="00771951">
            <w:pPr>
              <w:pStyle w:val="Tabulka"/>
              <w:rPr>
                <w:rFonts w:cs="Calibri"/>
                <w:lang w:val="cs-CZ" w:eastAsia="cs-CZ"/>
              </w:rPr>
            </w:pPr>
            <w:r w:rsidRPr="008B53A9">
              <w:rPr>
                <w:rFonts w:cs="Calibri"/>
                <w:lang w:val="cs-CZ" w:eastAsia="cs-CZ"/>
              </w:rPr>
              <w:t>3.1 – Zvýšit podíl výroby energie z obnovitelných zdrojů na hrubé konečné spotřebě ČR</w:t>
            </w:r>
          </w:p>
        </w:tc>
        <w:tc>
          <w:tcPr>
            <w:tcW w:w="1882" w:type="dxa"/>
            <w:vAlign w:val="center"/>
          </w:tcPr>
          <w:p w:rsidR="00DB5E8B" w:rsidRPr="008B53A9" w:rsidRDefault="008E48D1" w:rsidP="00BA1E1C">
            <w:pPr>
              <w:pStyle w:val="Tabulka"/>
              <w:rPr>
                <w:rFonts w:cs="Calibri"/>
                <w:lang w:val="cs-CZ" w:eastAsia="cs-CZ"/>
              </w:rPr>
            </w:pPr>
            <w:r w:rsidRPr="008B53A9">
              <w:rPr>
                <w:rFonts w:cs="Calibri"/>
                <w:lang w:val="cs-CZ" w:eastAsia="cs-CZ"/>
              </w:rPr>
              <w:t>Podíl energie z obnovitelných zdrojů na hrubé konečné spotřebě energie</w:t>
            </w:r>
          </w:p>
        </w:tc>
      </w:tr>
      <w:tr w:rsidR="00DB5E8B" w:rsidRPr="008B53A9">
        <w:trPr>
          <w:jc w:val="center"/>
        </w:trPr>
        <w:tc>
          <w:tcPr>
            <w:tcW w:w="1900" w:type="dxa"/>
            <w:vMerge/>
            <w:shd w:val="clear" w:color="auto" w:fill="DBE5F1"/>
            <w:vAlign w:val="center"/>
          </w:tcPr>
          <w:p w:rsidR="00DB5E8B" w:rsidRPr="008B53A9" w:rsidRDefault="00DB5E8B" w:rsidP="000E0E9B">
            <w:pPr>
              <w:pStyle w:val="Tabulka"/>
              <w:rPr>
                <w:rFonts w:cs="Calibri"/>
                <w:lang w:val="cs-CZ" w:eastAsia="cs-CZ"/>
              </w:rPr>
            </w:pPr>
          </w:p>
        </w:tc>
        <w:tc>
          <w:tcPr>
            <w:tcW w:w="709" w:type="dxa"/>
            <w:vAlign w:val="center"/>
          </w:tcPr>
          <w:p w:rsidR="00DB5E8B" w:rsidRPr="008B53A9" w:rsidRDefault="00DB5E8B" w:rsidP="00D40246">
            <w:pPr>
              <w:pStyle w:val="Tabulka"/>
              <w:rPr>
                <w:rFonts w:cs="Calibri"/>
                <w:lang w:val="cs-CZ" w:eastAsia="cs-CZ"/>
              </w:rPr>
            </w:pPr>
            <w:r w:rsidRPr="008B53A9">
              <w:rPr>
                <w:rFonts w:cs="Calibri"/>
                <w:lang w:val="cs-CZ" w:eastAsia="cs-CZ"/>
              </w:rPr>
              <w:t>EFRR</w:t>
            </w:r>
          </w:p>
        </w:tc>
        <w:tc>
          <w:tcPr>
            <w:tcW w:w="1445" w:type="dxa"/>
            <w:vAlign w:val="center"/>
          </w:tcPr>
          <w:p w:rsidR="00DB5E8B" w:rsidRPr="008B53A9" w:rsidRDefault="00537B82" w:rsidP="00D40246">
            <w:pPr>
              <w:pStyle w:val="Tabulka"/>
              <w:rPr>
                <w:rFonts w:cs="Calibri"/>
                <w:lang w:val="cs-CZ" w:eastAsia="cs-CZ"/>
              </w:rPr>
            </w:pPr>
            <w:r w:rsidRPr="008B53A9">
              <w:rPr>
                <w:rFonts w:cs="Calibri"/>
                <w:lang w:val="cs-CZ" w:eastAsia="cs-CZ"/>
              </w:rPr>
              <w:t>746 247 226</w:t>
            </w:r>
          </w:p>
        </w:tc>
        <w:tc>
          <w:tcPr>
            <w:tcW w:w="1330" w:type="dxa"/>
            <w:vAlign w:val="center"/>
          </w:tcPr>
          <w:p w:rsidR="00DB5E8B" w:rsidRPr="008B53A9" w:rsidRDefault="00DB5E8B" w:rsidP="00115A81">
            <w:pPr>
              <w:pStyle w:val="Tabulka"/>
              <w:rPr>
                <w:rFonts w:cs="Calibri"/>
                <w:lang w:val="cs-CZ" w:eastAsia="cs-CZ"/>
              </w:rPr>
            </w:pPr>
            <w:r w:rsidRPr="008B53A9">
              <w:rPr>
                <w:rFonts w:cs="Calibri"/>
                <w:lang w:val="cs-CZ" w:eastAsia="cs-CZ"/>
              </w:rPr>
              <w:t>1</w:t>
            </w:r>
            <w:r w:rsidR="00847395" w:rsidRPr="008B53A9">
              <w:rPr>
                <w:rFonts w:cs="Calibri"/>
                <w:lang w:val="cs-CZ" w:eastAsia="cs-CZ"/>
              </w:rPr>
              <w:t>7</w:t>
            </w:r>
            <w:r w:rsidRPr="008B53A9">
              <w:rPr>
                <w:rFonts w:cs="Calibri"/>
                <w:lang w:val="cs-CZ" w:eastAsia="cs-CZ"/>
              </w:rPr>
              <w:t>,</w:t>
            </w:r>
            <w:r w:rsidR="00115A81" w:rsidRPr="008B53A9">
              <w:rPr>
                <w:rFonts w:cs="Calibri"/>
                <w:lang w:val="cs-CZ" w:eastAsia="cs-CZ"/>
              </w:rPr>
              <w:t>29</w:t>
            </w:r>
            <w:r w:rsidRPr="008B53A9">
              <w:rPr>
                <w:rFonts w:cs="Calibri"/>
                <w:lang w:val="cs-CZ" w:eastAsia="cs-CZ"/>
              </w:rPr>
              <w:t xml:space="preserve"> %</w:t>
            </w:r>
          </w:p>
        </w:tc>
        <w:tc>
          <w:tcPr>
            <w:tcW w:w="1619" w:type="dxa"/>
            <w:vMerge/>
            <w:vAlign w:val="center"/>
          </w:tcPr>
          <w:p w:rsidR="00DB5E8B" w:rsidRPr="008B53A9" w:rsidRDefault="00DB5E8B" w:rsidP="00D40246">
            <w:pPr>
              <w:pStyle w:val="Tabulka"/>
              <w:rPr>
                <w:rFonts w:cs="Calibri"/>
                <w:lang w:val="cs-CZ" w:eastAsia="cs-CZ"/>
              </w:rPr>
            </w:pPr>
          </w:p>
        </w:tc>
        <w:tc>
          <w:tcPr>
            <w:tcW w:w="3119" w:type="dxa"/>
            <w:shd w:val="clear" w:color="auto" w:fill="auto"/>
            <w:vAlign w:val="center"/>
          </w:tcPr>
          <w:p w:rsidR="00DB5E8B" w:rsidRPr="008B53A9" w:rsidRDefault="00B54D2B" w:rsidP="00BE6D25">
            <w:pPr>
              <w:pStyle w:val="Tabulka"/>
              <w:widowControl w:val="0"/>
              <w:rPr>
                <w:rFonts w:cs="Calibri"/>
                <w:lang w:val="cs-CZ" w:eastAsia="cs-CZ"/>
              </w:rPr>
            </w:pPr>
            <w:r w:rsidRPr="008B53A9">
              <w:rPr>
                <w:rFonts w:cs="Calibri"/>
                <w:lang w:val="cs-CZ" w:eastAsia="cs-CZ"/>
              </w:rPr>
              <w:t xml:space="preserve">4 b) </w:t>
            </w:r>
            <w:r w:rsidR="00DB5E8B" w:rsidRPr="008B53A9">
              <w:rPr>
                <w:rFonts w:cs="Calibri"/>
                <w:lang w:val="cs-CZ" w:eastAsia="cs-CZ"/>
              </w:rPr>
              <w:t>Podpora energetické účinnosti a využívání energie z obnovitelných zdrojů v podnicích</w:t>
            </w:r>
          </w:p>
        </w:tc>
        <w:tc>
          <w:tcPr>
            <w:tcW w:w="2254" w:type="dxa"/>
            <w:shd w:val="clear" w:color="auto" w:fill="auto"/>
            <w:vAlign w:val="center"/>
          </w:tcPr>
          <w:p w:rsidR="00DB5E8B" w:rsidRPr="008B53A9" w:rsidRDefault="00DB5E8B" w:rsidP="008A674D">
            <w:pPr>
              <w:pStyle w:val="Tabulka"/>
              <w:rPr>
                <w:rFonts w:cs="Calibri"/>
                <w:lang w:val="cs-CZ" w:eastAsia="cs-CZ"/>
              </w:rPr>
            </w:pPr>
            <w:r w:rsidRPr="008B53A9">
              <w:rPr>
                <w:rFonts w:cs="Calibri"/>
                <w:lang w:val="cs-CZ" w:eastAsia="cs-CZ"/>
              </w:rPr>
              <w:t xml:space="preserve">3.2 – </w:t>
            </w:r>
            <w:r w:rsidR="00A72338" w:rsidRPr="008B53A9">
              <w:rPr>
                <w:rFonts w:cs="Calibri"/>
                <w:lang w:val="cs-CZ" w:eastAsia="cs-CZ"/>
              </w:rPr>
              <w:t xml:space="preserve">Zvýšit energetickou účinnost podnikatelského </w:t>
            </w:r>
            <w:r w:rsidR="00A72338" w:rsidRPr="008B53A9">
              <w:rPr>
                <w:rFonts w:cs="Calibri"/>
                <w:lang w:val="cs-CZ" w:eastAsia="cs-CZ"/>
              </w:rPr>
              <w:lastRenderedPageBreak/>
              <w:t>sektoru</w:t>
            </w:r>
          </w:p>
        </w:tc>
        <w:tc>
          <w:tcPr>
            <w:tcW w:w="1882" w:type="dxa"/>
            <w:vAlign w:val="center"/>
          </w:tcPr>
          <w:p w:rsidR="00DB5E8B" w:rsidRPr="008B53A9" w:rsidRDefault="008E48D1" w:rsidP="00BA1E1C">
            <w:pPr>
              <w:pStyle w:val="Tabulka"/>
              <w:rPr>
                <w:rFonts w:cs="Calibri"/>
                <w:lang w:val="cs-CZ" w:eastAsia="cs-CZ"/>
              </w:rPr>
            </w:pPr>
            <w:r w:rsidRPr="008B53A9">
              <w:rPr>
                <w:rFonts w:cs="Calibri"/>
                <w:lang w:val="cs-CZ" w:eastAsia="cs-CZ"/>
              </w:rPr>
              <w:lastRenderedPageBreak/>
              <w:t>Čistá konečná spotřeba energie</w:t>
            </w:r>
          </w:p>
        </w:tc>
      </w:tr>
      <w:tr w:rsidR="00DB5E8B" w:rsidRPr="008B53A9">
        <w:trPr>
          <w:jc w:val="center"/>
        </w:trPr>
        <w:tc>
          <w:tcPr>
            <w:tcW w:w="1900" w:type="dxa"/>
            <w:vMerge/>
            <w:shd w:val="clear" w:color="auto" w:fill="DBE5F1"/>
            <w:vAlign w:val="center"/>
          </w:tcPr>
          <w:p w:rsidR="00DB5E8B" w:rsidRPr="008B53A9" w:rsidRDefault="00DB5E8B" w:rsidP="000E0E9B">
            <w:pPr>
              <w:pStyle w:val="Tabulka"/>
              <w:rPr>
                <w:rFonts w:cs="Calibri"/>
                <w:lang w:val="cs-CZ" w:eastAsia="cs-CZ"/>
              </w:rPr>
            </w:pPr>
          </w:p>
        </w:tc>
        <w:tc>
          <w:tcPr>
            <w:tcW w:w="709" w:type="dxa"/>
            <w:vAlign w:val="center"/>
          </w:tcPr>
          <w:p w:rsidR="00DB5E8B" w:rsidRPr="008B53A9" w:rsidRDefault="00DB5E8B" w:rsidP="00D40246">
            <w:pPr>
              <w:pStyle w:val="Tabulka"/>
              <w:rPr>
                <w:rFonts w:cs="Calibri"/>
                <w:lang w:val="cs-CZ" w:eastAsia="cs-CZ"/>
              </w:rPr>
            </w:pPr>
            <w:r w:rsidRPr="008B53A9">
              <w:rPr>
                <w:rFonts w:cs="Calibri"/>
                <w:lang w:val="cs-CZ" w:eastAsia="cs-CZ"/>
              </w:rPr>
              <w:t>EFRR</w:t>
            </w:r>
          </w:p>
        </w:tc>
        <w:tc>
          <w:tcPr>
            <w:tcW w:w="1445" w:type="dxa"/>
            <w:vAlign w:val="center"/>
          </w:tcPr>
          <w:p w:rsidR="00DB5E8B" w:rsidRPr="008B53A9" w:rsidRDefault="00537B82" w:rsidP="00D40246">
            <w:pPr>
              <w:pStyle w:val="Tabulka"/>
              <w:rPr>
                <w:rFonts w:cs="Calibri"/>
                <w:lang w:val="cs-CZ" w:eastAsia="cs-CZ"/>
              </w:rPr>
            </w:pPr>
            <w:r w:rsidRPr="008B53A9">
              <w:rPr>
                <w:rFonts w:cs="Calibri"/>
                <w:lang w:val="cs-CZ" w:eastAsia="cs-CZ"/>
              </w:rPr>
              <w:t>37 118 139</w:t>
            </w:r>
          </w:p>
        </w:tc>
        <w:tc>
          <w:tcPr>
            <w:tcW w:w="1330" w:type="dxa"/>
            <w:vAlign w:val="center"/>
          </w:tcPr>
          <w:p w:rsidR="00DB5E8B" w:rsidRPr="008B53A9" w:rsidRDefault="00DB5E8B" w:rsidP="00115A81">
            <w:pPr>
              <w:pStyle w:val="Tabulka"/>
              <w:rPr>
                <w:rFonts w:cs="Calibri"/>
                <w:lang w:val="cs-CZ" w:eastAsia="cs-CZ"/>
              </w:rPr>
            </w:pPr>
            <w:r w:rsidRPr="008B53A9">
              <w:rPr>
                <w:rFonts w:cs="Calibri"/>
                <w:lang w:val="cs-CZ" w:eastAsia="cs-CZ"/>
              </w:rPr>
              <w:t>0,8</w:t>
            </w:r>
            <w:r w:rsidR="00115A81" w:rsidRPr="008B53A9">
              <w:rPr>
                <w:rFonts w:cs="Calibri"/>
                <w:lang w:val="cs-CZ" w:eastAsia="cs-CZ"/>
              </w:rPr>
              <w:t>6</w:t>
            </w:r>
            <w:r w:rsidRPr="008B53A9">
              <w:rPr>
                <w:rFonts w:cs="Calibri"/>
                <w:lang w:val="cs-CZ" w:eastAsia="cs-CZ"/>
              </w:rPr>
              <w:t xml:space="preserve"> %</w:t>
            </w:r>
          </w:p>
        </w:tc>
        <w:tc>
          <w:tcPr>
            <w:tcW w:w="1619" w:type="dxa"/>
            <w:vMerge/>
            <w:vAlign w:val="center"/>
          </w:tcPr>
          <w:p w:rsidR="00DB5E8B" w:rsidRPr="008B53A9" w:rsidRDefault="00DB5E8B" w:rsidP="00D40246">
            <w:pPr>
              <w:pStyle w:val="Tabulka"/>
              <w:rPr>
                <w:rFonts w:cs="Calibri"/>
                <w:lang w:val="cs-CZ" w:eastAsia="cs-CZ"/>
              </w:rPr>
            </w:pPr>
          </w:p>
        </w:tc>
        <w:tc>
          <w:tcPr>
            <w:tcW w:w="3119" w:type="dxa"/>
            <w:shd w:val="clear" w:color="auto" w:fill="auto"/>
            <w:vAlign w:val="center"/>
          </w:tcPr>
          <w:p w:rsidR="00DB5E8B" w:rsidRPr="008B53A9" w:rsidRDefault="00B54D2B" w:rsidP="00BE6D25">
            <w:pPr>
              <w:pStyle w:val="Tabulka"/>
              <w:widowControl w:val="0"/>
              <w:rPr>
                <w:rFonts w:cs="Calibri"/>
                <w:lang w:val="cs-CZ" w:eastAsia="cs-CZ"/>
              </w:rPr>
            </w:pPr>
            <w:r w:rsidRPr="008B53A9">
              <w:rPr>
                <w:rFonts w:cs="Calibri"/>
                <w:lang w:val="cs-CZ" w:eastAsia="cs-CZ"/>
              </w:rPr>
              <w:t xml:space="preserve">4 d) </w:t>
            </w:r>
            <w:r w:rsidR="00DB5E8B" w:rsidRPr="008B53A9">
              <w:rPr>
                <w:rFonts w:cs="Calibri"/>
                <w:lang w:val="cs-CZ" w:eastAsia="cs-CZ"/>
              </w:rPr>
              <w:t>Rozvoj a zavádění inteligentních distribučních soustav, jež fungují na hladině nízkého a středního napětí</w:t>
            </w:r>
          </w:p>
        </w:tc>
        <w:tc>
          <w:tcPr>
            <w:tcW w:w="2254" w:type="dxa"/>
            <w:shd w:val="clear" w:color="auto" w:fill="auto"/>
            <w:vAlign w:val="center"/>
          </w:tcPr>
          <w:p w:rsidR="00DB5E8B" w:rsidRPr="008B53A9" w:rsidRDefault="00DB5E8B" w:rsidP="000E0E9B">
            <w:pPr>
              <w:pStyle w:val="Tabulka"/>
              <w:rPr>
                <w:rFonts w:cs="Calibri"/>
                <w:lang w:val="cs-CZ" w:eastAsia="cs-CZ"/>
              </w:rPr>
            </w:pPr>
            <w:r w:rsidRPr="008B53A9">
              <w:rPr>
                <w:rFonts w:cs="Calibri"/>
                <w:lang w:val="cs-CZ" w:eastAsia="cs-CZ"/>
              </w:rPr>
              <w:t xml:space="preserve">3.3 - </w:t>
            </w:r>
            <w:r w:rsidR="00E314F2" w:rsidRPr="008B53A9">
              <w:rPr>
                <w:rFonts w:cs="Calibri"/>
                <w:lang w:val="cs-CZ" w:eastAsia="cs-CZ"/>
              </w:rPr>
              <w:t>Zvýšit aplikaci prvků inteligentních sítí v distribučních soustavách</w:t>
            </w:r>
          </w:p>
        </w:tc>
        <w:tc>
          <w:tcPr>
            <w:tcW w:w="1882" w:type="dxa"/>
            <w:vAlign w:val="center"/>
          </w:tcPr>
          <w:p w:rsidR="005E0458" w:rsidRPr="008B53A9" w:rsidRDefault="005E0458" w:rsidP="00BA1E1C">
            <w:pPr>
              <w:pStyle w:val="Tabulka"/>
              <w:rPr>
                <w:rFonts w:cs="Calibri"/>
                <w:szCs w:val="20"/>
                <w:lang w:val="cs-CZ" w:eastAsia="cs-CZ"/>
              </w:rPr>
            </w:pPr>
            <w:r w:rsidRPr="008B53A9">
              <w:rPr>
                <w:rFonts w:cs="Calibri"/>
                <w:szCs w:val="20"/>
                <w:lang w:val="cs-CZ" w:eastAsia="cs-CZ"/>
              </w:rPr>
              <w:t>SAIFI</w:t>
            </w:r>
          </w:p>
          <w:p w:rsidR="00DB5E8B" w:rsidRPr="008B53A9" w:rsidRDefault="008F1E9F" w:rsidP="00BA1E1C">
            <w:pPr>
              <w:pStyle w:val="Tabulka"/>
              <w:rPr>
                <w:rFonts w:cs="Calibri"/>
                <w:lang w:val="cs-CZ" w:eastAsia="cs-CZ"/>
              </w:rPr>
            </w:pPr>
            <w:r w:rsidRPr="008B53A9">
              <w:rPr>
                <w:rFonts w:cs="Calibri"/>
                <w:szCs w:val="20"/>
                <w:lang w:val="cs-CZ" w:eastAsia="cs-CZ"/>
              </w:rPr>
              <w:t>SAIDI</w:t>
            </w:r>
          </w:p>
        </w:tc>
      </w:tr>
      <w:tr w:rsidR="00DB5E8B" w:rsidRPr="008B53A9">
        <w:trPr>
          <w:jc w:val="center"/>
        </w:trPr>
        <w:tc>
          <w:tcPr>
            <w:tcW w:w="1900" w:type="dxa"/>
            <w:vMerge/>
            <w:shd w:val="clear" w:color="auto" w:fill="DBE5F1"/>
            <w:vAlign w:val="center"/>
          </w:tcPr>
          <w:p w:rsidR="00DB5E8B" w:rsidRPr="008B53A9" w:rsidRDefault="00DB5E8B" w:rsidP="000E0E9B">
            <w:pPr>
              <w:pStyle w:val="Tabulka"/>
              <w:rPr>
                <w:rFonts w:cs="Calibri"/>
                <w:lang w:val="cs-CZ" w:eastAsia="cs-CZ"/>
              </w:rPr>
            </w:pPr>
          </w:p>
        </w:tc>
        <w:tc>
          <w:tcPr>
            <w:tcW w:w="709" w:type="dxa"/>
            <w:vAlign w:val="center"/>
          </w:tcPr>
          <w:p w:rsidR="00DB5E8B" w:rsidRPr="008B53A9" w:rsidRDefault="00DB5E8B" w:rsidP="00D40246">
            <w:pPr>
              <w:pStyle w:val="Tabulka"/>
              <w:rPr>
                <w:rFonts w:cs="Calibri"/>
                <w:lang w:val="cs-CZ" w:eastAsia="cs-CZ"/>
              </w:rPr>
            </w:pPr>
            <w:r w:rsidRPr="008B53A9">
              <w:rPr>
                <w:rFonts w:cs="Calibri"/>
                <w:lang w:val="cs-CZ" w:eastAsia="cs-CZ"/>
              </w:rPr>
              <w:t>EFRR</w:t>
            </w:r>
          </w:p>
        </w:tc>
        <w:tc>
          <w:tcPr>
            <w:tcW w:w="1445" w:type="dxa"/>
            <w:vAlign w:val="center"/>
          </w:tcPr>
          <w:p w:rsidR="00DB5E8B" w:rsidRPr="008B53A9" w:rsidRDefault="00537B82" w:rsidP="00D40246">
            <w:pPr>
              <w:pStyle w:val="Tabulka"/>
              <w:rPr>
                <w:rFonts w:cs="Calibri"/>
                <w:lang w:val="cs-CZ" w:eastAsia="cs-CZ"/>
              </w:rPr>
            </w:pPr>
            <w:r w:rsidRPr="008B53A9">
              <w:rPr>
                <w:rFonts w:cs="Calibri"/>
                <w:lang w:val="cs-CZ" w:eastAsia="cs-CZ"/>
              </w:rPr>
              <w:t>37 549 745</w:t>
            </w:r>
          </w:p>
        </w:tc>
        <w:tc>
          <w:tcPr>
            <w:tcW w:w="1330" w:type="dxa"/>
            <w:vAlign w:val="center"/>
          </w:tcPr>
          <w:p w:rsidR="00DB5E8B" w:rsidRPr="008B53A9" w:rsidRDefault="00DB5E8B" w:rsidP="00115A81">
            <w:pPr>
              <w:pStyle w:val="Tabulka"/>
              <w:rPr>
                <w:rFonts w:cs="Calibri"/>
                <w:lang w:val="cs-CZ" w:eastAsia="cs-CZ"/>
              </w:rPr>
            </w:pPr>
            <w:r w:rsidRPr="008B53A9">
              <w:rPr>
                <w:rFonts w:cs="Calibri"/>
                <w:lang w:val="cs-CZ" w:eastAsia="cs-CZ"/>
              </w:rPr>
              <w:t>0,</w:t>
            </w:r>
            <w:r w:rsidR="00115A81" w:rsidRPr="008B53A9">
              <w:rPr>
                <w:rFonts w:cs="Calibri"/>
                <w:lang w:val="cs-CZ" w:eastAsia="cs-CZ"/>
              </w:rPr>
              <w:t>87</w:t>
            </w:r>
            <w:r w:rsidRPr="008B53A9">
              <w:rPr>
                <w:rFonts w:cs="Calibri"/>
                <w:lang w:val="cs-CZ" w:eastAsia="cs-CZ"/>
              </w:rPr>
              <w:t xml:space="preserve"> %</w:t>
            </w:r>
          </w:p>
        </w:tc>
        <w:tc>
          <w:tcPr>
            <w:tcW w:w="1619" w:type="dxa"/>
            <w:vMerge/>
            <w:vAlign w:val="center"/>
          </w:tcPr>
          <w:p w:rsidR="00DB5E8B" w:rsidRPr="008B53A9" w:rsidRDefault="00DB5E8B" w:rsidP="00D40246">
            <w:pPr>
              <w:pStyle w:val="Tabulka"/>
              <w:rPr>
                <w:rFonts w:cs="Calibri"/>
                <w:lang w:val="cs-CZ" w:eastAsia="cs-CZ"/>
              </w:rPr>
            </w:pPr>
          </w:p>
        </w:tc>
        <w:tc>
          <w:tcPr>
            <w:tcW w:w="3119" w:type="dxa"/>
            <w:shd w:val="clear" w:color="auto" w:fill="auto"/>
            <w:vAlign w:val="center"/>
          </w:tcPr>
          <w:p w:rsidR="00DB5E8B" w:rsidRPr="008B53A9" w:rsidRDefault="00B54D2B" w:rsidP="00BE6D25">
            <w:pPr>
              <w:pStyle w:val="Tabulka"/>
              <w:widowControl w:val="0"/>
              <w:rPr>
                <w:rFonts w:cs="Calibri"/>
                <w:lang w:val="cs-CZ" w:eastAsia="cs-CZ"/>
              </w:rPr>
            </w:pPr>
            <w:r w:rsidRPr="008B53A9">
              <w:rPr>
                <w:rFonts w:cs="Calibri"/>
                <w:lang w:val="cs-CZ" w:eastAsia="cs-CZ"/>
              </w:rPr>
              <w:t xml:space="preserve">4 f) </w:t>
            </w:r>
            <w:r w:rsidR="002641C7" w:rsidRPr="008B53A9">
              <w:rPr>
                <w:rFonts w:cs="Calibri"/>
                <w:lang w:val="cs-CZ" w:eastAsia="cs-CZ"/>
              </w:rPr>
              <w:t>Podpora výzkumu a inovací a zavádění nízkouhlíkových technologií</w:t>
            </w:r>
          </w:p>
        </w:tc>
        <w:tc>
          <w:tcPr>
            <w:tcW w:w="2254" w:type="dxa"/>
            <w:shd w:val="clear" w:color="auto" w:fill="auto"/>
            <w:vAlign w:val="center"/>
          </w:tcPr>
          <w:p w:rsidR="00DB5E8B" w:rsidRPr="008B53A9" w:rsidRDefault="00DB5E8B" w:rsidP="00771951">
            <w:pPr>
              <w:pStyle w:val="Tabulka"/>
              <w:rPr>
                <w:rFonts w:cs="Calibri"/>
                <w:lang w:val="cs-CZ" w:eastAsia="cs-CZ"/>
              </w:rPr>
            </w:pPr>
            <w:r w:rsidRPr="008B53A9">
              <w:rPr>
                <w:rFonts w:cs="Calibri"/>
                <w:lang w:val="cs-CZ" w:eastAsia="cs-CZ"/>
              </w:rPr>
              <w:t xml:space="preserve">3.4 -  </w:t>
            </w:r>
            <w:r w:rsidR="000D28F9" w:rsidRPr="008B53A9">
              <w:rPr>
                <w:rFonts w:cs="Calibri"/>
                <w:lang w:val="cs-CZ" w:eastAsia="cs-CZ"/>
              </w:rPr>
              <w:t>Uplatnit inovativní nízkouhlíkové technologie v oblasti nakládání energií a při využívání druhotných surovin</w:t>
            </w:r>
          </w:p>
        </w:tc>
        <w:tc>
          <w:tcPr>
            <w:tcW w:w="1882" w:type="dxa"/>
            <w:vAlign w:val="center"/>
          </w:tcPr>
          <w:p w:rsidR="00DB5E8B" w:rsidRPr="008B53A9" w:rsidRDefault="008E48D1" w:rsidP="00BA1E1C">
            <w:pPr>
              <w:pStyle w:val="Tabulka"/>
              <w:rPr>
                <w:rFonts w:cs="Calibri"/>
                <w:lang w:val="cs-CZ" w:eastAsia="cs-CZ"/>
              </w:rPr>
            </w:pPr>
            <w:r w:rsidRPr="008B53A9">
              <w:rPr>
                <w:rFonts w:cs="Calibri"/>
                <w:lang w:val="cs-CZ" w:eastAsia="cs-CZ"/>
              </w:rPr>
              <w:t xml:space="preserve">Aplikované </w:t>
            </w:r>
            <w:r w:rsidR="00942A5B" w:rsidRPr="008B53A9">
              <w:rPr>
                <w:rFonts w:cs="Calibri"/>
                <w:lang w:val="cs-CZ" w:eastAsia="cs-CZ"/>
              </w:rPr>
              <w:t xml:space="preserve">inovativní </w:t>
            </w:r>
            <w:r w:rsidRPr="008B53A9">
              <w:rPr>
                <w:rFonts w:cs="Calibri"/>
                <w:lang w:val="cs-CZ" w:eastAsia="cs-CZ"/>
              </w:rPr>
              <w:t>nízkouhlíkové technologie</w:t>
            </w:r>
          </w:p>
        </w:tc>
      </w:tr>
      <w:tr w:rsidR="00DB5E8B" w:rsidRPr="008B53A9">
        <w:trPr>
          <w:jc w:val="center"/>
        </w:trPr>
        <w:tc>
          <w:tcPr>
            <w:tcW w:w="1900" w:type="dxa"/>
            <w:vMerge/>
            <w:shd w:val="clear" w:color="auto" w:fill="DBE5F1"/>
            <w:vAlign w:val="center"/>
          </w:tcPr>
          <w:p w:rsidR="00DB5E8B" w:rsidRPr="008B53A9" w:rsidRDefault="00DB5E8B" w:rsidP="000E0E9B">
            <w:pPr>
              <w:pStyle w:val="Tabulka"/>
              <w:rPr>
                <w:rFonts w:cs="Calibri"/>
                <w:lang w:val="cs-CZ" w:eastAsia="cs-CZ"/>
              </w:rPr>
            </w:pPr>
          </w:p>
        </w:tc>
        <w:tc>
          <w:tcPr>
            <w:tcW w:w="709" w:type="dxa"/>
            <w:vAlign w:val="center"/>
          </w:tcPr>
          <w:p w:rsidR="00DB5E8B" w:rsidRPr="008B53A9" w:rsidRDefault="00DB5E8B" w:rsidP="00D40246">
            <w:pPr>
              <w:pStyle w:val="Tabulka"/>
              <w:rPr>
                <w:rFonts w:cs="Calibri"/>
                <w:lang w:val="cs-CZ" w:eastAsia="cs-CZ"/>
              </w:rPr>
            </w:pPr>
            <w:r w:rsidRPr="008B53A9">
              <w:rPr>
                <w:rFonts w:cs="Calibri"/>
                <w:lang w:val="cs-CZ" w:eastAsia="cs-CZ"/>
              </w:rPr>
              <w:t>EFRR</w:t>
            </w:r>
          </w:p>
        </w:tc>
        <w:tc>
          <w:tcPr>
            <w:tcW w:w="1445" w:type="dxa"/>
            <w:vAlign w:val="center"/>
          </w:tcPr>
          <w:p w:rsidR="00DB5E8B" w:rsidRPr="008B53A9" w:rsidRDefault="00537B82" w:rsidP="00D40246">
            <w:pPr>
              <w:pStyle w:val="Tabulka"/>
              <w:rPr>
                <w:rFonts w:cs="Calibri"/>
                <w:lang w:val="cs-CZ" w:eastAsia="cs-CZ"/>
              </w:rPr>
            </w:pPr>
            <w:r w:rsidRPr="008B53A9">
              <w:rPr>
                <w:rFonts w:cs="Calibri"/>
                <w:lang w:val="cs-CZ" w:eastAsia="cs-CZ"/>
              </w:rPr>
              <w:t>142 861 673</w:t>
            </w:r>
          </w:p>
        </w:tc>
        <w:tc>
          <w:tcPr>
            <w:tcW w:w="1330" w:type="dxa"/>
            <w:vAlign w:val="center"/>
          </w:tcPr>
          <w:p w:rsidR="00DB5E8B" w:rsidRPr="008B53A9" w:rsidRDefault="00DB5E8B" w:rsidP="00847395">
            <w:pPr>
              <w:pStyle w:val="Tabulka"/>
              <w:rPr>
                <w:rFonts w:cs="Calibri"/>
                <w:lang w:val="cs-CZ" w:eastAsia="cs-CZ"/>
              </w:rPr>
            </w:pPr>
            <w:r w:rsidRPr="008B53A9">
              <w:rPr>
                <w:rFonts w:cs="Calibri"/>
                <w:lang w:val="cs-CZ" w:eastAsia="cs-CZ"/>
              </w:rPr>
              <w:t>3,</w:t>
            </w:r>
            <w:r w:rsidR="00847395" w:rsidRPr="008B53A9">
              <w:rPr>
                <w:rFonts w:cs="Calibri"/>
                <w:lang w:val="cs-CZ" w:eastAsia="cs-CZ"/>
              </w:rPr>
              <w:t>31</w:t>
            </w:r>
            <w:r w:rsidRPr="008B53A9">
              <w:rPr>
                <w:rFonts w:cs="Calibri"/>
                <w:lang w:val="cs-CZ" w:eastAsia="cs-CZ"/>
              </w:rPr>
              <w:t xml:space="preserve"> %</w:t>
            </w:r>
          </w:p>
        </w:tc>
        <w:tc>
          <w:tcPr>
            <w:tcW w:w="1619" w:type="dxa"/>
            <w:vMerge/>
            <w:vAlign w:val="center"/>
          </w:tcPr>
          <w:p w:rsidR="00DB5E8B" w:rsidRPr="008B53A9" w:rsidRDefault="00DB5E8B" w:rsidP="00D40246">
            <w:pPr>
              <w:pStyle w:val="Tabulka"/>
              <w:rPr>
                <w:rFonts w:cs="Calibri"/>
                <w:lang w:val="cs-CZ" w:eastAsia="cs-CZ"/>
              </w:rPr>
            </w:pPr>
          </w:p>
        </w:tc>
        <w:tc>
          <w:tcPr>
            <w:tcW w:w="3119" w:type="dxa"/>
            <w:shd w:val="clear" w:color="auto" w:fill="auto"/>
            <w:vAlign w:val="center"/>
          </w:tcPr>
          <w:p w:rsidR="00DB5E8B" w:rsidRPr="008B53A9" w:rsidRDefault="00B54D2B" w:rsidP="00BE6D25">
            <w:pPr>
              <w:pStyle w:val="Tabulka"/>
              <w:widowControl w:val="0"/>
              <w:rPr>
                <w:rFonts w:cs="Calibri"/>
                <w:lang w:val="cs-CZ" w:eastAsia="cs-CZ"/>
              </w:rPr>
            </w:pPr>
            <w:r w:rsidRPr="008B53A9">
              <w:rPr>
                <w:rFonts w:cs="Calibri"/>
                <w:lang w:val="cs-CZ" w:eastAsia="cs-CZ"/>
              </w:rPr>
              <w:t xml:space="preserve">4 g) </w:t>
            </w:r>
            <w:r w:rsidR="00DB5E8B" w:rsidRPr="008B53A9">
              <w:rPr>
                <w:rFonts w:cs="Calibri"/>
                <w:lang w:val="cs-CZ" w:eastAsia="cs-CZ"/>
              </w:rPr>
              <w:t>Podpora využívání vysoce účinné kombinované výroby tepla a elektřiny na základě poptávky po užitečném teple</w:t>
            </w:r>
          </w:p>
        </w:tc>
        <w:tc>
          <w:tcPr>
            <w:tcW w:w="2254" w:type="dxa"/>
            <w:shd w:val="clear" w:color="auto" w:fill="auto"/>
            <w:vAlign w:val="center"/>
          </w:tcPr>
          <w:p w:rsidR="00DB5E8B" w:rsidRPr="008B53A9" w:rsidRDefault="00DB5E8B" w:rsidP="00771951">
            <w:pPr>
              <w:pStyle w:val="Tabulka"/>
              <w:rPr>
                <w:rFonts w:cs="Calibri"/>
                <w:lang w:val="cs-CZ" w:eastAsia="cs-CZ"/>
              </w:rPr>
            </w:pPr>
            <w:r w:rsidRPr="008B53A9">
              <w:rPr>
                <w:rFonts w:cs="Calibri"/>
                <w:lang w:val="cs-CZ" w:eastAsia="cs-CZ"/>
              </w:rPr>
              <w:t xml:space="preserve">3.5 – </w:t>
            </w:r>
            <w:r w:rsidR="00047773" w:rsidRPr="008B53A9">
              <w:rPr>
                <w:rFonts w:cs="Calibri"/>
                <w:lang w:val="cs-CZ" w:eastAsia="cs-CZ"/>
              </w:rPr>
              <w:t>Zvýšit účinnost soustav zásobování teplem</w:t>
            </w:r>
          </w:p>
        </w:tc>
        <w:tc>
          <w:tcPr>
            <w:tcW w:w="1882" w:type="dxa"/>
            <w:vAlign w:val="center"/>
          </w:tcPr>
          <w:p w:rsidR="00DB5E8B" w:rsidRPr="008B53A9" w:rsidRDefault="0099327C" w:rsidP="00BA1E1C">
            <w:pPr>
              <w:pStyle w:val="Tabulka"/>
              <w:rPr>
                <w:rFonts w:cs="Calibri"/>
                <w:lang w:val="cs-CZ" w:eastAsia="cs-CZ"/>
              </w:rPr>
            </w:pPr>
            <w:r w:rsidRPr="008B53A9">
              <w:rPr>
                <w:rFonts w:cs="Calibri"/>
                <w:lang w:val="cs-CZ" w:eastAsia="cs-CZ"/>
              </w:rPr>
              <w:t>Primární energetické zdroje</w:t>
            </w:r>
          </w:p>
        </w:tc>
      </w:tr>
      <w:tr w:rsidR="00DB5E8B" w:rsidRPr="008B53A9">
        <w:trPr>
          <w:jc w:val="center"/>
        </w:trPr>
        <w:tc>
          <w:tcPr>
            <w:tcW w:w="1900" w:type="dxa"/>
            <w:vMerge/>
            <w:shd w:val="clear" w:color="auto" w:fill="DBE5F1"/>
            <w:vAlign w:val="center"/>
          </w:tcPr>
          <w:p w:rsidR="00DB5E8B" w:rsidRPr="008B53A9" w:rsidRDefault="00DB5E8B" w:rsidP="000E0E9B">
            <w:pPr>
              <w:pStyle w:val="Tabulka"/>
              <w:rPr>
                <w:rFonts w:cs="Calibri"/>
                <w:lang w:val="cs-CZ" w:eastAsia="cs-CZ"/>
              </w:rPr>
            </w:pPr>
          </w:p>
        </w:tc>
        <w:tc>
          <w:tcPr>
            <w:tcW w:w="709" w:type="dxa"/>
            <w:vAlign w:val="center"/>
          </w:tcPr>
          <w:p w:rsidR="00DB5E8B" w:rsidRPr="008B53A9" w:rsidRDefault="00DB5E8B" w:rsidP="00D40246">
            <w:pPr>
              <w:pStyle w:val="Tabulka"/>
              <w:rPr>
                <w:rFonts w:cs="Calibri"/>
                <w:lang w:val="cs-CZ" w:eastAsia="cs-CZ"/>
              </w:rPr>
            </w:pPr>
            <w:r w:rsidRPr="008B53A9">
              <w:rPr>
                <w:rFonts w:cs="Calibri"/>
                <w:lang w:val="cs-CZ" w:eastAsia="cs-CZ"/>
              </w:rPr>
              <w:t>EFRR</w:t>
            </w:r>
          </w:p>
        </w:tc>
        <w:tc>
          <w:tcPr>
            <w:tcW w:w="1445" w:type="dxa"/>
            <w:vAlign w:val="center"/>
          </w:tcPr>
          <w:p w:rsidR="00DB5E8B" w:rsidRPr="008B53A9" w:rsidRDefault="00537B82" w:rsidP="00D40246">
            <w:pPr>
              <w:pStyle w:val="Tabulka"/>
              <w:rPr>
                <w:rFonts w:cs="Calibri"/>
                <w:lang w:val="cs-CZ" w:eastAsia="cs-CZ"/>
              </w:rPr>
            </w:pPr>
            <w:r w:rsidRPr="008B53A9">
              <w:rPr>
                <w:rFonts w:cs="Calibri"/>
                <w:lang w:val="cs-CZ" w:eastAsia="cs-CZ"/>
              </w:rPr>
              <w:t>199 833 699</w:t>
            </w:r>
          </w:p>
        </w:tc>
        <w:tc>
          <w:tcPr>
            <w:tcW w:w="1330" w:type="dxa"/>
            <w:vAlign w:val="center"/>
          </w:tcPr>
          <w:p w:rsidR="00DB5E8B" w:rsidRPr="008B53A9" w:rsidRDefault="00847395" w:rsidP="00D40246">
            <w:pPr>
              <w:pStyle w:val="Tabulka"/>
              <w:rPr>
                <w:rFonts w:cs="Calibri"/>
                <w:lang w:val="cs-CZ" w:eastAsia="cs-CZ"/>
              </w:rPr>
            </w:pPr>
            <w:r w:rsidRPr="008B53A9">
              <w:rPr>
                <w:rFonts w:cs="Calibri"/>
                <w:lang w:val="cs-CZ" w:eastAsia="cs-CZ"/>
              </w:rPr>
              <w:t>4,63</w:t>
            </w:r>
            <w:r w:rsidR="002E0DC8" w:rsidRPr="008B53A9">
              <w:rPr>
                <w:rFonts w:cs="Calibri"/>
                <w:lang w:val="cs-CZ" w:eastAsia="cs-CZ"/>
              </w:rPr>
              <w:t xml:space="preserve"> %</w:t>
            </w:r>
          </w:p>
        </w:tc>
        <w:tc>
          <w:tcPr>
            <w:tcW w:w="1619" w:type="dxa"/>
            <w:vAlign w:val="center"/>
          </w:tcPr>
          <w:p w:rsidR="00DB5E8B" w:rsidRPr="008B53A9" w:rsidRDefault="00DB5E8B" w:rsidP="00D40246">
            <w:pPr>
              <w:pStyle w:val="Tabulka"/>
              <w:rPr>
                <w:rFonts w:cs="Calibri"/>
                <w:lang w:val="cs-CZ" w:eastAsia="cs-CZ"/>
              </w:rPr>
            </w:pPr>
            <w:r w:rsidRPr="008B53A9">
              <w:rPr>
                <w:rFonts w:cs="Calibri"/>
                <w:lang w:val="cs-CZ" w:eastAsia="cs-CZ"/>
              </w:rPr>
              <w:t>7</w:t>
            </w:r>
            <w:r w:rsidR="00CC5E04" w:rsidRPr="008B53A9">
              <w:rPr>
                <w:rFonts w:cs="Calibri"/>
                <w:lang w:val="cs-CZ" w:eastAsia="cs-CZ"/>
              </w:rPr>
              <w:t>)</w:t>
            </w:r>
            <w:r w:rsidRPr="008B53A9">
              <w:rPr>
                <w:rFonts w:cs="Calibri"/>
                <w:lang w:val="cs-CZ" w:eastAsia="cs-CZ"/>
              </w:rPr>
              <w:t xml:space="preserve"> Podpora udržitelné dopravy a odstraňování překážek v klíčových síťových infrastrukturách</w:t>
            </w:r>
          </w:p>
        </w:tc>
        <w:tc>
          <w:tcPr>
            <w:tcW w:w="3119" w:type="dxa"/>
            <w:shd w:val="clear" w:color="auto" w:fill="auto"/>
            <w:vAlign w:val="center"/>
          </w:tcPr>
          <w:p w:rsidR="00DB5E8B" w:rsidRPr="008B53A9" w:rsidRDefault="00B54D2B" w:rsidP="00BE6D25">
            <w:pPr>
              <w:pStyle w:val="Tabulka"/>
              <w:widowControl w:val="0"/>
              <w:rPr>
                <w:rFonts w:cs="Calibri"/>
                <w:lang w:val="cs-CZ" w:eastAsia="cs-CZ"/>
              </w:rPr>
            </w:pPr>
            <w:r w:rsidRPr="008B53A9">
              <w:rPr>
                <w:rFonts w:cs="Calibri"/>
                <w:lang w:val="cs-CZ" w:eastAsia="cs-CZ"/>
              </w:rPr>
              <w:t xml:space="preserve">7 e) </w:t>
            </w:r>
            <w:r w:rsidR="00DB5E8B" w:rsidRPr="008B53A9">
              <w:rPr>
                <w:rFonts w:cs="Calibri"/>
                <w:lang w:val="cs-CZ" w:eastAsia="cs-CZ"/>
              </w:rPr>
              <w:t>Zvyšování energetické účinnosti a zabezpečení dodávek prostřednictvím rozvoje inteligentních systémů pro distribuci, skladování a přenos energie a prostřednictvím integrace distribuované výroby z obnovitelných zdrojů</w:t>
            </w:r>
          </w:p>
        </w:tc>
        <w:tc>
          <w:tcPr>
            <w:tcW w:w="2254" w:type="dxa"/>
            <w:shd w:val="clear" w:color="auto" w:fill="auto"/>
            <w:vAlign w:val="center"/>
          </w:tcPr>
          <w:p w:rsidR="00DB5E8B" w:rsidRPr="008B53A9" w:rsidRDefault="00DB5E8B" w:rsidP="00771951">
            <w:pPr>
              <w:pStyle w:val="Tabulka"/>
              <w:rPr>
                <w:rFonts w:cs="Calibri"/>
                <w:lang w:val="cs-CZ" w:eastAsia="cs-CZ"/>
              </w:rPr>
            </w:pPr>
            <w:r w:rsidRPr="008B53A9">
              <w:rPr>
                <w:rFonts w:cs="Calibri"/>
                <w:lang w:val="cs-CZ" w:eastAsia="cs-CZ"/>
              </w:rPr>
              <w:t xml:space="preserve">3.6 - </w:t>
            </w:r>
            <w:r w:rsidR="00951C8A" w:rsidRPr="008B53A9">
              <w:rPr>
                <w:rFonts w:cs="Calibri"/>
                <w:lang w:val="cs-CZ" w:eastAsia="cs-CZ"/>
              </w:rPr>
              <w:t>Posílit energetickou bezpečnost přenosové soustavy</w:t>
            </w:r>
          </w:p>
        </w:tc>
        <w:tc>
          <w:tcPr>
            <w:tcW w:w="1882" w:type="dxa"/>
            <w:vAlign w:val="center"/>
          </w:tcPr>
          <w:p w:rsidR="00DB5E8B" w:rsidRPr="008B53A9" w:rsidRDefault="008E48D1" w:rsidP="00BA1E1C">
            <w:pPr>
              <w:pStyle w:val="Tabulka"/>
              <w:rPr>
                <w:rFonts w:cs="Calibri"/>
                <w:lang w:val="cs-CZ" w:eastAsia="cs-CZ"/>
              </w:rPr>
            </w:pPr>
            <w:r w:rsidRPr="008B53A9">
              <w:rPr>
                <w:rFonts w:cs="Calibri"/>
                <w:lang w:val="cs-CZ" w:eastAsia="cs-CZ"/>
              </w:rPr>
              <w:t>Transformační výkon PS/DS</w:t>
            </w:r>
          </w:p>
        </w:tc>
      </w:tr>
      <w:tr w:rsidR="00BE6D25" w:rsidRPr="008B53A9">
        <w:trPr>
          <w:jc w:val="center"/>
        </w:trPr>
        <w:tc>
          <w:tcPr>
            <w:tcW w:w="1900" w:type="dxa"/>
            <w:vMerge w:val="restart"/>
            <w:shd w:val="clear" w:color="auto" w:fill="DBE5F1"/>
            <w:vAlign w:val="center"/>
          </w:tcPr>
          <w:p w:rsidR="00BE6D25" w:rsidRPr="008B53A9" w:rsidRDefault="00BE6D25" w:rsidP="009670FD">
            <w:pPr>
              <w:pStyle w:val="Tabulka"/>
              <w:jc w:val="left"/>
              <w:rPr>
                <w:rFonts w:cs="Calibri"/>
                <w:lang w:val="cs-CZ" w:eastAsia="cs-CZ"/>
              </w:rPr>
            </w:pPr>
            <w:r w:rsidRPr="008B53A9">
              <w:rPr>
                <w:rFonts w:cs="Calibri"/>
                <w:lang w:val="cs-CZ" w:eastAsia="cs-CZ"/>
              </w:rPr>
              <w:t xml:space="preserve">PO 4: Rozvoj vysokorychlostních přístupových sítí k internetu a informačních a komunikačních </w:t>
            </w:r>
            <w:r w:rsidRPr="008B53A9">
              <w:rPr>
                <w:rFonts w:cs="Calibri"/>
                <w:lang w:val="cs-CZ" w:eastAsia="cs-CZ"/>
              </w:rPr>
              <w:lastRenderedPageBreak/>
              <w:t>technologií</w:t>
            </w:r>
          </w:p>
        </w:tc>
        <w:tc>
          <w:tcPr>
            <w:tcW w:w="709" w:type="dxa"/>
            <w:vAlign w:val="center"/>
          </w:tcPr>
          <w:p w:rsidR="00BE6D25" w:rsidRPr="008B53A9" w:rsidRDefault="00BE6D25" w:rsidP="00D40246">
            <w:pPr>
              <w:pStyle w:val="Tabulka"/>
              <w:rPr>
                <w:rFonts w:cs="Calibri"/>
                <w:lang w:val="cs-CZ" w:eastAsia="cs-CZ"/>
              </w:rPr>
            </w:pPr>
            <w:r w:rsidRPr="008B53A9">
              <w:rPr>
                <w:rFonts w:cs="Calibri"/>
                <w:lang w:val="cs-CZ" w:eastAsia="cs-CZ"/>
              </w:rPr>
              <w:lastRenderedPageBreak/>
              <w:t>EFRR</w:t>
            </w:r>
          </w:p>
        </w:tc>
        <w:tc>
          <w:tcPr>
            <w:tcW w:w="1445" w:type="dxa"/>
            <w:vAlign w:val="center"/>
          </w:tcPr>
          <w:p w:rsidR="00BE6D25" w:rsidRPr="008B53A9" w:rsidRDefault="00537B82" w:rsidP="00D40246">
            <w:pPr>
              <w:pStyle w:val="Tabulka"/>
              <w:rPr>
                <w:rFonts w:cs="Calibri"/>
                <w:lang w:val="cs-CZ" w:eastAsia="cs-CZ"/>
              </w:rPr>
            </w:pPr>
            <w:r w:rsidRPr="008B53A9">
              <w:rPr>
                <w:rFonts w:cs="Calibri"/>
                <w:lang w:val="cs-CZ" w:eastAsia="cs-CZ"/>
              </w:rPr>
              <w:t>521 380 364</w:t>
            </w:r>
          </w:p>
        </w:tc>
        <w:tc>
          <w:tcPr>
            <w:tcW w:w="1330" w:type="dxa"/>
            <w:vAlign w:val="center"/>
          </w:tcPr>
          <w:p w:rsidR="00BE6D25" w:rsidRPr="008B53A9" w:rsidRDefault="00F70A96" w:rsidP="00847395">
            <w:pPr>
              <w:pStyle w:val="Tabulka"/>
              <w:rPr>
                <w:rFonts w:cs="Calibri"/>
                <w:lang w:val="cs-CZ" w:eastAsia="cs-CZ"/>
              </w:rPr>
            </w:pPr>
            <w:r w:rsidRPr="008B53A9">
              <w:rPr>
                <w:rFonts w:cs="Calibri"/>
                <w:lang w:val="cs-CZ" w:eastAsia="cs-CZ"/>
              </w:rPr>
              <w:t>1</w:t>
            </w:r>
            <w:r w:rsidR="00537D8D" w:rsidRPr="008B53A9">
              <w:rPr>
                <w:rFonts w:cs="Calibri"/>
                <w:lang w:val="cs-CZ" w:eastAsia="cs-CZ"/>
              </w:rPr>
              <w:t>2,</w:t>
            </w:r>
            <w:r w:rsidR="00847395" w:rsidRPr="008B53A9">
              <w:rPr>
                <w:rFonts w:cs="Calibri"/>
                <w:lang w:val="cs-CZ" w:eastAsia="cs-CZ"/>
              </w:rPr>
              <w:t>08</w:t>
            </w:r>
            <w:r w:rsidR="00A74A51" w:rsidRPr="008B53A9">
              <w:rPr>
                <w:rFonts w:cs="Calibri"/>
                <w:lang w:val="cs-CZ" w:eastAsia="cs-CZ"/>
              </w:rPr>
              <w:t xml:space="preserve"> %</w:t>
            </w:r>
          </w:p>
        </w:tc>
        <w:tc>
          <w:tcPr>
            <w:tcW w:w="1619" w:type="dxa"/>
            <w:vMerge w:val="restart"/>
            <w:vAlign w:val="center"/>
          </w:tcPr>
          <w:p w:rsidR="00BE6D25" w:rsidRPr="008B53A9" w:rsidRDefault="00BE6D25" w:rsidP="00D40246">
            <w:pPr>
              <w:pStyle w:val="Tabulka"/>
              <w:rPr>
                <w:rFonts w:cs="Calibri"/>
                <w:lang w:val="cs-CZ" w:eastAsia="cs-CZ"/>
              </w:rPr>
            </w:pPr>
            <w:r w:rsidRPr="008B53A9">
              <w:rPr>
                <w:rFonts w:cs="Calibri"/>
                <w:lang w:val="cs-CZ" w:eastAsia="cs-CZ"/>
              </w:rPr>
              <w:t>2</w:t>
            </w:r>
            <w:r w:rsidR="00CC5E04" w:rsidRPr="008B53A9">
              <w:rPr>
                <w:rFonts w:cs="Calibri"/>
                <w:lang w:val="cs-CZ" w:eastAsia="cs-CZ"/>
              </w:rPr>
              <w:t>)</w:t>
            </w:r>
            <w:r w:rsidRPr="008B53A9">
              <w:rPr>
                <w:rFonts w:cs="Calibri"/>
                <w:lang w:val="cs-CZ" w:eastAsia="cs-CZ"/>
              </w:rPr>
              <w:t xml:space="preserve"> </w:t>
            </w:r>
            <w:r w:rsidR="001B1FD9" w:rsidRPr="008B53A9">
              <w:rPr>
                <w:rFonts w:cs="Calibri"/>
                <w:lang w:val="cs-CZ" w:eastAsia="cs-CZ"/>
              </w:rPr>
              <w:t>Zlepšení přístupu, využití a kvality informačních a komunikačních technologií</w:t>
            </w:r>
          </w:p>
        </w:tc>
        <w:tc>
          <w:tcPr>
            <w:tcW w:w="3119" w:type="dxa"/>
            <w:shd w:val="clear" w:color="auto" w:fill="auto"/>
            <w:vAlign w:val="center"/>
          </w:tcPr>
          <w:p w:rsidR="00BE6D25" w:rsidRPr="008B53A9" w:rsidRDefault="00B54D2B" w:rsidP="00BE6D25">
            <w:pPr>
              <w:pStyle w:val="Tabulka"/>
              <w:widowControl w:val="0"/>
              <w:rPr>
                <w:rFonts w:cs="Calibri"/>
                <w:lang w:val="cs-CZ" w:eastAsia="cs-CZ"/>
              </w:rPr>
            </w:pPr>
            <w:r w:rsidRPr="008B53A9">
              <w:rPr>
                <w:rFonts w:cs="Calibri"/>
                <w:lang w:val="cs-CZ" w:eastAsia="cs-CZ"/>
              </w:rPr>
              <w:t xml:space="preserve">2 a) </w:t>
            </w:r>
            <w:r w:rsidR="00BE6D25" w:rsidRPr="008B53A9">
              <w:rPr>
                <w:rFonts w:cs="Calibri"/>
                <w:lang w:val="cs-CZ" w:eastAsia="cs-CZ"/>
              </w:rPr>
              <w:t>Rozšiřování širokopásmového připojení a zavádění vysokorychlostních sítí a podpora zavádění vznikajících technologií a sítí pro digitální hospodářství</w:t>
            </w:r>
          </w:p>
        </w:tc>
        <w:tc>
          <w:tcPr>
            <w:tcW w:w="2254" w:type="dxa"/>
            <w:shd w:val="clear" w:color="auto" w:fill="auto"/>
            <w:vAlign w:val="center"/>
          </w:tcPr>
          <w:p w:rsidR="00BE6D25" w:rsidRPr="008B53A9" w:rsidRDefault="00BE6D25" w:rsidP="000E0E9B">
            <w:pPr>
              <w:pStyle w:val="Tabulka"/>
              <w:rPr>
                <w:rFonts w:cs="Calibri"/>
                <w:lang w:val="cs-CZ" w:eastAsia="cs-CZ"/>
              </w:rPr>
            </w:pPr>
            <w:r w:rsidRPr="008B53A9">
              <w:rPr>
                <w:rFonts w:cs="Calibri"/>
                <w:lang w:val="cs-CZ" w:eastAsia="cs-CZ"/>
              </w:rPr>
              <w:t>4.1 - Zvětšit pokrytí vysokorychlostním přístupem k internetu</w:t>
            </w:r>
          </w:p>
        </w:tc>
        <w:tc>
          <w:tcPr>
            <w:tcW w:w="1882" w:type="dxa"/>
            <w:vAlign w:val="center"/>
          </w:tcPr>
          <w:p w:rsidR="00BE6D25" w:rsidRPr="008B53A9" w:rsidRDefault="008E48D1" w:rsidP="00BA1E1C">
            <w:pPr>
              <w:pStyle w:val="Tabulka"/>
              <w:rPr>
                <w:rFonts w:cs="Calibri"/>
                <w:lang w:val="cs-CZ" w:eastAsia="cs-CZ"/>
              </w:rPr>
            </w:pPr>
            <w:r w:rsidRPr="008B53A9">
              <w:rPr>
                <w:rFonts w:cs="Calibri"/>
                <w:lang w:val="cs-CZ" w:eastAsia="cs-CZ"/>
              </w:rPr>
              <w:t>NGA broadband coverage</w:t>
            </w:r>
          </w:p>
        </w:tc>
      </w:tr>
      <w:tr w:rsidR="00BE6D25" w:rsidRPr="008B53A9">
        <w:trPr>
          <w:jc w:val="center"/>
        </w:trPr>
        <w:tc>
          <w:tcPr>
            <w:tcW w:w="1900" w:type="dxa"/>
            <w:vMerge/>
            <w:shd w:val="clear" w:color="auto" w:fill="DBE5F1"/>
            <w:vAlign w:val="center"/>
          </w:tcPr>
          <w:p w:rsidR="00BE6D25" w:rsidRPr="008B53A9" w:rsidRDefault="00BE6D25" w:rsidP="000E0E9B">
            <w:pPr>
              <w:pStyle w:val="Tabulka"/>
              <w:rPr>
                <w:rFonts w:cs="Calibri"/>
                <w:lang w:val="cs-CZ" w:eastAsia="cs-CZ"/>
              </w:rPr>
            </w:pPr>
          </w:p>
        </w:tc>
        <w:tc>
          <w:tcPr>
            <w:tcW w:w="709" w:type="dxa"/>
            <w:vAlign w:val="center"/>
          </w:tcPr>
          <w:p w:rsidR="00BD619A" w:rsidRPr="008B53A9" w:rsidRDefault="00BE6D25" w:rsidP="00BD619A">
            <w:pPr>
              <w:pStyle w:val="Tabulka"/>
              <w:rPr>
                <w:rFonts w:cs="Calibri"/>
                <w:lang w:val="cs-CZ" w:eastAsia="cs-CZ"/>
              </w:rPr>
            </w:pPr>
            <w:r w:rsidRPr="008B53A9">
              <w:rPr>
                <w:rFonts w:cs="Calibri"/>
                <w:lang w:val="cs-CZ" w:eastAsia="cs-CZ"/>
              </w:rPr>
              <w:t>EFRR</w:t>
            </w:r>
          </w:p>
        </w:tc>
        <w:tc>
          <w:tcPr>
            <w:tcW w:w="1445" w:type="dxa"/>
            <w:vAlign w:val="center"/>
          </w:tcPr>
          <w:p w:rsidR="00BE6D25" w:rsidRPr="008B53A9" w:rsidRDefault="00537B82" w:rsidP="00D40246">
            <w:pPr>
              <w:pStyle w:val="Tabulka"/>
              <w:rPr>
                <w:rFonts w:cs="Calibri"/>
                <w:lang w:val="cs-CZ" w:eastAsia="cs-CZ"/>
              </w:rPr>
            </w:pPr>
            <w:r w:rsidRPr="008B53A9">
              <w:rPr>
                <w:rFonts w:cs="Calibri"/>
                <w:lang w:val="cs-CZ" w:eastAsia="cs-CZ"/>
              </w:rPr>
              <w:t>222 277 225</w:t>
            </w:r>
          </w:p>
        </w:tc>
        <w:tc>
          <w:tcPr>
            <w:tcW w:w="1330" w:type="dxa"/>
            <w:vAlign w:val="center"/>
          </w:tcPr>
          <w:p w:rsidR="00BE6D25" w:rsidRPr="008B53A9" w:rsidRDefault="00847395" w:rsidP="00D40246">
            <w:pPr>
              <w:pStyle w:val="Tabulka"/>
              <w:rPr>
                <w:rFonts w:cs="Calibri"/>
                <w:lang w:val="cs-CZ" w:eastAsia="cs-CZ"/>
              </w:rPr>
            </w:pPr>
            <w:r w:rsidRPr="008B53A9">
              <w:rPr>
                <w:rFonts w:cs="Calibri"/>
                <w:lang w:val="cs-CZ" w:eastAsia="cs-CZ"/>
              </w:rPr>
              <w:t>5,15</w:t>
            </w:r>
            <w:r w:rsidR="00A74A51" w:rsidRPr="008B53A9">
              <w:rPr>
                <w:rFonts w:cs="Calibri"/>
                <w:lang w:val="cs-CZ" w:eastAsia="cs-CZ"/>
              </w:rPr>
              <w:t xml:space="preserve"> %</w:t>
            </w:r>
          </w:p>
        </w:tc>
        <w:tc>
          <w:tcPr>
            <w:tcW w:w="1619" w:type="dxa"/>
            <w:vMerge/>
            <w:vAlign w:val="center"/>
          </w:tcPr>
          <w:p w:rsidR="00BE6D25" w:rsidRPr="008B53A9" w:rsidRDefault="00BE6D25" w:rsidP="00D40246">
            <w:pPr>
              <w:pStyle w:val="Tabulka"/>
              <w:rPr>
                <w:rFonts w:cs="Calibri"/>
                <w:lang w:val="cs-CZ" w:eastAsia="cs-CZ"/>
              </w:rPr>
            </w:pPr>
          </w:p>
        </w:tc>
        <w:tc>
          <w:tcPr>
            <w:tcW w:w="3119" w:type="dxa"/>
            <w:shd w:val="clear" w:color="auto" w:fill="auto"/>
            <w:vAlign w:val="center"/>
          </w:tcPr>
          <w:p w:rsidR="00BE6D25" w:rsidRPr="008B53A9" w:rsidRDefault="00B54D2B" w:rsidP="00BE6D25">
            <w:pPr>
              <w:pStyle w:val="Tabulka"/>
              <w:widowControl w:val="0"/>
              <w:rPr>
                <w:rFonts w:cs="Calibri"/>
                <w:lang w:val="cs-CZ" w:eastAsia="cs-CZ"/>
              </w:rPr>
            </w:pPr>
            <w:r w:rsidRPr="008B53A9">
              <w:rPr>
                <w:rFonts w:cs="Calibri"/>
                <w:lang w:val="cs-CZ" w:eastAsia="cs-CZ"/>
              </w:rPr>
              <w:t xml:space="preserve">2 b) </w:t>
            </w:r>
            <w:r w:rsidR="007A45F6" w:rsidRPr="008B53A9">
              <w:rPr>
                <w:rFonts w:cs="Calibri"/>
                <w:lang w:val="cs-CZ" w:eastAsia="cs-CZ"/>
              </w:rPr>
              <w:t>Vyvíjení produktů a služeb v oblasti IKT, elektronický obchod a zvyšování poptávky po IKT</w:t>
            </w:r>
          </w:p>
        </w:tc>
        <w:tc>
          <w:tcPr>
            <w:tcW w:w="2254" w:type="dxa"/>
            <w:shd w:val="clear" w:color="auto" w:fill="auto"/>
            <w:vAlign w:val="center"/>
          </w:tcPr>
          <w:p w:rsidR="00BE6D25" w:rsidRPr="008B53A9" w:rsidRDefault="00BE6D25" w:rsidP="002F63A9">
            <w:pPr>
              <w:pStyle w:val="Tabulka"/>
              <w:rPr>
                <w:rFonts w:cs="Calibri"/>
                <w:lang w:val="cs-CZ" w:eastAsia="cs-CZ"/>
              </w:rPr>
            </w:pPr>
            <w:r w:rsidRPr="008B53A9">
              <w:rPr>
                <w:rFonts w:cs="Calibri"/>
                <w:lang w:val="cs-CZ" w:eastAsia="cs-CZ"/>
              </w:rPr>
              <w:t xml:space="preserve">4.2 – </w:t>
            </w:r>
            <w:r w:rsidR="006E55DA" w:rsidRPr="008B53A9">
              <w:rPr>
                <w:rFonts w:cs="Calibri"/>
                <w:lang w:val="cs-CZ" w:eastAsia="cs-CZ"/>
              </w:rPr>
              <w:t xml:space="preserve">Zvýšit </w:t>
            </w:r>
            <w:r w:rsidR="002F63A9" w:rsidRPr="008B53A9">
              <w:rPr>
                <w:rFonts w:cs="Calibri"/>
                <w:lang w:val="cs-CZ" w:eastAsia="cs-CZ"/>
              </w:rPr>
              <w:t>využití potenciálu ICT sektoru pro konkurenceschopnost ekonomiky</w:t>
            </w:r>
          </w:p>
        </w:tc>
        <w:tc>
          <w:tcPr>
            <w:tcW w:w="1882" w:type="dxa"/>
            <w:vAlign w:val="center"/>
          </w:tcPr>
          <w:p w:rsidR="005E0458" w:rsidRPr="008B53A9" w:rsidRDefault="008E48D1" w:rsidP="00BA1E1C">
            <w:pPr>
              <w:pStyle w:val="Tabulka"/>
              <w:rPr>
                <w:rFonts w:cs="Calibri"/>
                <w:lang w:val="cs-CZ" w:eastAsia="cs-CZ"/>
              </w:rPr>
            </w:pPr>
            <w:r w:rsidRPr="008B53A9">
              <w:rPr>
                <w:rFonts w:cs="Calibri"/>
                <w:lang w:val="cs-CZ" w:eastAsia="cs-CZ"/>
              </w:rPr>
              <w:t>Přidaná hodnota IT služeb jako podíl na HDP</w:t>
            </w:r>
          </w:p>
        </w:tc>
      </w:tr>
      <w:tr w:rsidR="00BD619A" w:rsidRPr="008B53A9">
        <w:trPr>
          <w:jc w:val="center"/>
        </w:trPr>
        <w:tc>
          <w:tcPr>
            <w:tcW w:w="1900" w:type="dxa"/>
            <w:vMerge w:val="restart"/>
            <w:shd w:val="clear" w:color="auto" w:fill="DBE5F1"/>
            <w:vAlign w:val="center"/>
          </w:tcPr>
          <w:p w:rsidR="00BD619A" w:rsidRPr="008B53A9" w:rsidRDefault="00BD619A" w:rsidP="009670FD">
            <w:pPr>
              <w:pStyle w:val="Tabulka"/>
              <w:jc w:val="left"/>
              <w:rPr>
                <w:rFonts w:cs="Calibri"/>
                <w:lang w:val="cs-CZ" w:eastAsia="cs-CZ"/>
              </w:rPr>
            </w:pPr>
            <w:r w:rsidRPr="008B53A9">
              <w:rPr>
                <w:rFonts w:cs="Calibri"/>
                <w:lang w:val="cs-CZ" w:eastAsia="cs-CZ"/>
              </w:rPr>
              <w:lastRenderedPageBreak/>
              <w:t>P0 5: Technická pomoc</w:t>
            </w:r>
          </w:p>
          <w:p w:rsidR="00BD619A" w:rsidRPr="008B53A9" w:rsidRDefault="00BD619A" w:rsidP="000E0E9B">
            <w:pPr>
              <w:pStyle w:val="Tabulka"/>
              <w:rPr>
                <w:rFonts w:cs="Calibri"/>
                <w:lang w:val="cs-CZ" w:eastAsia="cs-CZ"/>
              </w:rPr>
            </w:pPr>
          </w:p>
        </w:tc>
        <w:tc>
          <w:tcPr>
            <w:tcW w:w="709" w:type="dxa"/>
            <w:vMerge w:val="restart"/>
            <w:vAlign w:val="center"/>
          </w:tcPr>
          <w:p w:rsidR="00BD619A" w:rsidRPr="008B53A9" w:rsidRDefault="00BD619A" w:rsidP="00D40246">
            <w:pPr>
              <w:pStyle w:val="Tabulka"/>
              <w:rPr>
                <w:rFonts w:cs="Calibri"/>
                <w:lang w:val="cs-CZ" w:eastAsia="cs-CZ"/>
              </w:rPr>
            </w:pPr>
            <w:r w:rsidRPr="008B53A9">
              <w:rPr>
                <w:rFonts w:cs="Calibri"/>
                <w:lang w:val="cs-CZ" w:eastAsia="cs-CZ"/>
              </w:rPr>
              <w:t>EFRR</w:t>
            </w:r>
          </w:p>
        </w:tc>
        <w:tc>
          <w:tcPr>
            <w:tcW w:w="1445" w:type="dxa"/>
            <w:vMerge w:val="restart"/>
            <w:vAlign w:val="center"/>
          </w:tcPr>
          <w:p w:rsidR="00BD619A" w:rsidRPr="008B53A9" w:rsidRDefault="00537B82" w:rsidP="00D40246">
            <w:pPr>
              <w:pStyle w:val="Tabulka"/>
              <w:rPr>
                <w:rFonts w:cs="Calibri"/>
                <w:lang w:val="cs-CZ" w:eastAsia="cs-CZ"/>
              </w:rPr>
            </w:pPr>
            <w:r w:rsidRPr="008B53A9">
              <w:rPr>
                <w:rFonts w:cs="Calibri"/>
                <w:lang w:val="cs-CZ" w:eastAsia="cs-CZ"/>
              </w:rPr>
              <w:t>125 165 816</w:t>
            </w:r>
          </w:p>
        </w:tc>
        <w:tc>
          <w:tcPr>
            <w:tcW w:w="1330" w:type="dxa"/>
            <w:vMerge w:val="restart"/>
            <w:vAlign w:val="center"/>
          </w:tcPr>
          <w:p w:rsidR="00BD619A" w:rsidRPr="008B53A9" w:rsidRDefault="00847395" w:rsidP="00D40246">
            <w:pPr>
              <w:pStyle w:val="Tabulka"/>
              <w:rPr>
                <w:rFonts w:cs="Calibri"/>
                <w:lang w:val="cs-CZ" w:eastAsia="cs-CZ"/>
              </w:rPr>
            </w:pPr>
            <w:r w:rsidRPr="008B53A9">
              <w:rPr>
                <w:rFonts w:cs="Calibri"/>
                <w:lang w:val="cs-CZ" w:eastAsia="cs-CZ"/>
              </w:rPr>
              <w:t>2,90</w:t>
            </w:r>
            <w:r w:rsidR="00A74A51" w:rsidRPr="008B53A9">
              <w:rPr>
                <w:rFonts w:cs="Calibri"/>
                <w:lang w:val="cs-CZ" w:eastAsia="cs-CZ"/>
              </w:rPr>
              <w:t xml:space="preserve"> %</w:t>
            </w:r>
          </w:p>
        </w:tc>
        <w:tc>
          <w:tcPr>
            <w:tcW w:w="1619" w:type="dxa"/>
            <w:vMerge w:val="restart"/>
            <w:vAlign w:val="center"/>
          </w:tcPr>
          <w:p w:rsidR="00BD619A" w:rsidRPr="008B53A9" w:rsidRDefault="00BD619A" w:rsidP="00D40246">
            <w:pPr>
              <w:pStyle w:val="Tabulka"/>
              <w:rPr>
                <w:rFonts w:cs="Calibri"/>
                <w:lang w:val="cs-CZ" w:eastAsia="cs-CZ"/>
              </w:rPr>
            </w:pPr>
          </w:p>
        </w:tc>
        <w:tc>
          <w:tcPr>
            <w:tcW w:w="3119" w:type="dxa"/>
            <w:vMerge w:val="restart"/>
            <w:shd w:val="clear" w:color="auto" w:fill="auto"/>
            <w:vAlign w:val="center"/>
          </w:tcPr>
          <w:p w:rsidR="00BD619A" w:rsidRPr="008B53A9" w:rsidRDefault="00BD619A" w:rsidP="000E0E9B">
            <w:pPr>
              <w:pStyle w:val="Tabulka"/>
              <w:rPr>
                <w:rFonts w:cs="Calibri"/>
                <w:lang w:val="cs-CZ" w:eastAsia="cs-CZ"/>
              </w:rPr>
            </w:pPr>
          </w:p>
        </w:tc>
        <w:tc>
          <w:tcPr>
            <w:tcW w:w="2254" w:type="dxa"/>
            <w:shd w:val="clear" w:color="auto" w:fill="auto"/>
            <w:vAlign w:val="center"/>
          </w:tcPr>
          <w:p w:rsidR="00BD619A" w:rsidRPr="008B53A9" w:rsidRDefault="00BD619A" w:rsidP="00896EDF">
            <w:pPr>
              <w:pStyle w:val="Tabulka"/>
              <w:rPr>
                <w:rFonts w:cs="Calibri"/>
                <w:lang w:val="cs-CZ" w:eastAsia="cs-CZ"/>
              </w:rPr>
            </w:pPr>
            <w:r w:rsidRPr="008B53A9">
              <w:rPr>
                <w:rFonts w:cs="Calibri"/>
                <w:lang w:val="cs-CZ" w:eastAsia="cs-CZ"/>
              </w:rPr>
              <w:t xml:space="preserve">5.1 – </w:t>
            </w:r>
            <w:r w:rsidR="00835A40" w:rsidRPr="008B53A9">
              <w:rPr>
                <w:rFonts w:cs="Calibri"/>
                <w:lang w:val="cs-CZ" w:eastAsia="cs-CZ"/>
              </w:rPr>
              <w:t>Zajištění efektivního řízení a administrace operačního programu</w:t>
            </w:r>
          </w:p>
        </w:tc>
        <w:tc>
          <w:tcPr>
            <w:tcW w:w="1882" w:type="dxa"/>
            <w:vAlign w:val="center"/>
          </w:tcPr>
          <w:p w:rsidR="00BD619A" w:rsidRPr="008B53A9" w:rsidRDefault="00835A40" w:rsidP="00BA1E1C">
            <w:pPr>
              <w:pStyle w:val="Tabulka"/>
              <w:rPr>
                <w:rFonts w:cs="Calibri"/>
                <w:lang w:val="cs-CZ" w:eastAsia="cs-CZ"/>
              </w:rPr>
            </w:pPr>
            <w:r w:rsidRPr="008B53A9">
              <w:rPr>
                <w:rFonts w:cs="Calibri"/>
                <w:lang w:val="cs-CZ" w:eastAsia="cs-CZ"/>
              </w:rPr>
              <w:t>Míra stabilizace zaměstnanců implementační struktury</w:t>
            </w:r>
          </w:p>
        </w:tc>
      </w:tr>
      <w:tr w:rsidR="00BD619A" w:rsidRPr="008B53A9">
        <w:trPr>
          <w:jc w:val="center"/>
        </w:trPr>
        <w:tc>
          <w:tcPr>
            <w:tcW w:w="1900" w:type="dxa"/>
            <w:vMerge/>
            <w:shd w:val="clear" w:color="auto" w:fill="DBE5F1"/>
            <w:vAlign w:val="center"/>
          </w:tcPr>
          <w:p w:rsidR="00BD619A" w:rsidRPr="008B53A9" w:rsidRDefault="00BD619A" w:rsidP="000E0E9B">
            <w:pPr>
              <w:pStyle w:val="Tabulka"/>
              <w:rPr>
                <w:rFonts w:cs="Calibri"/>
                <w:lang w:val="cs-CZ" w:eastAsia="cs-CZ"/>
              </w:rPr>
            </w:pPr>
          </w:p>
        </w:tc>
        <w:tc>
          <w:tcPr>
            <w:tcW w:w="709" w:type="dxa"/>
            <w:vMerge/>
            <w:vAlign w:val="center"/>
          </w:tcPr>
          <w:p w:rsidR="00BD619A" w:rsidRPr="008B53A9" w:rsidRDefault="00BD619A" w:rsidP="00D40246">
            <w:pPr>
              <w:pStyle w:val="Tabulka"/>
              <w:rPr>
                <w:rFonts w:cs="Calibri"/>
                <w:lang w:val="cs-CZ" w:eastAsia="cs-CZ"/>
              </w:rPr>
            </w:pPr>
          </w:p>
        </w:tc>
        <w:tc>
          <w:tcPr>
            <w:tcW w:w="1445" w:type="dxa"/>
            <w:vMerge/>
            <w:vAlign w:val="center"/>
          </w:tcPr>
          <w:p w:rsidR="00BD619A" w:rsidRPr="008B53A9" w:rsidRDefault="00BD619A" w:rsidP="00D40246">
            <w:pPr>
              <w:pStyle w:val="Tabulka"/>
              <w:rPr>
                <w:rFonts w:cs="Calibri"/>
                <w:lang w:val="cs-CZ" w:eastAsia="cs-CZ"/>
              </w:rPr>
            </w:pPr>
          </w:p>
        </w:tc>
        <w:tc>
          <w:tcPr>
            <w:tcW w:w="1330" w:type="dxa"/>
            <w:vMerge/>
            <w:vAlign w:val="center"/>
          </w:tcPr>
          <w:p w:rsidR="00BD619A" w:rsidRPr="008B53A9" w:rsidRDefault="00BD619A" w:rsidP="00D40246">
            <w:pPr>
              <w:pStyle w:val="Tabulka"/>
              <w:rPr>
                <w:rFonts w:cs="Calibri"/>
                <w:lang w:val="cs-CZ" w:eastAsia="cs-CZ"/>
              </w:rPr>
            </w:pPr>
          </w:p>
        </w:tc>
        <w:tc>
          <w:tcPr>
            <w:tcW w:w="1619" w:type="dxa"/>
            <w:vMerge/>
            <w:vAlign w:val="center"/>
          </w:tcPr>
          <w:p w:rsidR="00BD619A" w:rsidRPr="008B53A9" w:rsidRDefault="00BD619A" w:rsidP="00D40246">
            <w:pPr>
              <w:pStyle w:val="Tabulka"/>
              <w:rPr>
                <w:rFonts w:cs="Calibri"/>
                <w:lang w:val="cs-CZ" w:eastAsia="cs-CZ"/>
              </w:rPr>
            </w:pPr>
          </w:p>
        </w:tc>
        <w:tc>
          <w:tcPr>
            <w:tcW w:w="3119" w:type="dxa"/>
            <w:vMerge/>
            <w:shd w:val="clear" w:color="auto" w:fill="auto"/>
            <w:vAlign w:val="center"/>
          </w:tcPr>
          <w:p w:rsidR="00BD619A" w:rsidRPr="008B53A9" w:rsidRDefault="00BD619A" w:rsidP="000E0E9B">
            <w:pPr>
              <w:pStyle w:val="Tabulka"/>
              <w:rPr>
                <w:rFonts w:cs="Calibri"/>
                <w:lang w:val="cs-CZ" w:eastAsia="cs-CZ"/>
              </w:rPr>
            </w:pPr>
          </w:p>
        </w:tc>
        <w:tc>
          <w:tcPr>
            <w:tcW w:w="2254" w:type="dxa"/>
            <w:shd w:val="clear" w:color="auto" w:fill="auto"/>
            <w:vAlign w:val="center"/>
          </w:tcPr>
          <w:p w:rsidR="00BD619A" w:rsidRPr="008B53A9" w:rsidRDefault="00BD619A" w:rsidP="00771951">
            <w:pPr>
              <w:pStyle w:val="Tabulka"/>
              <w:rPr>
                <w:rFonts w:cs="Calibri"/>
                <w:lang w:val="cs-CZ" w:eastAsia="cs-CZ"/>
              </w:rPr>
            </w:pPr>
            <w:r w:rsidRPr="008B53A9">
              <w:rPr>
                <w:rFonts w:cs="Calibri"/>
                <w:lang w:val="cs-CZ" w:eastAsia="cs-CZ"/>
              </w:rPr>
              <w:t xml:space="preserve">5.2 – </w:t>
            </w:r>
            <w:r w:rsidR="00835A40" w:rsidRPr="008B53A9">
              <w:rPr>
                <w:rFonts w:cs="Calibri"/>
                <w:lang w:val="cs-CZ" w:eastAsia="cs-CZ"/>
              </w:rPr>
              <w:t>Zajištění informovanosti, publicity a absorpční kapacity operačního programu</w:t>
            </w:r>
          </w:p>
        </w:tc>
        <w:tc>
          <w:tcPr>
            <w:tcW w:w="1882" w:type="dxa"/>
            <w:vAlign w:val="center"/>
          </w:tcPr>
          <w:p w:rsidR="00BD619A" w:rsidRPr="008B53A9" w:rsidRDefault="00835A40" w:rsidP="00BA1E1C">
            <w:pPr>
              <w:pStyle w:val="Tabulka"/>
              <w:rPr>
                <w:rFonts w:cs="Calibri"/>
                <w:lang w:val="cs-CZ" w:eastAsia="cs-CZ"/>
              </w:rPr>
            </w:pPr>
            <w:r w:rsidRPr="008B53A9">
              <w:rPr>
                <w:rFonts w:cs="Calibri"/>
                <w:lang w:val="cs-CZ" w:eastAsia="cs-CZ"/>
              </w:rPr>
              <w:t>Míra povědomí široké veřejnosti o fondech EU</w:t>
            </w:r>
          </w:p>
        </w:tc>
      </w:tr>
    </w:tbl>
    <w:p w:rsidR="00DD0FDA" w:rsidRPr="008B53A9" w:rsidRDefault="005357FB" w:rsidP="005357FB">
      <w:pPr>
        <w:pStyle w:val="Standardntext"/>
        <w:spacing w:before="120"/>
      </w:pPr>
      <w:r w:rsidRPr="008B53A9">
        <w:rPr>
          <w:b/>
        </w:rPr>
        <w:t>Pozn.:</w:t>
      </w:r>
      <w:r w:rsidRPr="008B53A9">
        <w:t xml:space="preserve"> Znění tematických cílů dle čl. 9 obecného nařízení a investičních priorit dle čl. 5 nařízení </w:t>
      </w:r>
      <w:r w:rsidR="00BF360E" w:rsidRPr="008B53A9">
        <w:t>o</w:t>
      </w:r>
      <w:r w:rsidR="0017188B" w:rsidRPr="008B53A9">
        <w:t> </w:t>
      </w:r>
      <w:r w:rsidR="0059287E" w:rsidRPr="008B53A9">
        <w:t>EFRR</w:t>
      </w:r>
      <w:r w:rsidR="00F15F6F" w:rsidRPr="008B53A9">
        <w:t>.</w:t>
      </w:r>
    </w:p>
    <w:p w:rsidR="005357FB" w:rsidRPr="008B53A9" w:rsidRDefault="005357FB" w:rsidP="00073A01">
      <w:pPr>
        <w:pStyle w:val="Standardntext"/>
        <w:sectPr w:rsidR="005357FB" w:rsidRPr="008B53A9" w:rsidSect="007B1DAF">
          <w:headerReference w:type="default" r:id="rId19"/>
          <w:footerReference w:type="default" r:id="rId20"/>
          <w:pgSz w:w="16838" w:h="11906" w:orient="landscape" w:code="9"/>
          <w:pgMar w:top="1418" w:right="1418" w:bottom="1276" w:left="1276" w:header="709" w:footer="709" w:gutter="0"/>
          <w:cols w:space="708"/>
          <w:docGrid w:linePitch="272"/>
        </w:sectPr>
      </w:pPr>
    </w:p>
    <w:p w:rsidR="009E6172" w:rsidRPr="008B53A9" w:rsidRDefault="009B2D15" w:rsidP="00F11C05">
      <w:pPr>
        <w:pStyle w:val="Nadpis1"/>
      </w:pPr>
      <w:bookmarkStart w:id="21" w:name="_Toc391539598"/>
      <w:r w:rsidRPr="008B53A9">
        <w:lastRenderedPageBreak/>
        <w:t>Prioritní osy</w:t>
      </w:r>
      <w:bookmarkEnd w:id="21"/>
    </w:p>
    <w:p w:rsidR="00653654" w:rsidRPr="008B53A9" w:rsidRDefault="009B2D15" w:rsidP="009B2D15">
      <w:pPr>
        <w:pStyle w:val="kapitola2A"/>
      </w:pPr>
      <w:bookmarkStart w:id="22" w:name="_Toc391539599"/>
      <w:r w:rsidRPr="008B53A9">
        <w:t>Popis prioritních os jiných než technická pomoc</w:t>
      </w:r>
      <w:bookmarkEnd w:id="22"/>
    </w:p>
    <w:p w:rsidR="009B2D15" w:rsidRPr="008B53A9" w:rsidRDefault="009B2D15" w:rsidP="005F43DF">
      <w:pPr>
        <w:pStyle w:val="kapitola2A0"/>
        <w:numPr>
          <w:ilvl w:val="2"/>
          <w:numId w:val="10"/>
        </w:numPr>
      </w:pPr>
      <w:bookmarkStart w:id="23" w:name="_Toc391539600"/>
      <w:r w:rsidRPr="008B53A9">
        <w:t>PRIORITNÍ OSA 1: Rozvoj výzkumu a vývoje pro inovace</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0534DA" w:rsidRPr="008B53A9">
        <w:tc>
          <w:tcPr>
            <w:tcW w:w="4736" w:type="pct"/>
            <w:shd w:val="clear" w:color="auto" w:fill="auto"/>
            <w:vAlign w:val="center"/>
          </w:tcPr>
          <w:p w:rsidR="000534DA" w:rsidRPr="008B53A9" w:rsidRDefault="000534DA" w:rsidP="000534DA">
            <w:pPr>
              <w:pStyle w:val="Tabulka"/>
              <w:jc w:val="left"/>
              <w:rPr>
                <w:rFonts w:cs="Calibri"/>
                <w:lang w:val="cs-CZ" w:eastAsia="cs-CZ"/>
              </w:rPr>
            </w:pPr>
            <w:r w:rsidRPr="008B53A9">
              <w:rPr>
                <w:rFonts w:cs="Calibri"/>
                <w:lang w:val="cs-CZ" w:eastAsia="cs-CZ"/>
              </w:rPr>
              <w:t>Celá prioritní osa bude realizována výhradně prostřednictvím finančních nástrojů</w:t>
            </w:r>
          </w:p>
        </w:tc>
        <w:tc>
          <w:tcPr>
            <w:tcW w:w="264" w:type="pct"/>
            <w:shd w:val="clear" w:color="auto" w:fill="auto"/>
            <w:vAlign w:val="center"/>
          </w:tcPr>
          <w:p w:rsidR="000534DA" w:rsidRPr="008B53A9" w:rsidRDefault="000534DA" w:rsidP="000534DA">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bookmarkStart w:id="24" w:name="Check1"/>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bookmarkEnd w:id="24"/>
          </w:p>
        </w:tc>
      </w:tr>
      <w:tr w:rsidR="000534DA" w:rsidRPr="008B53A9">
        <w:tc>
          <w:tcPr>
            <w:tcW w:w="4736" w:type="pct"/>
            <w:shd w:val="clear" w:color="auto" w:fill="auto"/>
            <w:vAlign w:val="center"/>
          </w:tcPr>
          <w:p w:rsidR="000534DA" w:rsidRPr="008B53A9" w:rsidRDefault="000534DA" w:rsidP="000534DA">
            <w:pPr>
              <w:pStyle w:val="Tabulka"/>
              <w:jc w:val="left"/>
              <w:rPr>
                <w:rFonts w:cs="Calibri"/>
                <w:lang w:val="cs-CZ" w:eastAsia="cs-CZ"/>
              </w:rPr>
            </w:pPr>
            <w:r w:rsidRPr="008B53A9">
              <w:rPr>
                <w:rFonts w:cs="Calibri"/>
                <w:lang w:val="cs-CZ" w:eastAsia="cs-CZ"/>
              </w:rPr>
              <w:t>Celá prioritní osa bude realizována výhradně prostřednictvím finančních nástrojů zřízených na úrovni Unie</w:t>
            </w:r>
          </w:p>
        </w:tc>
        <w:tc>
          <w:tcPr>
            <w:tcW w:w="264" w:type="pct"/>
            <w:shd w:val="clear" w:color="auto" w:fill="auto"/>
            <w:vAlign w:val="center"/>
          </w:tcPr>
          <w:p w:rsidR="000534DA" w:rsidRPr="008B53A9" w:rsidRDefault="000534DA" w:rsidP="000534DA">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r w:rsidR="000534DA" w:rsidRPr="008B53A9">
        <w:tc>
          <w:tcPr>
            <w:tcW w:w="4736" w:type="pct"/>
            <w:shd w:val="clear" w:color="auto" w:fill="auto"/>
            <w:vAlign w:val="center"/>
          </w:tcPr>
          <w:p w:rsidR="000534DA" w:rsidRPr="008B53A9" w:rsidRDefault="000534DA" w:rsidP="000534DA">
            <w:pPr>
              <w:pStyle w:val="Tabulka"/>
              <w:jc w:val="left"/>
              <w:rPr>
                <w:rFonts w:cs="Calibri"/>
                <w:lang w:val="cs-CZ" w:eastAsia="cs-CZ"/>
              </w:rPr>
            </w:pPr>
            <w:r w:rsidRPr="008B53A9">
              <w:rPr>
                <w:rFonts w:cs="Calibri"/>
                <w:lang w:val="cs-CZ" w:eastAsia="cs-CZ"/>
              </w:rPr>
              <w:t>Celá prioritní osa bude realizována výhradně prostřednictvím komunitně vedeného místního rozvoje</w:t>
            </w:r>
          </w:p>
        </w:tc>
        <w:tc>
          <w:tcPr>
            <w:tcW w:w="264" w:type="pct"/>
            <w:shd w:val="clear" w:color="auto" w:fill="auto"/>
            <w:vAlign w:val="center"/>
          </w:tcPr>
          <w:p w:rsidR="000534DA" w:rsidRPr="008B53A9" w:rsidRDefault="000534DA" w:rsidP="000534DA">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bl>
    <w:p w:rsidR="00B308E9" w:rsidRPr="008B53A9" w:rsidRDefault="00B308E9" w:rsidP="005F43DF">
      <w:pPr>
        <w:pStyle w:val="kapitola2A0"/>
        <w:numPr>
          <w:ilvl w:val="2"/>
          <w:numId w:val="68"/>
        </w:numPr>
      </w:pPr>
      <w:bookmarkStart w:id="25" w:name="_Toc391539601"/>
      <w:r w:rsidRPr="008B53A9">
        <w:t>Odůvodnění pro vytvoření prioritní osy, která zahrnuje více než jednu kategorii regionů nebo více než jeden tematický cíl či fond (použije-li se)</w:t>
      </w:r>
      <w:bookmarkEnd w:id="25"/>
    </w:p>
    <w:p w:rsidR="00B308E9" w:rsidRPr="008B53A9" w:rsidRDefault="00B308E9" w:rsidP="00B308E9">
      <w:pPr>
        <w:pStyle w:val="Standardntext"/>
      </w:pPr>
      <w:r w:rsidRPr="008B53A9">
        <w:t>Není relevantní pro OP PIK.</w:t>
      </w:r>
    </w:p>
    <w:p w:rsidR="009B2D15" w:rsidRPr="008B53A9" w:rsidRDefault="009B2D15" w:rsidP="005F43DF">
      <w:pPr>
        <w:pStyle w:val="kapitola2A0"/>
        <w:numPr>
          <w:ilvl w:val="2"/>
          <w:numId w:val="68"/>
        </w:numPr>
      </w:pPr>
      <w:bookmarkStart w:id="26" w:name="_Toc391539602"/>
      <w:r w:rsidRPr="008B53A9">
        <w:t>Fond, kategorie regionů a základ pro výpočet podpory Unie</w:t>
      </w:r>
      <w:bookmarkEnd w:id="26"/>
    </w:p>
    <w:p w:rsidR="009B2D15" w:rsidRPr="008B53A9" w:rsidRDefault="009B2D15" w:rsidP="009B2D15">
      <w:pPr>
        <w:pStyle w:val="Standardntext"/>
      </w:pPr>
      <w:r w:rsidRPr="008B53A9">
        <w:t xml:space="preserve">Fond: </w:t>
      </w:r>
      <w:r w:rsidR="00B308E9" w:rsidRPr="008B53A9">
        <w:t>Evropský fond pro regionální rozvoj</w:t>
      </w:r>
    </w:p>
    <w:p w:rsidR="009B2D15" w:rsidRPr="008B53A9" w:rsidRDefault="009B2D15" w:rsidP="009B2D15">
      <w:pPr>
        <w:pStyle w:val="Standardntext"/>
      </w:pPr>
      <w:r w:rsidRPr="008B53A9">
        <w:t>Kategori</w:t>
      </w:r>
      <w:r w:rsidR="00B308E9" w:rsidRPr="008B53A9">
        <w:t>e</w:t>
      </w:r>
      <w:r w:rsidRPr="008B53A9">
        <w:t xml:space="preserve"> regionů: </w:t>
      </w:r>
      <w:r w:rsidR="00B308E9" w:rsidRPr="008B53A9">
        <w:t>Méně rozvinuté regiony</w:t>
      </w:r>
    </w:p>
    <w:p w:rsidR="009B2D15" w:rsidRPr="008B53A9" w:rsidRDefault="009B2D15" w:rsidP="009B2D15">
      <w:pPr>
        <w:pStyle w:val="Standardntext"/>
        <w:rPr>
          <w:lang w:val="cs-CZ"/>
        </w:rPr>
      </w:pPr>
      <w:r w:rsidRPr="008B53A9">
        <w:t>Základ pro výpočet</w:t>
      </w:r>
      <w:r w:rsidR="008668C8" w:rsidRPr="008B53A9">
        <w:rPr>
          <w:lang w:val="cs-CZ"/>
        </w:rPr>
        <w:t xml:space="preserve">: </w:t>
      </w:r>
      <w:r w:rsidR="008668C8" w:rsidRPr="008B53A9">
        <w:t>způsobilé veřejné výdaje</w:t>
      </w:r>
    </w:p>
    <w:p w:rsidR="009B2D15" w:rsidRPr="008B53A9" w:rsidRDefault="000534DA" w:rsidP="005F43DF">
      <w:pPr>
        <w:pStyle w:val="kapitola2A0"/>
        <w:numPr>
          <w:ilvl w:val="2"/>
          <w:numId w:val="68"/>
        </w:numPr>
      </w:pPr>
      <w:bookmarkStart w:id="27" w:name="_Toc391539603"/>
      <w:r w:rsidRPr="008B53A9">
        <w:t>INVESTIČNÍ PRIORITA</w:t>
      </w:r>
      <w:r w:rsidR="00AA66A2" w:rsidRPr="008B53A9">
        <w:t xml:space="preserve"> 1 prioritní osy 1</w:t>
      </w:r>
      <w:r w:rsidRPr="008B53A9">
        <w:t xml:space="preserve">: </w:t>
      </w:r>
      <w:r w:rsidR="002641C7" w:rsidRPr="008B53A9">
        <w:t>Podpora podnikových investic do výzkumu a inovací a vytváření</w:t>
      </w:r>
      <w:r w:rsidR="009B2D15" w:rsidRPr="008B53A9">
        <w:t xml:space="preserve"> vazeb a součinnosti mezi podniky, středisky výzkumu a vývoje a </w:t>
      </w:r>
      <w:r w:rsidRPr="008B53A9">
        <w:t>odvětvím vysokoškolského</w:t>
      </w:r>
      <w:r w:rsidR="009B2D15" w:rsidRPr="008B53A9">
        <w:t xml:space="preserve"> vzdělávání, zejména </w:t>
      </w:r>
      <w:r w:rsidRPr="008B53A9">
        <w:t>podpora investic v oblasti</w:t>
      </w:r>
      <w:r w:rsidR="009B2D15" w:rsidRPr="008B53A9">
        <w:t xml:space="preserve"> vývoje produktů a služeb, přenosu technologií, sociálních inovací, ekologických inovací, aplikací veřejných služeb, stimulace poptávky, vytváření sítí, klastrů a otevřených inovací prostřednictvím inteligentní specializace a podpor</w:t>
      </w:r>
      <w:r w:rsidRPr="008B53A9">
        <w:t>a</w:t>
      </w:r>
      <w:r w:rsidR="009B2D15" w:rsidRPr="008B53A9">
        <w:t xml:space="preserve"> technického a aplikovaného výzkumu, pilotních linek, opatření k včasnému ověřování produktů, schopností vyspělé výroby a prvovýroby, zejména v oblasti klíčových technologií a šíření technologií pro všeobecné použití</w:t>
      </w:r>
      <w:bookmarkEnd w:id="27"/>
    </w:p>
    <w:p w:rsidR="00EF5F81" w:rsidRPr="008B53A9" w:rsidRDefault="00B308E9" w:rsidP="005F43DF">
      <w:pPr>
        <w:pStyle w:val="kapitola2A0"/>
        <w:numPr>
          <w:ilvl w:val="2"/>
          <w:numId w:val="68"/>
        </w:numPr>
      </w:pPr>
      <w:bookmarkStart w:id="28" w:name="_Toc391539604"/>
      <w:r w:rsidRPr="008B53A9">
        <w:t>Specifické cíle odpovídající investiční prioritě a očekávané výsledky</w:t>
      </w:r>
      <w:bookmarkEnd w:id="28"/>
    </w:p>
    <w:p w:rsidR="00E10173" w:rsidRPr="008B53A9" w:rsidRDefault="00F11C05" w:rsidP="00396141">
      <w:pPr>
        <w:pStyle w:val="Modrnadpis"/>
      </w:pPr>
      <w:bookmarkStart w:id="29" w:name="_Toc351464358"/>
      <w:r w:rsidRPr="008B53A9">
        <w:t xml:space="preserve">SPECIFICKÝ CÍL </w:t>
      </w:r>
      <w:r w:rsidR="00C71E6F" w:rsidRPr="008B53A9">
        <w:t>1.</w:t>
      </w:r>
      <w:r w:rsidR="008A50E3" w:rsidRPr="008B53A9">
        <w:t>1</w:t>
      </w:r>
      <w:r w:rsidRPr="008B53A9">
        <w:t>:</w:t>
      </w:r>
      <w:r w:rsidR="008A50E3" w:rsidRPr="008B53A9">
        <w:t xml:space="preserve"> </w:t>
      </w:r>
      <w:bookmarkEnd w:id="29"/>
      <w:r w:rsidR="00247D8E" w:rsidRPr="008B53A9">
        <w:t>Zvýšit inovační výkonnost podniků</w:t>
      </w:r>
      <w:r w:rsidR="00247D8E" w:rsidRPr="008B53A9">
        <w:rPr>
          <w:rStyle w:val="Odkaznakoment"/>
          <w:b w:val="0"/>
          <w:sz w:val="24"/>
          <w:szCs w:val="20"/>
        </w:rPr>
        <w:t xml:space="preserve"> </w:t>
      </w:r>
    </w:p>
    <w:p w:rsidR="00ED2AA8" w:rsidRPr="008B53A9" w:rsidRDefault="00ED2AA8" w:rsidP="00ED2AA8">
      <w:pPr>
        <w:spacing w:after="120"/>
        <w:jc w:val="both"/>
        <w:rPr>
          <w:rFonts w:cs="Calibri"/>
          <w:sz w:val="24"/>
          <w:szCs w:val="24"/>
        </w:rPr>
      </w:pPr>
      <w:r w:rsidRPr="008B53A9">
        <w:rPr>
          <w:rFonts w:cs="Calibri"/>
          <w:sz w:val="24"/>
          <w:szCs w:val="24"/>
        </w:rPr>
        <w:t>Hlavním cílem je rozvoj podnikání založeného na intenzivní tvorbě a využívání unikátních znalostí</w:t>
      </w:r>
      <w:r w:rsidR="00B2096C" w:rsidRPr="008B53A9">
        <w:rPr>
          <w:rFonts w:cs="Calibri"/>
          <w:sz w:val="24"/>
          <w:szCs w:val="24"/>
        </w:rPr>
        <w:t xml:space="preserve"> ve všech oborech</w:t>
      </w:r>
      <w:r w:rsidR="00534AAC" w:rsidRPr="008B53A9">
        <w:rPr>
          <w:rFonts w:cs="Calibri"/>
          <w:sz w:val="24"/>
          <w:szCs w:val="24"/>
        </w:rPr>
        <w:t xml:space="preserve"> významných z pohledu specializace ČR</w:t>
      </w:r>
      <w:r w:rsidR="00B2096C" w:rsidRPr="008B53A9">
        <w:rPr>
          <w:rFonts w:cs="Calibri"/>
          <w:sz w:val="24"/>
          <w:szCs w:val="24"/>
        </w:rPr>
        <w:t xml:space="preserve">. </w:t>
      </w:r>
      <w:r w:rsidRPr="008B53A9">
        <w:rPr>
          <w:rFonts w:cs="Calibri"/>
          <w:sz w:val="24"/>
          <w:szCs w:val="24"/>
        </w:rPr>
        <w:t xml:space="preserve">Rozšíření moderní výrobní a VaV infrastruktury </w:t>
      </w:r>
      <w:r w:rsidR="00301B17" w:rsidRPr="008B53A9">
        <w:rPr>
          <w:rFonts w:cs="Calibri"/>
          <w:sz w:val="24"/>
          <w:szCs w:val="24"/>
        </w:rPr>
        <w:t>posílí inovační kapacity podniků, umožní</w:t>
      </w:r>
      <w:r w:rsidRPr="008B53A9">
        <w:rPr>
          <w:rFonts w:cs="Calibri"/>
          <w:sz w:val="24"/>
          <w:szCs w:val="24"/>
        </w:rPr>
        <w:t xml:space="preserve"> realizovat vlastní VaV aktivity a zároveň zvýší poptávku po výsledcích výzkumu realizovaného ve výzkumných organizacích, a to i v oblasti technologií s největší růstovou perspektivou. Naplňování </w:t>
      </w:r>
      <w:r w:rsidR="00301B17" w:rsidRPr="008B53A9">
        <w:rPr>
          <w:rFonts w:cs="Calibri"/>
          <w:sz w:val="24"/>
          <w:szCs w:val="24"/>
        </w:rPr>
        <w:t>SC</w:t>
      </w:r>
      <w:r w:rsidRPr="008B53A9">
        <w:rPr>
          <w:rFonts w:cs="Calibri"/>
          <w:sz w:val="24"/>
          <w:szCs w:val="24"/>
        </w:rPr>
        <w:t xml:space="preserve"> povede k zavádění inovací vyšších řádů na trh a zlepšení technických fází inovačního procesu.</w:t>
      </w:r>
    </w:p>
    <w:p w:rsidR="007B234F" w:rsidRPr="008B53A9" w:rsidRDefault="003508A9" w:rsidP="007B234F">
      <w:pPr>
        <w:pStyle w:val="Modrnadpis"/>
      </w:pPr>
      <w:r w:rsidRPr="008B53A9">
        <w:lastRenderedPageBreak/>
        <w:t>Výsledky, kterých chce ČR dosáhnout s podporou Unie</w:t>
      </w:r>
    </w:p>
    <w:p w:rsidR="00B2096C" w:rsidRPr="008B53A9" w:rsidRDefault="00B2096C" w:rsidP="005F43DF">
      <w:pPr>
        <w:numPr>
          <w:ilvl w:val="0"/>
          <w:numId w:val="53"/>
        </w:numPr>
        <w:spacing w:after="120"/>
        <w:jc w:val="both"/>
        <w:rPr>
          <w:rFonts w:cs="Calibri"/>
          <w:sz w:val="24"/>
          <w:szCs w:val="24"/>
        </w:rPr>
      </w:pPr>
      <w:r w:rsidRPr="008B53A9">
        <w:rPr>
          <w:rFonts w:cs="Calibri"/>
          <w:sz w:val="24"/>
          <w:szCs w:val="24"/>
        </w:rPr>
        <w:t xml:space="preserve">Posílení </w:t>
      </w:r>
      <w:r w:rsidR="004B7DB1" w:rsidRPr="008B53A9">
        <w:rPr>
          <w:rFonts w:cs="Calibri"/>
          <w:sz w:val="24"/>
          <w:szCs w:val="24"/>
        </w:rPr>
        <w:t xml:space="preserve">inovační výkonnosti </w:t>
      </w:r>
      <w:r w:rsidRPr="008B53A9">
        <w:rPr>
          <w:rFonts w:cs="Calibri"/>
          <w:sz w:val="24"/>
          <w:szCs w:val="24"/>
        </w:rPr>
        <w:t>domácích firem</w:t>
      </w:r>
      <w:r w:rsidR="004B7DB1" w:rsidRPr="008B53A9">
        <w:rPr>
          <w:rFonts w:cs="Calibri"/>
          <w:sz w:val="24"/>
          <w:szCs w:val="24"/>
        </w:rPr>
        <w:t xml:space="preserve"> a zvýšení jejich schopnosti</w:t>
      </w:r>
      <w:r w:rsidR="00FE0B02" w:rsidRPr="008B53A9">
        <w:rPr>
          <w:rFonts w:cs="Calibri"/>
          <w:sz w:val="24"/>
          <w:szCs w:val="24"/>
        </w:rPr>
        <w:t>.</w:t>
      </w:r>
      <w:r w:rsidRPr="008B53A9">
        <w:rPr>
          <w:rFonts w:cs="Calibri"/>
          <w:sz w:val="24"/>
          <w:szCs w:val="24"/>
        </w:rPr>
        <w:t xml:space="preserve"> S růstem počtu firem místního původu v pozici technologických lídrů a aktivním přístupem k inovacím se tak sníží vysoká závislost hospodářs</w:t>
      </w:r>
      <w:r w:rsidR="004B7DB1" w:rsidRPr="008B53A9">
        <w:rPr>
          <w:rFonts w:cs="Calibri"/>
          <w:sz w:val="24"/>
          <w:szCs w:val="24"/>
        </w:rPr>
        <w:t xml:space="preserve">tví </w:t>
      </w:r>
      <w:r w:rsidRPr="008B53A9">
        <w:rPr>
          <w:rFonts w:cs="Calibri"/>
          <w:sz w:val="24"/>
          <w:szCs w:val="24"/>
        </w:rPr>
        <w:t>ČR na aktivitách zahraničních firem.</w:t>
      </w:r>
    </w:p>
    <w:p w:rsidR="00B2096C" w:rsidRPr="008B53A9" w:rsidRDefault="00B2096C" w:rsidP="005F43DF">
      <w:pPr>
        <w:numPr>
          <w:ilvl w:val="0"/>
          <w:numId w:val="53"/>
        </w:numPr>
        <w:spacing w:after="120"/>
        <w:jc w:val="both"/>
        <w:rPr>
          <w:rFonts w:cs="Calibri"/>
          <w:sz w:val="24"/>
          <w:szCs w:val="24"/>
        </w:rPr>
      </w:pPr>
      <w:r w:rsidRPr="008B53A9">
        <w:rPr>
          <w:rFonts w:cs="Calibri"/>
          <w:sz w:val="24"/>
          <w:szCs w:val="24"/>
        </w:rPr>
        <w:t>Zvýšení využívání unikátních know-how z větší či menší části vzniklých ve spolupráci s akademickým a výzkumným sektorem, rozšíření know-how firem pro vlastní inovace, zvýšení efektivnosti interních procesů v oblasti řízení inovací a účinnější ochrany duševního vlastnictví, zvláště na zahraničních trzích, což povede k vyšší internacionalizaci firem a možnosti účastí českých firem v evropských programech (např. Horizont 2020).</w:t>
      </w:r>
    </w:p>
    <w:p w:rsidR="00B2096C" w:rsidRPr="008B53A9" w:rsidRDefault="00B2096C" w:rsidP="005F43DF">
      <w:pPr>
        <w:numPr>
          <w:ilvl w:val="0"/>
          <w:numId w:val="53"/>
        </w:numPr>
        <w:spacing w:after="120"/>
        <w:jc w:val="both"/>
        <w:rPr>
          <w:rFonts w:cs="Calibri"/>
          <w:sz w:val="24"/>
          <w:szCs w:val="24"/>
        </w:rPr>
      </w:pPr>
      <w:r w:rsidRPr="008B53A9">
        <w:rPr>
          <w:rFonts w:cs="Calibri"/>
          <w:sz w:val="24"/>
          <w:szCs w:val="24"/>
        </w:rPr>
        <w:t>Tvorba a zavádění nových konkurenceschopných produktů na globální trh, zejména inovacích vyšších řádů, posílení schopnosti firem v oblasti high-tech výroby.</w:t>
      </w:r>
    </w:p>
    <w:p w:rsidR="00B2096C" w:rsidRPr="008B53A9" w:rsidRDefault="00B2096C" w:rsidP="005F43DF">
      <w:pPr>
        <w:numPr>
          <w:ilvl w:val="0"/>
          <w:numId w:val="53"/>
        </w:numPr>
        <w:spacing w:after="120"/>
        <w:jc w:val="both"/>
        <w:rPr>
          <w:rFonts w:cs="Calibri"/>
          <w:sz w:val="24"/>
          <w:szCs w:val="24"/>
        </w:rPr>
      </w:pPr>
      <w:r w:rsidRPr="008B53A9">
        <w:rPr>
          <w:rFonts w:cs="Calibri"/>
          <w:sz w:val="24"/>
          <w:szCs w:val="24"/>
        </w:rPr>
        <w:t>Posílení výzkumu, vývoje a uvádění ekoinovací na trh přispěje k optimálnímu využití zdrojů a ke snížení dopadů výroby či produktu na životní prostředí.</w:t>
      </w:r>
    </w:p>
    <w:p w:rsidR="00ED2AA8" w:rsidRPr="008B53A9" w:rsidRDefault="00ED2AA8" w:rsidP="005F43DF">
      <w:pPr>
        <w:numPr>
          <w:ilvl w:val="0"/>
          <w:numId w:val="53"/>
        </w:numPr>
        <w:spacing w:after="120"/>
        <w:jc w:val="both"/>
        <w:rPr>
          <w:rFonts w:cs="Calibri"/>
          <w:sz w:val="24"/>
          <w:szCs w:val="24"/>
        </w:rPr>
      </w:pPr>
      <w:r w:rsidRPr="008B53A9">
        <w:rPr>
          <w:rFonts w:cs="Calibri"/>
          <w:sz w:val="24"/>
          <w:szCs w:val="24"/>
        </w:rPr>
        <w:t xml:space="preserve">Zvýšení počtu firem disponujících moderní VaV infrastrukturou, jejíž využití povede k dalším investicím soukromých subjektů a realizaci navazujících projektů ve spolupráci s dalšími účastníky inovačního systému. </w:t>
      </w:r>
    </w:p>
    <w:p w:rsidR="00ED2AA8" w:rsidRPr="008B53A9" w:rsidRDefault="00ED2AA8" w:rsidP="005F43DF">
      <w:pPr>
        <w:numPr>
          <w:ilvl w:val="0"/>
          <w:numId w:val="53"/>
        </w:numPr>
        <w:spacing w:after="120"/>
        <w:jc w:val="both"/>
        <w:rPr>
          <w:rFonts w:cs="Calibri"/>
          <w:sz w:val="24"/>
          <w:szCs w:val="24"/>
        </w:rPr>
      </w:pPr>
      <w:r w:rsidRPr="008B53A9">
        <w:rPr>
          <w:rFonts w:cs="Calibri"/>
          <w:sz w:val="24"/>
          <w:szCs w:val="24"/>
        </w:rPr>
        <w:t>Realizace projektů průmyslového výzkumu a experimentálního vývoje bude významným impulsem pro zvýšení vlastních podnikových výdajů na výzkum a vývoj, povede k tvorbě nových konkurenceschopných produktů</w:t>
      </w:r>
      <w:r w:rsidR="00C5101E" w:rsidRPr="008B53A9">
        <w:rPr>
          <w:rFonts w:cs="Calibri"/>
          <w:sz w:val="24"/>
          <w:szCs w:val="24"/>
        </w:rPr>
        <w:t xml:space="preserve"> a služeb</w:t>
      </w:r>
      <w:r w:rsidRPr="008B53A9">
        <w:rPr>
          <w:rFonts w:cs="Calibri"/>
          <w:sz w:val="24"/>
          <w:szCs w:val="24"/>
        </w:rPr>
        <w:t>, bude stimulovat výzkumné organizace k tvorbě výsledků využitelných v průmyslu a podpoří využívání nově vybudovaných výzkumných infrastruktur ve veřejném sektoru s důrazem na oblast klíčových průřezových technologií (KETs).</w:t>
      </w:r>
      <w:r w:rsidR="00FE0B02" w:rsidRPr="008B53A9">
        <w:rPr>
          <w:rFonts w:cs="Calibri"/>
          <w:sz w:val="24"/>
          <w:szCs w:val="24"/>
        </w:rPr>
        <w:t xml:space="preserve"> </w:t>
      </w:r>
    </w:p>
    <w:p w:rsidR="00941F63" w:rsidRPr="008B53A9" w:rsidRDefault="00941F63" w:rsidP="00941F63">
      <w:pPr>
        <w:pStyle w:val="Titulek"/>
        <w:keepNext/>
        <w:rPr>
          <w:rFonts w:cs="Calibri"/>
        </w:rPr>
      </w:pPr>
      <w:r w:rsidRPr="008B53A9">
        <w:rPr>
          <w:rFonts w:cs="Calibri"/>
        </w:rPr>
        <w:t xml:space="preserve">Tabulka </w:t>
      </w:r>
      <w:r w:rsidR="00174180" w:rsidRPr="008B53A9">
        <w:rPr>
          <w:rFonts w:cs="Calibri"/>
        </w:rPr>
        <w:fldChar w:fldCharType="begin"/>
      </w:r>
      <w:r w:rsidR="00174180" w:rsidRPr="008B53A9">
        <w:rPr>
          <w:rFonts w:cs="Calibri"/>
        </w:rPr>
        <w:instrText xml:space="preserve"> SEQ Tabulka \* ARABIC </w:instrText>
      </w:r>
      <w:r w:rsidR="00174180" w:rsidRPr="008B53A9">
        <w:rPr>
          <w:rFonts w:cs="Calibri"/>
        </w:rPr>
        <w:fldChar w:fldCharType="separate"/>
      </w:r>
      <w:r w:rsidR="00E54216" w:rsidRPr="008B53A9">
        <w:rPr>
          <w:rFonts w:cs="Calibri"/>
          <w:noProof/>
        </w:rPr>
        <w:t>3</w:t>
      </w:r>
      <w:r w:rsidR="00174180" w:rsidRPr="008B53A9">
        <w:rPr>
          <w:rFonts w:cs="Calibri"/>
          <w:noProof/>
        </w:rPr>
        <w:fldChar w:fldCharType="end"/>
      </w:r>
      <w:r w:rsidR="009670FD" w:rsidRPr="008B53A9">
        <w:rPr>
          <w:rFonts w:cs="Calibri"/>
          <w:noProof/>
        </w:rPr>
        <w:t>a</w:t>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5"/>
        <w:gridCol w:w="1695"/>
        <w:gridCol w:w="946"/>
        <w:gridCol w:w="1206"/>
        <w:gridCol w:w="908"/>
        <w:gridCol w:w="883"/>
        <w:gridCol w:w="923"/>
        <w:gridCol w:w="1078"/>
        <w:gridCol w:w="1022"/>
      </w:tblGrid>
      <w:tr w:rsidR="007B391E" w:rsidRPr="008B53A9">
        <w:trPr>
          <w:trHeight w:hRule="exact" w:val="1297"/>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41F63" w:rsidRPr="008B53A9" w:rsidRDefault="00941F63" w:rsidP="009670FD">
            <w:pPr>
              <w:pStyle w:val="Tabulka"/>
              <w:rPr>
                <w:rFonts w:cs="Calibri"/>
                <w:lang w:val="cs-CZ" w:eastAsia="cs-CZ"/>
              </w:rPr>
            </w:pPr>
            <w:r w:rsidRPr="008B53A9">
              <w:rPr>
                <w:rFonts w:cs="Calibri"/>
                <w:b/>
                <w:bCs/>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41F63" w:rsidRPr="008B53A9" w:rsidRDefault="00CF739D" w:rsidP="009670FD">
            <w:pPr>
              <w:pStyle w:val="Tabulka"/>
              <w:rPr>
                <w:rFonts w:cs="Calibri"/>
                <w:lang w:val="cs-CZ" w:eastAsia="cs-CZ"/>
              </w:rPr>
            </w:pPr>
            <w:r w:rsidRPr="008B53A9">
              <w:rPr>
                <w:rFonts w:cs="Calibri"/>
                <w:b/>
                <w:bCs/>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41F63" w:rsidRPr="008B53A9" w:rsidRDefault="00941F63" w:rsidP="009670FD">
            <w:pPr>
              <w:pStyle w:val="Tabulka"/>
              <w:rPr>
                <w:rFonts w:cs="Calibri"/>
                <w:lang w:val="cs-CZ" w:eastAsia="cs-CZ"/>
              </w:rPr>
            </w:pPr>
            <w:r w:rsidRPr="008B53A9">
              <w:rPr>
                <w:rFonts w:cs="Calibri"/>
                <w:b/>
                <w:bCs/>
                <w:lang w:val="cs-CZ" w:eastAsia="cs-CZ"/>
              </w:rPr>
              <w:t>Měrná</w:t>
            </w:r>
          </w:p>
          <w:p w:rsidR="00941F63" w:rsidRPr="008B53A9" w:rsidRDefault="00941F63" w:rsidP="009670FD">
            <w:pPr>
              <w:pStyle w:val="Tabulka"/>
              <w:rPr>
                <w:rFonts w:cs="Calibri"/>
                <w:lang w:val="cs-CZ" w:eastAsia="cs-CZ"/>
              </w:rPr>
            </w:pPr>
            <w:r w:rsidRPr="008B53A9">
              <w:rPr>
                <w:rFonts w:cs="Calibri"/>
                <w:b/>
                <w:bCs/>
                <w:lang w:val="cs-CZ" w:eastAsia="cs-CZ"/>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41F63" w:rsidRPr="008B53A9" w:rsidRDefault="00CF739D" w:rsidP="00CF739D">
            <w:pPr>
              <w:pStyle w:val="Tabulka"/>
              <w:rPr>
                <w:rFonts w:cs="Calibri"/>
                <w:lang w:val="cs-CZ" w:eastAsia="cs-CZ"/>
              </w:rPr>
            </w:pPr>
            <w:r w:rsidRPr="008B53A9">
              <w:rPr>
                <w:rFonts w:cs="Calibri"/>
                <w:b/>
                <w:bCs/>
                <w:lang w:val="cs-CZ" w:eastAsia="cs-CZ"/>
              </w:rPr>
              <w:t>Kategorie regionů</w:t>
            </w:r>
            <w:r w:rsidR="00941F63" w:rsidRPr="008B53A9">
              <w:rPr>
                <w:rFonts w:cs="Calibri"/>
                <w:b/>
                <w:bCs/>
                <w:lang w:val="cs-CZ" w:eastAsia="cs-CZ"/>
              </w:rPr>
              <w:t xml:space="preserve"> (</w:t>
            </w:r>
            <w:r w:rsidRPr="008B53A9">
              <w:rPr>
                <w:rFonts w:cs="Calibri"/>
                <w:b/>
                <w:bCs/>
                <w:lang w:val="cs-CZ" w:eastAsia="cs-CZ"/>
              </w:rPr>
              <w:t>je-li</w:t>
            </w:r>
            <w:r w:rsidR="00941F63" w:rsidRPr="008B53A9">
              <w:rPr>
                <w:rFonts w:cs="Calibri"/>
                <w:b/>
                <w:bCs/>
                <w:lang w:val="cs-CZ" w:eastAsia="cs-CZ"/>
              </w:rPr>
              <w:t xml:space="preserve">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41F63" w:rsidRPr="008B53A9" w:rsidRDefault="004B0854" w:rsidP="009670FD">
            <w:pPr>
              <w:pStyle w:val="Tabulka"/>
              <w:rPr>
                <w:rFonts w:cs="Calibri"/>
                <w:lang w:val="cs-CZ" w:eastAsia="cs-CZ"/>
              </w:rPr>
            </w:pPr>
            <w:r w:rsidRPr="008B53A9">
              <w:rPr>
                <w:rFonts w:cs="Calibri"/>
                <w:b/>
                <w:bCs/>
                <w:lang w:val="cs-CZ" w:eastAsia="cs-CZ"/>
              </w:rPr>
              <w:t>Výchozí</w:t>
            </w:r>
            <w:r w:rsidR="00941F63" w:rsidRPr="008B53A9">
              <w:rPr>
                <w:rFonts w:cs="Calibri"/>
                <w:b/>
                <w:bCs/>
                <w:lang w:val="cs-CZ" w:eastAsia="cs-CZ"/>
              </w:rPr>
              <w:t xml:space="preserve">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41F63" w:rsidRPr="008B53A9" w:rsidRDefault="004B0854" w:rsidP="004B0854">
            <w:pPr>
              <w:pStyle w:val="Tabulka"/>
              <w:rPr>
                <w:rFonts w:cs="Calibri"/>
                <w:lang w:val="cs-CZ" w:eastAsia="cs-CZ"/>
              </w:rPr>
            </w:pPr>
            <w:r w:rsidRPr="008B53A9">
              <w:rPr>
                <w:rFonts w:cs="Calibri"/>
                <w:b/>
                <w:bCs/>
                <w:lang w:val="cs-CZ" w:eastAsia="cs-CZ"/>
              </w:rPr>
              <w:t xml:space="preserve">Výchozí </w:t>
            </w:r>
            <w:r w:rsidR="00941F63" w:rsidRPr="008B53A9">
              <w:rPr>
                <w:rFonts w:cs="Calibri"/>
                <w:b/>
                <w:bCs/>
                <w:lang w:val="cs-CZ" w:eastAsia="cs-CZ"/>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41F63" w:rsidRPr="008B53A9" w:rsidRDefault="009E5CFE" w:rsidP="00073A01">
            <w:pPr>
              <w:pStyle w:val="Tabulka"/>
              <w:rPr>
                <w:rFonts w:cs="Calibri"/>
                <w:lang w:val="cs-CZ" w:eastAsia="cs-CZ"/>
              </w:rPr>
            </w:pPr>
            <w:r w:rsidRPr="008B53A9">
              <w:rPr>
                <w:rFonts w:cs="Calibri"/>
                <w:b/>
                <w:bCs/>
                <w:lang w:val="cs-CZ" w:eastAsia="cs-CZ"/>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41F63" w:rsidRPr="008B53A9" w:rsidRDefault="00941F63" w:rsidP="009670FD">
            <w:pPr>
              <w:pStyle w:val="Tabulka"/>
              <w:rPr>
                <w:rFonts w:cs="Calibri"/>
                <w:lang w:val="cs-CZ" w:eastAsia="cs-CZ"/>
              </w:rPr>
            </w:pPr>
            <w:r w:rsidRPr="008B53A9">
              <w:rPr>
                <w:rFonts w:cs="Calibri"/>
                <w:b/>
                <w:bCs/>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941F63" w:rsidRPr="008B53A9" w:rsidRDefault="00CF739D" w:rsidP="009670FD">
            <w:pPr>
              <w:pStyle w:val="Tabulka"/>
              <w:rPr>
                <w:rFonts w:cs="Calibri"/>
                <w:lang w:val="cs-CZ" w:eastAsia="cs-CZ"/>
              </w:rPr>
            </w:pPr>
            <w:r w:rsidRPr="008B53A9">
              <w:rPr>
                <w:rFonts w:cs="Calibri"/>
                <w:b/>
                <w:bCs/>
                <w:lang w:val="cs-CZ" w:eastAsia="cs-CZ"/>
              </w:rPr>
              <w:t>Četnost podávání zpráv</w:t>
            </w:r>
          </w:p>
        </w:tc>
      </w:tr>
      <w:tr w:rsidR="007B391E" w:rsidRPr="008B53A9">
        <w:trPr>
          <w:trHeight w:hRule="exact" w:val="1914"/>
        </w:trPr>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120C1" w:rsidP="009670FD">
            <w:pPr>
              <w:pStyle w:val="Tabulka"/>
              <w:rPr>
                <w:rFonts w:cs="Calibri"/>
                <w:lang w:val="cs-CZ" w:eastAsia="cs-CZ"/>
              </w:rPr>
            </w:pPr>
            <w:r w:rsidRPr="008B53A9">
              <w:rPr>
                <w:rFonts w:cs="Calibri"/>
                <w:lang w:val="cs-CZ" w:eastAsia="cs-CZ"/>
              </w:rPr>
              <w:t>210</w:t>
            </w:r>
            <w:r w:rsidR="00802191" w:rsidRPr="008B53A9">
              <w:rPr>
                <w:rFonts w:cs="Calibri"/>
                <w:lang w:val="cs-CZ" w:eastAsia="cs-CZ"/>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B1649F" w:rsidP="000C45D5">
            <w:pPr>
              <w:pStyle w:val="Tabulka"/>
              <w:jc w:val="left"/>
              <w:rPr>
                <w:rFonts w:cs="Calibri"/>
                <w:lang w:val="cs-CZ" w:eastAsia="cs-CZ"/>
              </w:rPr>
            </w:pPr>
            <w:r w:rsidRPr="008B53A9">
              <w:rPr>
                <w:rFonts w:cs="Calibri"/>
                <w:lang w:val="cs-CZ" w:eastAsia="cs-CZ"/>
              </w:rPr>
              <w:t>Výdaje na VaV v podnikatelském sektoru jako % HDP - regiony ČR (mimo hl. m. Praha)</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9670FD">
            <w:pPr>
              <w:pStyle w:val="Tabulka"/>
              <w:rPr>
                <w:rFonts w:cs="Calibri"/>
                <w:lang w:val="cs-CZ" w:eastAsia="cs-CZ"/>
              </w:rPr>
            </w:pPr>
            <w:r w:rsidRPr="008B53A9">
              <w:rPr>
                <w:rFonts w:cs="Calibri"/>
                <w:lang w:val="cs-CZ"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B71997" w:rsidP="009670FD">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9670FD">
            <w:pPr>
              <w:pStyle w:val="Tabulka"/>
              <w:rPr>
                <w:rFonts w:cs="Calibri"/>
                <w:lang w:val="cs-CZ" w:eastAsia="cs-CZ"/>
              </w:rPr>
            </w:pPr>
            <w:r w:rsidRPr="008B53A9">
              <w:rPr>
                <w:rFonts w:cs="Calibri"/>
                <w:lang w:val="cs-CZ" w:eastAsia="cs-CZ"/>
              </w:rPr>
              <w:t>0,75</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9670FD">
            <w:pPr>
              <w:pStyle w:val="Tabulka"/>
              <w:rPr>
                <w:rFonts w:cs="Calibri"/>
                <w:lang w:val="cs-CZ" w:eastAsia="cs-CZ"/>
              </w:rPr>
            </w:pPr>
            <w:r w:rsidRPr="008B53A9">
              <w:rPr>
                <w:rFonts w:cs="Calibri"/>
                <w:lang w:val="cs-CZ" w:eastAsia="cs-CZ"/>
              </w:rPr>
              <w:t>2012</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6D0B8B" w:rsidP="009670FD">
            <w:pPr>
              <w:pStyle w:val="Tabulka"/>
              <w:rPr>
                <w:rFonts w:cs="Calibri"/>
                <w:lang w:val="cs-CZ" w:eastAsia="cs-CZ"/>
              </w:rPr>
            </w:pPr>
            <w:r w:rsidRPr="008B53A9">
              <w:rPr>
                <w:rFonts w:cs="Calibri"/>
                <w:lang w:val="cs-CZ" w:eastAsia="cs-CZ"/>
              </w:rPr>
              <w:t>0,8 – 0,95</w:t>
            </w:r>
            <w:r w:rsidR="00B94B7A" w:rsidRPr="008B53A9">
              <w:rPr>
                <w:rStyle w:val="Znakapoznpodarou"/>
                <w:rFonts w:cs="Calibri"/>
                <w:lang w:val="cs-CZ" w:eastAsia="cs-CZ"/>
              </w:rPr>
              <w:footnoteReference w:id="23"/>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9670FD">
            <w:pPr>
              <w:pStyle w:val="Tabulka"/>
              <w:rPr>
                <w:rFonts w:cs="Calibri"/>
                <w:lang w:val="cs-CZ" w:eastAsia="cs-CZ"/>
              </w:rPr>
            </w:pPr>
            <w:r w:rsidRPr="008B53A9">
              <w:rPr>
                <w:rFonts w:cs="Calibri"/>
                <w:lang w:val="cs-CZ" w:eastAsia="cs-CZ"/>
              </w:rPr>
              <w:t>ŘO na základě dat ČSÚ</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9670FD">
            <w:pPr>
              <w:pStyle w:val="Tabulka"/>
              <w:rPr>
                <w:rFonts w:cs="Calibri"/>
                <w:lang w:val="cs-CZ" w:eastAsia="cs-CZ"/>
              </w:rPr>
            </w:pPr>
            <w:r w:rsidRPr="008B53A9">
              <w:rPr>
                <w:rFonts w:cs="Calibri"/>
                <w:lang w:val="cs-CZ" w:eastAsia="cs-CZ"/>
              </w:rPr>
              <w:t>ročně</w:t>
            </w:r>
          </w:p>
        </w:tc>
      </w:tr>
      <w:tr w:rsidR="007B391E" w:rsidRPr="008B53A9">
        <w:trPr>
          <w:trHeight w:hRule="exact" w:val="1856"/>
        </w:trPr>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120C1" w:rsidP="009670FD">
            <w:pPr>
              <w:pStyle w:val="Tabulka"/>
              <w:rPr>
                <w:rFonts w:cs="Calibri"/>
                <w:lang w:val="cs-CZ" w:eastAsia="cs-CZ"/>
              </w:rPr>
            </w:pPr>
            <w:r w:rsidRPr="008B53A9">
              <w:rPr>
                <w:rFonts w:cs="Calibri"/>
                <w:lang w:val="cs-CZ" w:eastAsia="cs-CZ"/>
              </w:rPr>
              <w:lastRenderedPageBreak/>
              <w:t>214</w:t>
            </w:r>
            <w:r w:rsidR="00802191" w:rsidRPr="008B53A9">
              <w:rPr>
                <w:rFonts w:cs="Calibri"/>
                <w:lang w:val="cs-CZ" w:eastAsia="cs-CZ"/>
              </w:rPr>
              <w:t>11</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AF574A">
            <w:pPr>
              <w:pStyle w:val="Tabulka"/>
              <w:jc w:val="left"/>
              <w:rPr>
                <w:rFonts w:cs="Calibri"/>
                <w:lang w:val="cs-CZ" w:eastAsia="cs-CZ"/>
              </w:rPr>
            </w:pPr>
            <w:r w:rsidRPr="008B53A9">
              <w:rPr>
                <w:rFonts w:cs="Calibri"/>
                <w:lang w:val="cs-CZ" w:eastAsia="cs-CZ"/>
              </w:rPr>
              <w:t>Tržby z inovované produkce jako % celkových tržeb podniků s produktovou inovací</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9670FD">
            <w:pPr>
              <w:pStyle w:val="Tabulka"/>
              <w:rPr>
                <w:rFonts w:cs="Calibri"/>
                <w:lang w:val="cs-CZ" w:eastAsia="cs-CZ"/>
              </w:rPr>
            </w:pPr>
            <w:r w:rsidRPr="008B53A9">
              <w:rPr>
                <w:rFonts w:cs="Calibri"/>
                <w:lang w:val="cs-CZ"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B71997" w:rsidP="009670FD">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9670FD">
            <w:pPr>
              <w:pStyle w:val="Tabulka"/>
              <w:rPr>
                <w:rFonts w:cs="Calibri"/>
                <w:lang w:val="cs-CZ" w:eastAsia="cs-CZ"/>
              </w:rPr>
            </w:pPr>
            <w:r w:rsidRPr="008B53A9">
              <w:rPr>
                <w:rFonts w:cs="Calibri"/>
                <w:lang w:val="cs-CZ" w:eastAsia="cs-CZ"/>
              </w:rPr>
              <w:t>29,2</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9670FD">
            <w:pPr>
              <w:pStyle w:val="Tabulka"/>
              <w:rPr>
                <w:rFonts w:cs="Calibri"/>
                <w:lang w:val="cs-CZ" w:eastAsia="cs-CZ"/>
              </w:rPr>
            </w:pPr>
            <w:r w:rsidRPr="008B53A9">
              <w:rPr>
                <w:rFonts w:cs="Calibri"/>
                <w:lang w:val="cs-CZ" w:eastAsia="cs-CZ"/>
              </w:rPr>
              <w:t>2010-2012</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6D0B8B" w:rsidP="009670FD">
            <w:pPr>
              <w:pStyle w:val="Tabulka"/>
              <w:rPr>
                <w:rFonts w:cs="Calibri"/>
                <w:lang w:val="cs-CZ" w:eastAsia="cs-CZ"/>
              </w:rPr>
            </w:pPr>
            <w:r w:rsidRPr="008B53A9">
              <w:rPr>
                <w:rFonts w:cs="Calibri"/>
                <w:lang w:val="cs-CZ" w:eastAsia="cs-CZ"/>
              </w:rPr>
              <w:t>29,8 – 31</w:t>
            </w:r>
            <w:r w:rsidR="007E6815" w:rsidRPr="008B53A9">
              <w:rPr>
                <w:rStyle w:val="Znakapoznpodarou"/>
                <w:rFonts w:cs="Calibri"/>
                <w:lang w:val="cs-CZ" w:eastAsia="cs-CZ"/>
              </w:rPr>
              <w:footnoteReference w:id="24"/>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8E48D1" w:rsidP="001A189B">
            <w:pPr>
              <w:pStyle w:val="Tabulka"/>
              <w:rPr>
                <w:rFonts w:cs="Calibri"/>
                <w:lang w:val="cs-CZ" w:eastAsia="cs-CZ"/>
              </w:rPr>
            </w:pPr>
            <w:r w:rsidRPr="008B53A9">
              <w:rPr>
                <w:rFonts w:cs="Calibri"/>
                <w:lang w:val="cs-CZ" w:eastAsia="cs-CZ"/>
              </w:rPr>
              <w:t>ČSÚ (šetření o inovacích, CIS)</w:t>
            </w:r>
          </w:p>
        </w:tc>
        <w:tc>
          <w:tcPr>
            <w:tcW w:w="0" w:type="auto"/>
            <w:tcBorders>
              <w:top w:val="single" w:sz="4" w:space="0" w:color="000000"/>
              <w:left w:val="single" w:sz="4" w:space="0" w:color="000000"/>
              <w:bottom w:val="single" w:sz="4" w:space="0" w:color="000000"/>
              <w:right w:val="single" w:sz="4" w:space="0" w:color="000000"/>
            </w:tcBorders>
            <w:vAlign w:val="center"/>
          </w:tcPr>
          <w:p w:rsidR="00941F63" w:rsidRPr="008B53A9" w:rsidRDefault="00170A59" w:rsidP="009670FD">
            <w:pPr>
              <w:pStyle w:val="Tabulka"/>
              <w:rPr>
                <w:rFonts w:cs="Calibri"/>
                <w:lang w:val="cs-CZ" w:eastAsia="cs-CZ"/>
              </w:rPr>
            </w:pPr>
            <w:r w:rsidRPr="008B53A9">
              <w:rPr>
                <w:rFonts w:cs="Calibri"/>
                <w:lang w:val="cs-CZ" w:eastAsia="cs-CZ"/>
              </w:rPr>
              <w:t>2 roky</w:t>
            </w:r>
          </w:p>
        </w:tc>
      </w:tr>
    </w:tbl>
    <w:p w:rsidR="00380F31" w:rsidRPr="008B53A9" w:rsidRDefault="00702500" w:rsidP="00396141">
      <w:pPr>
        <w:pStyle w:val="Modrnadpis"/>
      </w:pPr>
      <w:bookmarkStart w:id="30" w:name="_Toc351464360"/>
      <w:r w:rsidRPr="008B53A9">
        <w:t xml:space="preserve">SPECIFICKÝ CÍL </w:t>
      </w:r>
      <w:r w:rsidR="00C71E6F" w:rsidRPr="008B53A9">
        <w:t>1.</w:t>
      </w:r>
      <w:r w:rsidR="00247D8E" w:rsidRPr="008B53A9">
        <w:t>2</w:t>
      </w:r>
      <w:r w:rsidRPr="008B53A9">
        <w:t xml:space="preserve">: </w:t>
      </w:r>
      <w:bookmarkEnd w:id="30"/>
      <w:r w:rsidR="00247D8E" w:rsidRPr="008B53A9">
        <w:t>Zvýš</w:t>
      </w:r>
      <w:r w:rsidR="00771951" w:rsidRPr="008B53A9">
        <w:t xml:space="preserve">it </w:t>
      </w:r>
      <w:r w:rsidR="00247D8E" w:rsidRPr="008B53A9">
        <w:t>intenzit</w:t>
      </w:r>
      <w:r w:rsidR="00771951" w:rsidRPr="008B53A9">
        <w:t>u</w:t>
      </w:r>
      <w:r w:rsidR="00247D8E" w:rsidRPr="008B53A9">
        <w:t xml:space="preserve"> a účinnost spolupráce ve výzkumu, vývoji a inovacích</w:t>
      </w:r>
    </w:p>
    <w:p w:rsidR="00380F31" w:rsidRPr="008B53A9" w:rsidRDefault="00ED2AA8" w:rsidP="007C48EE">
      <w:pPr>
        <w:pStyle w:val="Standardntext"/>
      </w:pPr>
      <w:r w:rsidRPr="008B53A9">
        <w:t xml:space="preserve">Zkvalitňování služeb podpůrné infrastruktury povede ke zvýšení intenzity společných výzkumných, vývojových a inovačních aktivit mezi podnikatelskými subjekty a mezi </w:t>
      </w:r>
      <w:r w:rsidR="00301B17" w:rsidRPr="008B53A9">
        <w:t>veřejným</w:t>
      </w:r>
      <w:r w:rsidRPr="008B53A9">
        <w:t xml:space="preserve"> a podnikovým sektorem. Naplňování specifického cíle přispěje k většímu počtu transferů technologií a znalostí, zvýšení mobility, mezisektorové spolupráce a zlepšování podmínek pro rozvoj inovačních firem a konkurenční výhody jako zásadního prvku ovlivňujícího efektivitu celého inovačního systému v ČR.</w:t>
      </w:r>
    </w:p>
    <w:p w:rsidR="007B234F" w:rsidRPr="008B53A9" w:rsidRDefault="003508A9" w:rsidP="007B234F">
      <w:pPr>
        <w:pStyle w:val="Modrnadpis"/>
      </w:pPr>
      <w:r w:rsidRPr="008B53A9">
        <w:t>Výsledky, kterých chce ČR dosáhnout s podporou Unie</w:t>
      </w:r>
    </w:p>
    <w:p w:rsidR="00B2096C" w:rsidRPr="008B53A9" w:rsidRDefault="002E27F7" w:rsidP="005F43DF">
      <w:pPr>
        <w:numPr>
          <w:ilvl w:val="0"/>
          <w:numId w:val="54"/>
        </w:numPr>
        <w:spacing w:after="120"/>
        <w:jc w:val="both"/>
        <w:rPr>
          <w:rFonts w:cs="Calibri"/>
          <w:sz w:val="24"/>
          <w:szCs w:val="24"/>
        </w:rPr>
      </w:pPr>
      <w:r w:rsidRPr="008B53A9">
        <w:rPr>
          <w:rFonts w:cs="Calibri"/>
          <w:sz w:val="24"/>
          <w:szCs w:val="24"/>
        </w:rPr>
        <w:t xml:space="preserve">Širší spektrum a vyšší kvalita služeb </w:t>
      </w:r>
      <w:r w:rsidR="00B2096C" w:rsidRPr="008B53A9">
        <w:rPr>
          <w:rFonts w:cs="Calibri"/>
          <w:sz w:val="24"/>
          <w:szCs w:val="24"/>
        </w:rPr>
        <w:t xml:space="preserve">poskytovaných podpůrnou infrastrukturou (vědeckotechnickými parky, inkubátory a inovačními centry) inovačním firmám a dalším aktérům v inovačním systému. Naplňování poslání podpůrné infrastruktury povede k úzkému propojení a efektivní spolupráci privátní sféry s veřejným výzkumným sektorem a přispěje k vytvoření mechanismů dlouhodobé spolupráce různých účastníků inovačního systému. </w:t>
      </w:r>
    </w:p>
    <w:p w:rsidR="00B2096C" w:rsidRPr="008B53A9" w:rsidRDefault="002E27F7" w:rsidP="005F43DF">
      <w:pPr>
        <w:numPr>
          <w:ilvl w:val="0"/>
          <w:numId w:val="54"/>
        </w:numPr>
        <w:spacing w:after="120"/>
        <w:jc w:val="both"/>
        <w:rPr>
          <w:rFonts w:cs="Calibri"/>
          <w:sz w:val="24"/>
          <w:szCs w:val="24"/>
        </w:rPr>
      </w:pPr>
      <w:r w:rsidRPr="008B53A9">
        <w:rPr>
          <w:rFonts w:cs="Calibri"/>
          <w:sz w:val="24"/>
          <w:szCs w:val="24"/>
        </w:rPr>
        <w:t>Efektivnější</w:t>
      </w:r>
      <w:r w:rsidR="00B2096C" w:rsidRPr="008B53A9">
        <w:rPr>
          <w:rFonts w:cs="Calibri"/>
          <w:sz w:val="24"/>
          <w:szCs w:val="24"/>
        </w:rPr>
        <w:t xml:space="preserve"> zapojení klastrů a dalších inovačních sítí do inovačního systému přispěje ke zlepšení vzájemné spolupráce firem v oblasti VaVaI, definovaní a řešení společných potřeb MSP ve spolupráci s výzkumnou sférou. Excelentní klastry </w:t>
      </w:r>
      <w:r w:rsidR="00B2096C" w:rsidRPr="008B53A9">
        <w:rPr>
          <w:bCs/>
          <w:sz w:val="24"/>
          <w:szCs w:val="24"/>
        </w:rPr>
        <w:t xml:space="preserve">budou generovat kvalitní výstupy v oblasti VaV a budou schopny se úspěšně zapojovat </w:t>
      </w:r>
      <w:r w:rsidR="00B2096C" w:rsidRPr="008B53A9">
        <w:rPr>
          <w:rFonts w:cs="Calibri"/>
          <w:sz w:val="24"/>
          <w:szCs w:val="24"/>
        </w:rPr>
        <w:t xml:space="preserve">do evropských výzkumných projektů. </w:t>
      </w:r>
    </w:p>
    <w:p w:rsidR="00B2096C" w:rsidRPr="008B53A9" w:rsidRDefault="00B2096C" w:rsidP="005F43DF">
      <w:pPr>
        <w:numPr>
          <w:ilvl w:val="0"/>
          <w:numId w:val="54"/>
        </w:numPr>
        <w:spacing w:after="120"/>
        <w:jc w:val="both"/>
        <w:rPr>
          <w:rFonts w:cs="Calibri"/>
          <w:sz w:val="24"/>
          <w:szCs w:val="24"/>
        </w:rPr>
      </w:pPr>
      <w:r w:rsidRPr="008B53A9">
        <w:rPr>
          <w:rFonts w:cs="Calibri"/>
          <w:sz w:val="24"/>
          <w:szCs w:val="24"/>
        </w:rPr>
        <w:t>Vytvoření a naplňování střednědobých až dlouhodobých vizí technologického vývoje v návaznosti na otázky budoucího hospodářského růstu, konkurenceschopnosti a trvale udržitelného rozvoje v České republice i v Evropě prostřednictvím technologických platforem povede ke zkvalitnění podnikatelského prostředí a strategického zacílení výzkumu a vývoje ve významných technologických oblastech na národní nebo mezinárodní úrovni.</w:t>
      </w:r>
    </w:p>
    <w:p w:rsidR="00B2096C" w:rsidRPr="008B53A9" w:rsidRDefault="00B2096C" w:rsidP="005F43DF">
      <w:pPr>
        <w:numPr>
          <w:ilvl w:val="0"/>
          <w:numId w:val="54"/>
        </w:numPr>
        <w:spacing w:after="120"/>
        <w:jc w:val="both"/>
        <w:rPr>
          <w:rFonts w:cs="Calibri"/>
          <w:sz w:val="24"/>
          <w:szCs w:val="24"/>
        </w:rPr>
      </w:pPr>
      <w:r w:rsidRPr="008B53A9">
        <w:rPr>
          <w:rFonts w:cs="Calibri"/>
          <w:sz w:val="24"/>
          <w:szCs w:val="24"/>
        </w:rPr>
        <w:t xml:space="preserve">Vyšší využití výsledků výzkumu s potenciálem komerčního využití založeného na předpokladu intenzivní spolupráce výzkumných organizací se subjekty aplikační sféry prostřednictvím tzv. proof-of-concept. </w:t>
      </w:r>
    </w:p>
    <w:p w:rsidR="00B2096C" w:rsidRPr="008B53A9" w:rsidRDefault="00B2096C" w:rsidP="005F43DF">
      <w:pPr>
        <w:pStyle w:val="Standardntext"/>
        <w:numPr>
          <w:ilvl w:val="0"/>
          <w:numId w:val="54"/>
        </w:numPr>
      </w:pPr>
      <w:r w:rsidRPr="008B53A9">
        <w:t xml:space="preserve">Posílení mobility a transferu znalostí mezi podnikovou a akademickou sférou s cílem zavádění produktových a procesních inovací v podnicích a sblížení výzkumných témat prováděných ve veřejném sektoru s potřebami podniků. Nárůst interakcí mezi podniky a veřejnými VaV a vzdělávacími institucemi povede k lepšímu porozumění jejich </w:t>
      </w:r>
      <w:r w:rsidRPr="008B53A9">
        <w:lastRenderedPageBreak/>
        <w:t>skutečným přínosům na obou stranách a většímu otevření univerzit ke spolupráci s podnikatelskou sférou.</w:t>
      </w:r>
    </w:p>
    <w:p w:rsidR="00A90CB3" w:rsidRPr="008B53A9" w:rsidRDefault="00A90CB3" w:rsidP="00073A01">
      <w:pPr>
        <w:pStyle w:val="Titulek"/>
        <w:keepNext/>
        <w:keepLines/>
        <w:rPr>
          <w:rFonts w:cs="Calibri"/>
        </w:rPr>
      </w:pPr>
      <w:r w:rsidRPr="008B53A9">
        <w:rPr>
          <w:rFonts w:cs="Calibri"/>
        </w:rPr>
        <w:t xml:space="preserve">Tabulka </w:t>
      </w:r>
      <w:r w:rsidR="002A1792" w:rsidRPr="008B53A9">
        <w:rPr>
          <w:rFonts w:cs="Calibri"/>
        </w:rPr>
        <w:fldChar w:fldCharType="begin"/>
      </w:r>
      <w:r w:rsidR="002A1792" w:rsidRPr="008B53A9">
        <w:rPr>
          <w:rFonts w:cs="Calibri"/>
        </w:rPr>
        <w:instrText xml:space="preserve"> SEQ Tabulka \* ARABIC \c </w:instrText>
      </w:r>
      <w:r w:rsidR="002A1792" w:rsidRPr="008B53A9">
        <w:rPr>
          <w:rFonts w:cs="Calibri"/>
        </w:rPr>
        <w:fldChar w:fldCharType="separate"/>
      </w:r>
      <w:r w:rsidR="00E54216" w:rsidRPr="008B53A9">
        <w:rPr>
          <w:rFonts w:cs="Calibri"/>
          <w:noProof/>
        </w:rPr>
        <w:t>3</w:t>
      </w:r>
      <w:r w:rsidR="002A1792" w:rsidRPr="008B53A9">
        <w:rPr>
          <w:rFonts w:cs="Calibri"/>
        </w:rPr>
        <w:fldChar w:fldCharType="end"/>
      </w:r>
      <w:r w:rsidR="000F7B0A" w:rsidRPr="008B53A9">
        <w:rPr>
          <w:rFonts w:cs="Calibri"/>
        </w:rPr>
        <w:t>b</w:t>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939"/>
        <w:gridCol w:w="946"/>
        <w:gridCol w:w="1208"/>
        <w:gridCol w:w="909"/>
        <w:gridCol w:w="883"/>
        <w:gridCol w:w="924"/>
        <w:gridCol w:w="829"/>
        <w:gridCol w:w="1024"/>
      </w:tblGrid>
      <w:tr w:rsidR="00CF739D" w:rsidRPr="008B53A9">
        <w:trPr>
          <w:trHeight w:hRule="exact" w:val="1276"/>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Měrná</w:t>
            </w:r>
          </w:p>
          <w:p w:rsidR="00CF739D" w:rsidRPr="008B53A9" w:rsidRDefault="00CF739D" w:rsidP="001B2E5C">
            <w:pPr>
              <w:pStyle w:val="Tabulka"/>
              <w:rPr>
                <w:rFonts w:cs="Calibri"/>
                <w:b/>
                <w:bCs/>
                <w:lang w:val="cs-CZ" w:eastAsia="cs-CZ"/>
              </w:rPr>
            </w:pPr>
            <w:r w:rsidRPr="008B53A9">
              <w:rPr>
                <w:rFonts w:cs="Calibri"/>
                <w:b/>
                <w:bCs/>
                <w:lang w:val="cs-CZ" w:eastAsia="cs-CZ"/>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1B2E5C">
            <w:pPr>
              <w:pStyle w:val="Tabulka"/>
              <w:rPr>
                <w:rFonts w:cs="Calibri"/>
                <w:b/>
                <w:bCs/>
                <w:lang w:val="cs-CZ" w:eastAsia="cs-CZ"/>
              </w:rPr>
            </w:pPr>
            <w:r w:rsidRPr="008B53A9">
              <w:rPr>
                <w:rFonts w:cs="Calibri"/>
                <w:b/>
                <w:bCs/>
                <w:lang w:val="cs-CZ" w:eastAsia="cs-CZ"/>
              </w:rPr>
              <w:t>Výchozí</w:t>
            </w:r>
            <w:r w:rsidR="00CF739D" w:rsidRPr="008B53A9">
              <w:rPr>
                <w:rFonts w:cs="Calibri"/>
                <w:b/>
                <w:bCs/>
                <w:lang w:val="cs-CZ" w:eastAsia="cs-CZ"/>
              </w:rPr>
              <w:t xml:space="preserve">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Četnost podávání zpráv</w:t>
            </w:r>
          </w:p>
        </w:tc>
      </w:tr>
      <w:tr w:rsidR="009964FE" w:rsidRPr="008B53A9">
        <w:trPr>
          <w:trHeight w:hRule="exact" w:val="3020"/>
        </w:trPr>
        <w:tc>
          <w:tcPr>
            <w:tcW w:w="0" w:type="auto"/>
            <w:tcBorders>
              <w:top w:val="single" w:sz="4" w:space="0" w:color="000000"/>
              <w:left w:val="single" w:sz="4" w:space="0" w:color="000000"/>
              <w:bottom w:val="single" w:sz="4" w:space="0" w:color="000000"/>
              <w:right w:val="single" w:sz="4" w:space="0" w:color="000000"/>
            </w:tcBorders>
            <w:vAlign w:val="center"/>
          </w:tcPr>
          <w:p w:rsidR="009964FE" w:rsidRPr="008B53A9" w:rsidRDefault="008120C1" w:rsidP="007D5585">
            <w:pPr>
              <w:pStyle w:val="Tabulka"/>
              <w:rPr>
                <w:rFonts w:cs="Calibri"/>
                <w:lang w:val="cs-CZ" w:eastAsia="cs-CZ"/>
              </w:rPr>
            </w:pPr>
            <w:r w:rsidRPr="008B53A9">
              <w:rPr>
                <w:rFonts w:cs="Calibri"/>
                <w:lang w:val="cs-CZ" w:eastAsia="cs-CZ"/>
              </w:rPr>
              <w:t>21011</w:t>
            </w:r>
          </w:p>
        </w:tc>
        <w:tc>
          <w:tcPr>
            <w:tcW w:w="0" w:type="auto"/>
            <w:tcBorders>
              <w:top w:val="single" w:sz="4" w:space="0" w:color="000000"/>
              <w:left w:val="single" w:sz="4" w:space="0" w:color="000000"/>
              <w:bottom w:val="single" w:sz="4" w:space="0" w:color="000000"/>
              <w:right w:val="single" w:sz="4" w:space="0" w:color="000000"/>
            </w:tcBorders>
            <w:vAlign w:val="center"/>
          </w:tcPr>
          <w:p w:rsidR="009964FE" w:rsidRPr="008B53A9" w:rsidRDefault="00F6040D" w:rsidP="00985574">
            <w:pPr>
              <w:pStyle w:val="Tabulka"/>
              <w:jc w:val="left"/>
              <w:rPr>
                <w:rFonts w:cs="Calibri"/>
                <w:lang w:val="cs-CZ" w:eastAsia="cs-CZ"/>
              </w:rPr>
            </w:pPr>
            <w:r w:rsidRPr="008B53A9">
              <w:rPr>
                <w:rFonts w:cs="Calibri"/>
                <w:lang w:val="cs-CZ" w:eastAsia="cs-CZ"/>
              </w:rPr>
              <w:t>Výdaje podnikatelského sektoru na provádění VaV ve vládním a vysokoškolském sektoru jako % celkových výdajů na provádění VaV v těchto sektorech</w:t>
            </w:r>
          </w:p>
        </w:tc>
        <w:tc>
          <w:tcPr>
            <w:tcW w:w="0" w:type="auto"/>
            <w:tcBorders>
              <w:top w:val="single" w:sz="4" w:space="0" w:color="000000"/>
              <w:left w:val="single" w:sz="4" w:space="0" w:color="000000"/>
              <w:bottom w:val="single" w:sz="4" w:space="0" w:color="000000"/>
              <w:right w:val="single" w:sz="4" w:space="0" w:color="000000"/>
            </w:tcBorders>
            <w:vAlign w:val="center"/>
          </w:tcPr>
          <w:p w:rsidR="009964FE" w:rsidRPr="008B53A9" w:rsidRDefault="00F6040D" w:rsidP="007D5585">
            <w:pPr>
              <w:pStyle w:val="Tabulka"/>
              <w:rPr>
                <w:rFonts w:cs="Calibri"/>
                <w:lang w:val="cs-CZ" w:eastAsia="cs-CZ"/>
              </w:rPr>
            </w:pPr>
            <w:r w:rsidRPr="008B53A9">
              <w:rPr>
                <w:rFonts w:cs="Calibri"/>
                <w:lang w:val="cs-CZ"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9964FE" w:rsidRPr="008B53A9" w:rsidRDefault="009964FE" w:rsidP="007D5585">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9964FE" w:rsidRPr="008B53A9" w:rsidRDefault="00F6040D" w:rsidP="007D5585">
            <w:pPr>
              <w:pStyle w:val="Tabulka"/>
              <w:rPr>
                <w:rFonts w:cs="Calibri"/>
                <w:lang w:val="cs-CZ" w:eastAsia="cs-CZ"/>
              </w:rPr>
            </w:pPr>
            <w:r w:rsidRPr="008B53A9">
              <w:rPr>
                <w:rFonts w:cs="Calibri"/>
                <w:lang w:val="cs-CZ" w:eastAsia="cs-CZ"/>
              </w:rPr>
              <w:t>5,6</w:t>
            </w:r>
          </w:p>
        </w:tc>
        <w:tc>
          <w:tcPr>
            <w:tcW w:w="0" w:type="auto"/>
            <w:tcBorders>
              <w:top w:val="single" w:sz="4" w:space="0" w:color="000000"/>
              <w:left w:val="single" w:sz="4" w:space="0" w:color="000000"/>
              <w:bottom w:val="single" w:sz="4" w:space="0" w:color="000000"/>
              <w:right w:val="single" w:sz="4" w:space="0" w:color="000000"/>
            </w:tcBorders>
            <w:vAlign w:val="center"/>
          </w:tcPr>
          <w:p w:rsidR="009964FE" w:rsidRPr="008B53A9" w:rsidRDefault="00F6040D" w:rsidP="007D5585">
            <w:pPr>
              <w:pStyle w:val="Tabulka"/>
              <w:rPr>
                <w:rFonts w:cs="Calibri"/>
                <w:lang w:val="cs-CZ" w:eastAsia="cs-CZ"/>
              </w:rPr>
            </w:pPr>
            <w:r w:rsidRPr="008B53A9">
              <w:rPr>
                <w:rFonts w:cs="Calibri"/>
                <w:lang w:val="cs-CZ" w:eastAsia="cs-CZ"/>
              </w:rPr>
              <w:t>2012</w:t>
            </w:r>
          </w:p>
        </w:tc>
        <w:tc>
          <w:tcPr>
            <w:tcW w:w="0" w:type="auto"/>
            <w:tcBorders>
              <w:top w:val="single" w:sz="4" w:space="0" w:color="000000"/>
              <w:left w:val="single" w:sz="4" w:space="0" w:color="000000"/>
              <w:bottom w:val="single" w:sz="4" w:space="0" w:color="000000"/>
              <w:right w:val="single" w:sz="4" w:space="0" w:color="000000"/>
            </w:tcBorders>
            <w:vAlign w:val="center"/>
          </w:tcPr>
          <w:p w:rsidR="009964FE" w:rsidRPr="008B53A9" w:rsidRDefault="006D0B8B" w:rsidP="007D5585">
            <w:pPr>
              <w:pStyle w:val="Tabulka"/>
              <w:rPr>
                <w:rFonts w:cs="Calibri"/>
                <w:lang w:val="cs-CZ" w:eastAsia="cs-CZ"/>
              </w:rPr>
            </w:pPr>
            <w:r w:rsidRPr="008B53A9">
              <w:rPr>
                <w:rFonts w:cs="Calibri"/>
                <w:lang w:val="cs-CZ" w:eastAsia="cs-CZ"/>
              </w:rPr>
              <w:t>6,5 – 7,5</w:t>
            </w:r>
            <w:r w:rsidR="007E6815" w:rsidRPr="008B53A9">
              <w:rPr>
                <w:rStyle w:val="Znakapoznpodarou"/>
                <w:rFonts w:cs="Calibri"/>
                <w:lang w:val="cs-CZ" w:eastAsia="cs-CZ"/>
              </w:rPr>
              <w:footnoteReference w:id="25"/>
            </w:r>
          </w:p>
        </w:tc>
        <w:tc>
          <w:tcPr>
            <w:tcW w:w="0" w:type="auto"/>
            <w:tcBorders>
              <w:top w:val="single" w:sz="4" w:space="0" w:color="000000"/>
              <w:left w:val="single" w:sz="4" w:space="0" w:color="000000"/>
              <w:bottom w:val="single" w:sz="4" w:space="0" w:color="000000"/>
              <w:right w:val="single" w:sz="4" w:space="0" w:color="000000"/>
            </w:tcBorders>
            <w:vAlign w:val="center"/>
          </w:tcPr>
          <w:p w:rsidR="009964FE" w:rsidRPr="008B53A9" w:rsidRDefault="00F6040D" w:rsidP="007D5585">
            <w:pPr>
              <w:pStyle w:val="Tabulka"/>
              <w:rPr>
                <w:rFonts w:cs="Calibri"/>
                <w:lang w:val="cs-CZ" w:eastAsia="cs-CZ"/>
              </w:rPr>
            </w:pPr>
            <w:r w:rsidRPr="008B53A9">
              <w:rPr>
                <w:rFonts w:cs="Calibri"/>
                <w:lang w:val="cs-CZ" w:eastAsia="cs-CZ"/>
              </w:rPr>
              <w:t>ŘO na základě dat ČSÚ</w:t>
            </w:r>
          </w:p>
        </w:tc>
        <w:tc>
          <w:tcPr>
            <w:tcW w:w="0" w:type="auto"/>
            <w:tcBorders>
              <w:top w:val="single" w:sz="4" w:space="0" w:color="000000"/>
              <w:left w:val="single" w:sz="4" w:space="0" w:color="000000"/>
              <w:bottom w:val="single" w:sz="4" w:space="0" w:color="000000"/>
              <w:right w:val="single" w:sz="4" w:space="0" w:color="000000"/>
            </w:tcBorders>
            <w:vAlign w:val="center"/>
          </w:tcPr>
          <w:p w:rsidR="009964FE" w:rsidRPr="008B53A9" w:rsidRDefault="00F6040D" w:rsidP="007D5585">
            <w:pPr>
              <w:pStyle w:val="Tabulka"/>
              <w:rPr>
                <w:rFonts w:cs="Calibri"/>
                <w:lang w:val="cs-CZ" w:eastAsia="cs-CZ"/>
              </w:rPr>
            </w:pPr>
            <w:r w:rsidRPr="008B53A9">
              <w:rPr>
                <w:rFonts w:cs="Calibri"/>
                <w:lang w:val="cs-CZ" w:eastAsia="cs-CZ"/>
              </w:rPr>
              <w:t>ročně</w:t>
            </w:r>
          </w:p>
        </w:tc>
      </w:tr>
    </w:tbl>
    <w:p w:rsidR="00FF25A4" w:rsidRPr="008B53A9" w:rsidRDefault="001B2E5C" w:rsidP="005F43DF">
      <w:pPr>
        <w:pStyle w:val="kapitola2A0"/>
        <w:numPr>
          <w:ilvl w:val="2"/>
          <w:numId w:val="68"/>
        </w:numPr>
      </w:pPr>
      <w:bookmarkStart w:id="31" w:name="_Toc391539605"/>
      <w:r w:rsidRPr="008B53A9">
        <w:t>Opatření, jež má být podpořeno v rámci investiční priority</w:t>
      </w:r>
      <w:bookmarkEnd w:id="31"/>
    </w:p>
    <w:p w:rsidR="00FF1673" w:rsidRPr="008B53A9" w:rsidRDefault="00D479AF" w:rsidP="005F43DF">
      <w:pPr>
        <w:pStyle w:val="Nadpis5"/>
        <w:numPr>
          <w:ilvl w:val="4"/>
          <w:numId w:val="11"/>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497C7C" w:rsidRPr="008B53A9" w:rsidRDefault="00497C7C" w:rsidP="00497C7C">
      <w:pPr>
        <w:pStyle w:val="Modrnadpis"/>
        <w:rPr>
          <w:rFonts w:cs="Calibri"/>
        </w:rPr>
      </w:pPr>
      <w:r w:rsidRPr="008B53A9">
        <w:t>SPECIFICKÝ CÍL 1.1: Zvýšit inovační výkonnost podniků</w:t>
      </w:r>
      <w:r w:rsidRPr="008B53A9">
        <w:rPr>
          <w:rStyle w:val="Odkaznakoment"/>
          <w:b w:val="0"/>
        </w:rPr>
        <w:t xml:space="preserve"> </w:t>
      </w:r>
    </w:p>
    <w:p w:rsidR="00497C7C" w:rsidRPr="008B53A9" w:rsidRDefault="00497C7C" w:rsidP="00497C7C">
      <w:pPr>
        <w:pStyle w:val="Standardntext"/>
        <w:keepNext/>
        <w:keepLines/>
        <w:rPr>
          <w:b/>
        </w:rPr>
      </w:pPr>
      <w:r w:rsidRPr="008B53A9">
        <w:rPr>
          <w:b/>
        </w:rPr>
        <w:t xml:space="preserve">Indikativní výčet podporovaných aktivit: </w:t>
      </w:r>
    </w:p>
    <w:p w:rsidR="00497C7C" w:rsidRPr="008B53A9" w:rsidRDefault="00497C7C" w:rsidP="00497C7C">
      <w:pPr>
        <w:pStyle w:val="Standardntext"/>
        <w:keepNext/>
        <w:keepLines/>
        <w:numPr>
          <w:ilvl w:val="0"/>
          <w:numId w:val="48"/>
        </w:numPr>
      </w:pPr>
      <w:r w:rsidRPr="008B53A9">
        <w:t>Zakládání a rozvoj podnikových výzkumných a vývojových center ve vazbě na jasně definovanou, životaschopnou strategii firmy,</w:t>
      </w:r>
    </w:p>
    <w:p w:rsidR="00497C7C" w:rsidRPr="008B53A9" w:rsidRDefault="00497C7C" w:rsidP="00497C7C">
      <w:pPr>
        <w:pStyle w:val="Standardntext"/>
        <w:numPr>
          <w:ilvl w:val="0"/>
          <w:numId w:val="48"/>
        </w:numPr>
      </w:pPr>
      <w:r w:rsidRPr="008B53A9">
        <w:t>zavádění inovací výrobků a služeb do výroby a jejich uvedení na trh (např. up-scaling, pilotní výrobní linky apod.),</w:t>
      </w:r>
    </w:p>
    <w:p w:rsidR="00497C7C" w:rsidRPr="008B53A9" w:rsidRDefault="00497C7C" w:rsidP="00497C7C">
      <w:pPr>
        <w:pStyle w:val="Standardntext"/>
        <w:numPr>
          <w:ilvl w:val="0"/>
          <w:numId w:val="48"/>
        </w:numPr>
      </w:pPr>
      <w:r w:rsidRPr="008B53A9">
        <w:t>zavádění procesních a marketingových inovací,</w:t>
      </w:r>
    </w:p>
    <w:p w:rsidR="00497C7C" w:rsidRPr="008B53A9" w:rsidRDefault="00497C7C" w:rsidP="00497C7C">
      <w:pPr>
        <w:pStyle w:val="Standardntext"/>
        <w:numPr>
          <w:ilvl w:val="0"/>
          <w:numId w:val="48"/>
        </w:numPr>
      </w:pPr>
      <w:r w:rsidRPr="008B53A9">
        <w:t>ochrana duševního vlastnictví v podnicích, včetně pilotních projektů moderních metod ošetření duševního vlastnictví,</w:t>
      </w:r>
    </w:p>
    <w:p w:rsidR="00497C7C" w:rsidRPr="008B53A9" w:rsidRDefault="00497C7C" w:rsidP="00497C7C">
      <w:pPr>
        <w:pStyle w:val="Standardntext"/>
        <w:numPr>
          <w:ilvl w:val="0"/>
          <w:numId w:val="48"/>
        </w:numPr>
      </w:pPr>
      <w:r w:rsidRPr="008B53A9">
        <w:t xml:space="preserve">průmyslový výzkum a vývoj, </w:t>
      </w:r>
    </w:p>
    <w:p w:rsidR="00497C7C" w:rsidRPr="008B53A9" w:rsidRDefault="00497C7C" w:rsidP="00497C7C">
      <w:pPr>
        <w:pStyle w:val="Standardntext"/>
        <w:numPr>
          <w:ilvl w:val="0"/>
          <w:numId w:val="48"/>
        </w:numPr>
      </w:pPr>
      <w:r w:rsidRPr="008B53A9">
        <w:t>pre-commercial public procurement.</w:t>
      </w:r>
    </w:p>
    <w:p w:rsidR="00497C7C" w:rsidRPr="008B53A9" w:rsidRDefault="00497C7C" w:rsidP="00497C7C">
      <w:pPr>
        <w:pStyle w:val="Standardntext"/>
      </w:pPr>
      <w:r w:rsidRPr="008B53A9">
        <w:t xml:space="preserve">Zvýšením inovační výkonnosti se rozumí schopnost podniků uvádět nové produkty na trh, provádět vlastní výzkum a vývoj a komercializovat jeho výsledky. Typovým příjemcem </w:t>
      </w:r>
      <w:r w:rsidRPr="008B53A9">
        <w:lastRenderedPageBreak/>
        <w:t>podpory je inovativní malý a střední podnik působící v  high-tech nebo medium-tech odvětví. Předpokládá se podpora technických i netechnických inovací.</w:t>
      </w:r>
      <w:r w:rsidRPr="008B53A9">
        <w:rPr>
          <w:rStyle w:val="Znakapoznpodarou"/>
        </w:rPr>
        <w:footnoteReference w:id="26"/>
      </w:r>
    </w:p>
    <w:p w:rsidR="00497C7C" w:rsidRPr="008B53A9" w:rsidRDefault="00497C7C" w:rsidP="00497C7C">
      <w:pPr>
        <w:pStyle w:val="Standardntext"/>
      </w:pPr>
      <w:r w:rsidRPr="008B53A9">
        <w:t>Typovým inovačním projektem bude zavedení nových výrobků do výroby a jejich uvedení na trh a dále související zvýšení efektivnosti výrobních procesů. Zvláštní pozornost zde bude věnována ekoinovacím</w:t>
      </w:r>
      <w:r w:rsidRPr="008B53A9">
        <w:rPr>
          <w:rStyle w:val="Znakapoznpodarou"/>
        </w:rPr>
        <w:footnoteReference w:id="27"/>
      </w:r>
      <w:r w:rsidRPr="008B53A9">
        <w:t>. Produktové i procesní inovace jsou převážně výsledkem předchozího výzkumu a vývoje nebo realizovaného transferu technologií. Součástí projektu je vybavení provozovny nezbytným zařízením pro zavedení inovace a specializované poradenství, které může zahrnovat služby v oblasti transferu technologií, podpory vstupu na cizí trh, poradenství v oblasti norem a standardů, přístup k patentům. Výstupem projektů jsou inovované výrobky a služby, zejména inovace vyšších řádů, jejichž zavedení na trh povede k růstu tržeb podnikatelských subjektů provádějících vlastní inovace. Projekty založení nebo rozvoje podnikových center průmyslového výzkumu, vývoje a inovací spočívají zejména v pořízení vybavení nezbytného pro činnost centra a výlučně využívaného pro zajištění aktivit tohoto centra. Výstupem projektů je tedy vznik či rozšíření vývojového centra (oddělení) zaměřeného na průmyslový výzkum, vývoj a inovace výrobků a technologií, včetně specifického software a aplikací vedoucí k implementaci technologicky nových či zlepšení stávajících produktů, produkčních řad, výrobních procesů a technologií, pokud existuje předpoklad, že budou přeneseny a použity ve výrobě. Tento způsob podpory nepřímo zvyšuje poptávku po výsledcích výzkumu a vývoje a zároveň přímo podporuje jejich vlastní tvorbu, což ve střednědobém horizontu rovněž povede k růstu tržeb z inovací. T</w:t>
      </w:r>
      <w:r w:rsidRPr="008B53A9">
        <w:rPr>
          <w:lang w:val="cs-CZ"/>
        </w:rPr>
        <w:t>yto</w:t>
      </w:r>
      <w:r w:rsidRPr="008B53A9">
        <w:t xml:space="preserve"> faktor</w:t>
      </w:r>
      <w:r w:rsidRPr="008B53A9">
        <w:rPr>
          <w:lang w:val="cs-CZ"/>
        </w:rPr>
        <w:t>y</w:t>
      </w:r>
      <w:r w:rsidRPr="008B53A9">
        <w:t xml:space="preserve"> dále ovlivní růst podnikových výdajů na VaV a další inovační činnosti.</w:t>
      </w:r>
      <w:r w:rsidRPr="008B53A9">
        <w:rPr>
          <w:lang w:val="cs-CZ"/>
        </w:rPr>
        <w:t xml:space="preserve"> </w:t>
      </w:r>
      <w:r w:rsidRPr="008B53A9">
        <w:t xml:space="preserve">V oblasti duševního vlastnictví se jedná o projekty, </w:t>
      </w:r>
      <w:r w:rsidRPr="008B53A9">
        <w:rPr>
          <w:lang w:val="cs-CZ"/>
        </w:rPr>
        <w:t xml:space="preserve">které zahrnují aktivity a související náklady, </w:t>
      </w:r>
      <w:r w:rsidRPr="008B53A9">
        <w:t>jejichž výstupem jsou podané přihlášky na ochranu práv průmyslového vlastnictví a výsledkem získání a uznání patentů a jiných práv k průmyslovému vlastnictví (užitný vzor, průmyslový vzor, ochranná známka), Cílem je účinnější ochrana podnikového duševního vlastnictví, a to zejména na zahraničních trzích.</w:t>
      </w:r>
    </w:p>
    <w:p w:rsidR="00497C7C" w:rsidRPr="008B53A9" w:rsidRDefault="00497C7C" w:rsidP="00497C7C">
      <w:pPr>
        <w:spacing w:after="120"/>
        <w:jc w:val="both"/>
        <w:rPr>
          <w:sz w:val="24"/>
          <w:szCs w:val="24"/>
          <w:lang w:eastAsia="x-none"/>
        </w:rPr>
      </w:pPr>
      <w:r w:rsidRPr="008B53A9">
        <w:rPr>
          <w:sz w:val="24"/>
          <w:szCs w:val="24"/>
          <w:lang w:val="x-none" w:eastAsia="x-none"/>
        </w:rPr>
        <w:t>Mezi klíčové aktivity SC 1.1 náleží podpora projektů průmyslového výzkumu a experimentálního vývoje, jejichž hlavním cílem je tvorba nových znalostí potřebných pro vývoj nových produktů, materiálů, technologií a služeb. Výstupem těchto projektů jsou zejména funkční prototyp, poloprovoz, ověřená technologie, software, průmyslový vzor apod. Řešiteli projektů mohou být individuální subjekty i konsorcia složená z více partnerů z podnikatelské i výzkumné sféry</w:t>
      </w:r>
      <w:r w:rsidRPr="008B53A9">
        <w:rPr>
          <w:sz w:val="24"/>
          <w:szCs w:val="24"/>
          <w:lang w:eastAsia="x-none"/>
        </w:rPr>
        <w:t xml:space="preserve">. </w:t>
      </w:r>
      <w:r w:rsidRPr="008B53A9">
        <w:rPr>
          <w:sz w:val="24"/>
          <w:szCs w:val="24"/>
          <w:lang w:val="x-none" w:eastAsia="x-none"/>
        </w:rPr>
        <w:t>Výsledky aplikovaného výzkumu povedou k zavádění inovací vyšších řádů a k tvorbě produktů konkurenceschopných na světových trzích. Specifická pozornost bude věnována výzkumu v oblasti průmyslových výzev a klíčových technologií (KETs)</w:t>
      </w:r>
      <w:r w:rsidRPr="008B53A9">
        <w:rPr>
          <w:sz w:val="24"/>
          <w:szCs w:val="24"/>
          <w:vertAlign w:val="superscript"/>
          <w:lang w:val="x-none" w:eastAsia="x-none"/>
        </w:rPr>
        <w:footnoteReference w:id="28"/>
      </w:r>
      <w:r w:rsidRPr="008B53A9">
        <w:rPr>
          <w:sz w:val="24"/>
          <w:szCs w:val="24"/>
          <w:lang w:val="x-none" w:eastAsia="x-none"/>
        </w:rPr>
        <w:t xml:space="preserve">, které mají značný potenciál pro urychlení modernizace firemní základny i pro vznik nových aplikačních oblastí a průmyslových odvětví s vazbou na RIS3 strategii. Předpokládá se také realizace </w:t>
      </w:r>
      <w:r w:rsidRPr="008B53A9">
        <w:rPr>
          <w:sz w:val="24"/>
          <w:szCs w:val="24"/>
          <w:lang w:val="x-none" w:eastAsia="x-none"/>
        </w:rPr>
        <w:lastRenderedPageBreak/>
        <w:t>přeshraničních projektů průmyslového výzkumu (např. v režimu navazujícím na bývalé sítě  Eranet, tj. podpora řešitelů několika poskytovateli z různých zemí)</w:t>
      </w:r>
      <w:r w:rsidRPr="008B53A9">
        <w:rPr>
          <w:sz w:val="24"/>
          <w:szCs w:val="24"/>
          <w:vertAlign w:val="superscript"/>
          <w:lang w:val="x-none" w:eastAsia="x-none"/>
        </w:rPr>
        <w:footnoteReference w:id="29"/>
      </w:r>
      <w:r w:rsidRPr="008B53A9">
        <w:rPr>
          <w:sz w:val="24"/>
          <w:szCs w:val="24"/>
          <w:lang w:val="x-none" w:eastAsia="x-none"/>
        </w:rPr>
        <w:t>.</w:t>
      </w:r>
    </w:p>
    <w:p w:rsidR="00497C7C" w:rsidRPr="008B53A9" w:rsidRDefault="00497C7C" w:rsidP="00497C7C">
      <w:pPr>
        <w:pStyle w:val="Standardntext"/>
        <w:rPr>
          <w:lang w:val="cs-CZ"/>
        </w:rPr>
      </w:pPr>
      <w:r w:rsidRPr="008B53A9">
        <w:t>Zadávání veřejných zakázek v předobchodní fázi („pre-commercial public procurement“, PCP) představuje fázované zadávání zakázek na služby v oblasti výzkumu a vývoje, které zahrnuje sdílení rizik a zisků za tržních podmínek, kdy několik podniků vyvíjí v konkurenčním prostředí nová řešení odpovídající potřebám veřejného sektoru/příjemci projektu ve střednědobém a dlouhodobém horizontu. Tyto potřeby jsou natolik technologicky náročné, že buď na trhu zatím neexistuje stabilní obchodní řešení, nebo stávající řešení vykazují nedostatky, jejichž odstranění vyžaduje další výzkum a vývoj. Výstupy výzkumného projektu PCP jsou první zkušební výrobky, které poté příjemce/veřejný sektor soutěží v obchodní fázi.</w:t>
      </w:r>
    </w:p>
    <w:p w:rsidR="00497C7C" w:rsidRPr="008B53A9" w:rsidRDefault="00497C7C" w:rsidP="00497C7C">
      <w:pPr>
        <w:pStyle w:val="Standardntext"/>
      </w:pPr>
      <w:r w:rsidRPr="008B53A9">
        <w:rPr>
          <w:b/>
        </w:rPr>
        <w:t xml:space="preserve">Hlavní cílová skupina: </w:t>
      </w:r>
      <w:r w:rsidRPr="008B53A9">
        <w:t xml:space="preserve">Podnikatelské subjekty, výzkumné organizace, </w:t>
      </w:r>
      <w:r w:rsidRPr="008B53A9">
        <w:rPr>
          <w:bCs/>
        </w:rPr>
        <w:t>orgány státní správy a samosprávy (včetně svazků obcí</w:t>
      </w:r>
      <w:r w:rsidRPr="008B53A9">
        <w:rPr>
          <w:rStyle w:val="Znakapoznpodarou"/>
        </w:rPr>
        <w:footnoteReference w:id="30"/>
      </w:r>
      <w:r w:rsidRPr="008B53A9">
        <w:rPr>
          <w:bCs/>
        </w:rPr>
        <w:t>) a jim podřízené či jimi zřízené organizace (v případě PCP).</w:t>
      </w:r>
    </w:p>
    <w:p w:rsidR="00497C7C" w:rsidRPr="008B53A9" w:rsidRDefault="00497C7C" w:rsidP="00497C7C">
      <w:pPr>
        <w:pStyle w:val="Standardntext"/>
      </w:pPr>
      <w:r w:rsidRPr="008B53A9">
        <w:rPr>
          <w:b/>
        </w:rPr>
        <w:t xml:space="preserve">Cílové území: </w:t>
      </w:r>
      <w:r w:rsidRPr="008B53A9">
        <w:t>Území České republiky, mimo území hl. města Prahy, v případě aktivit v oblasti aplikovaného výzkumu i Praha za využití čl. 70 obecného nařízení. Z hlediska územní dimenze bude tento specifický cíl zaměřen na rozvojová a urbánní území, kde se předpokládá zapojení do integrovaného nástroje ITI.</w:t>
      </w:r>
    </w:p>
    <w:p w:rsidR="00497C7C" w:rsidRPr="008B53A9" w:rsidRDefault="00497C7C" w:rsidP="00497C7C">
      <w:pPr>
        <w:pStyle w:val="Standardntext"/>
        <w:rPr>
          <w:lang w:val="cs-CZ"/>
        </w:rPr>
      </w:pPr>
      <w:r w:rsidRPr="008B53A9">
        <w:rPr>
          <w:b/>
        </w:rPr>
        <w:t>Typy příjemců:</w:t>
      </w:r>
      <w:r w:rsidRPr="008B53A9">
        <w:t xml:space="preserve"> Podnikatelské subjekty (zejména malé a střední, v odůvodněných případech velké podniky), organizace pro výzkum a šíření znalostí (tj. subjekty splňující definici Výzkumné organizace dle Rámce pro státní podporu Výzkumu, vývoje a inovací), orgány státní správy a samosprávy (včetně jejich svazků) a jim podřízené či jimi zřízené organizace (v případě PCP) a fyzické osoby, dále zemědělští podnikatelé</w:t>
      </w:r>
      <w:r w:rsidRPr="008B53A9">
        <w:rPr>
          <w:rStyle w:val="Znakapoznpodarou"/>
        </w:rPr>
        <w:footnoteReference w:id="31"/>
      </w:r>
      <w:r w:rsidRPr="008B53A9">
        <w:t xml:space="preserve"> zaměřující se na výrobu položek obsažených v dodatku Smlouvy (o EU) s projektem v oblasti VaV a inovací. </w:t>
      </w:r>
    </w:p>
    <w:p w:rsidR="00497C7C" w:rsidRPr="008B53A9" w:rsidRDefault="00497C7C" w:rsidP="00497C7C">
      <w:pPr>
        <w:pStyle w:val="Standardntext"/>
      </w:pPr>
      <w:r w:rsidRPr="008B53A9">
        <w:t>V SC 1.1 se předpokládá účast velkých podniků (dle čl. 3 odst. 1 písm. b) nařízení o EFRR), neboť svým výzkumným, vývojovým i inovačním potenciálem zajišťují přidanou hodnotu pro vysoký počet MSP, které jsou jejich subdodavateli a se kterými vstupují do společných výzkumných projektů. Výzkumné a inovační aktivity velkých podniků vytvářejí větší poptávku po produktech a službách MSP. Spolupráce s velkými podniky a využití jejich přeshraničních vazeb také usnadňuje vstup malých a středních podniků na globální trhy. Další skutečností je, že velké podniky se zaměřují na inovace vyšších řádů, které si mnohé MSP nemohou dovolit vzhledem k délce procesu. Vzhledem k významnému podílu velkých podniků na zaměstnanosti, produkci či přidané hodnotě v celé ekonomice ČR bude mít účast velkých podniků i výrazný multiplikační efekt k finančním prostředkům investovaným do VaVaI a bude mít přímý dopad na dosažení cílů programu. Zároveň lze deklarovat, že minimální podíl MSP na aktivitách SC 1.1 bude více než 50%. Velké podniky by se měly zapojit jako příjemci podpory do všech aktivit s výjimkou ochrany duševního vlastnictví a PCP.</w:t>
      </w:r>
    </w:p>
    <w:p w:rsidR="00497C7C" w:rsidRPr="008B53A9" w:rsidRDefault="00497C7C" w:rsidP="00497C7C">
      <w:pPr>
        <w:pStyle w:val="Modrnadpis"/>
      </w:pPr>
      <w:r w:rsidRPr="008B53A9">
        <w:lastRenderedPageBreak/>
        <w:t>SPECIFICKÝ CÍL 1.2: Zvýšit intenzitu a účinnost spolupráce ve výzkumu, vývoji a inovacích</w:t>
      </w:r>
    </w:p>
    <w:p w:rsidR="00497C7C" w:rsidRPr="008B53A9" w:rsidRDefault="00497C7C" w:rsidP="00497C7C">
      <w:pPr>
        <w:pStyle w:val="Standardntext"/>
        <w:keepNext/>
        <w:keepLines/>
        <w:rPr>
          <w:b/>
        </w:rPr>
      </w:pPr>
      <w:r w:rsidRPr="008B53A9">
        <w:rPr>
          <w:b/>
        </w:rPr>
        <w:t>Indikativní výčet podporovaných aktivit:</w:t>
      </w:r>
    </w:p>
    <w:p w:rsidR="00497C7C" w:rsidRPr="008B53A9" w:rsidRDefault="00497C7C" w:rsidP="00497C7C">
      <w:pPr>
        <w:pStyle w:val="Standardntext"/>
        <w:keepNext/>
        <w:keepLines/>
        <w:numPr>
          <w:ilvl w:val="0"/>
          <w:numId w:val="49"/>
        </w:numPr>
      </w:pPr>
      <w:r w:rsidRPr="008B53A9">
        <w:t>Tvorba nových a rozšiřování a zvyšování kvality současných služeb podpůrné infrastruktury, tj. vědecko-technických parků, podnikatelských inovačních center, podnikatelských inkubátorů,</w:t>
      </w:r>
    </w:p>
    <w:p w:rsidR="00497C7C" w:rsidRPr="008B53A9" w:rsidRDefault="00497C7C" w:rsidP="00497C7C">
      <w:pPr>
        <w:pStyle w:val="Standardntext"/>
        <w:numPr>
          <w:ilvl w:val="0"/>
          <w:numId w:val="49"/>
        </w:numPr>
      </w:pPr>
      <w:r w:rsidRPr="008B53A9">
        <w:t>rozvoj sítí spolupráce, vč. klastrů a technologických platforem (zejména kolektivní výzkum, založený na potřebách většího počtu MSP i větších firem, rozvoj mezisektorové spolupráce a internacionalizace),</w:t>
      </w:r>
    </w:p>
    <w:p w:rsidR="00497C7C" w:rsidRPr="008B53A9" w:rsidRDefault="00497C7C" w:rsidP="00497C7C">
      <w:pPr>
        <w:pStyle w:val="Standardntext"/>
        <w:numPr>
          <w:ilvl w:val="0"/>
          <w:numId w:val="49"/>
        </w:numPr>
      </w:pPr>
      <w:r w:rsidRPr="008B53A9">
        <w:t>vytváření partnerství pro znalostní transfer mezi podniky a univerzitami,</w:t>
      </w:r>
    </w:p>
    <w:p w:rsidR="00497C7C" w:rsidRPr="008B53A9" w:rsidRDefault="00497C7C" w:rsidP="00497C7C">
      <w:pPr>
        <w:pStyle w:val="Standardntext"/>
        <w:numPr>
          <w:ilvl w:val="0"/>
          <w:numId w:val="49"/>
        </w:numPr>
      </w:pPr>
      <w:r w:rsidRPr="008B53A9">
        <w:t>rozvoj komunikace a sdílení poznatků mezi podnikovou a výzkumnou sférou,</w:t>
      </w:r>
    </w:p>
    <w:p w:rsidR="00497C7C" w:rsidRPr="008B53A9" w:rsidRDefault="00497C7C" w:rsidP="00497C7C">
      <w:pPr>
        <w:pStyle w:val="Standardntext"/>
        <w:numPr>
          <w:ilvl w:val="0"/>
          <w:numId w:val="49"/>
        </w:numPr>
      </w:pPr>
      <w:r w:rsidRPr="008B53A9">
        <w:t>rozšiřování/výstavba sdílené infrastruktury pro průmyslový výzkum</w:t>
      </w:r>
      <w:r w:rsidRPr="008B53A9">
        <w:rPr>
          <w:rStyle w:val="Znakapoznpodarou"/>
        </w:rPr>
        <w:footnoteReference w:id="32"/>
      </w:r>
      <w:r w:rsidRPr="008B53A9">
        <w:t>,</w:t>
      </w:r>
    </w:p>
    <w:p w:rsidR="00497C7C" w:rsidRPr="008B53A9" w:rsidRDefault="00497C7C" w:rsidP="00497C7C">
      <w:pPr>
        <w:pStyle w:val="Standardntext"/>
        <w:numPr>
          <w:ilvl w:val="0"/>
          <w:numId w:val="49"/>
        </w:numPr>
      </w:pPr>
      <w:r w:rsidRPr="008B53A9">
        <w:t>aktivity vedoucí ke komercializaci výsledků výzkumu pomocí aktivit ověření proveditelnosti („proof – of – concept“), pozornost bude věnována opatřením v oblasti nízkouhlíkové ekonomiky a adaptace na klimatické změny.</w:t>
      </w:r>
    </w:p>
    <w:p w:rsidR="00497C7C" w:rsidRPr="008B53A9" w:rsidRDefault="00497C7C" w:rsidP="00497C7C">
      <w:pPr>
        <w:pStyle w:val="Standardntext"/>
      </w:pPr>
      <w:r w:rsidRPr="008B53A9">
        <w:t>Specifický cíl 1.2 zahrnuje zejména aktivity zaměřené na zlepšení vnějšího prostředí pro podnikové inovace, tj. intervence rozvíjející služby podpůrné inovační infrastruktury, které pomáhají řešit problémy nedostatku kapacit podnikatelských subjektů (zejména MSP), lidských i finančních zdrojů, nedostatku odborných znalostí v podnikatelském sektoru způsobené zejména nedostatečnou spoluprací při rozvoji výzkumných, vývojových a inovačních aktivit,.</w:t>
      </w:r>
    </w:p>
    <w:p w:rsidR="00497C7C" w:rsidRPr="008B53A9" w:rsidRDefault="00497C7C" w:rsidP="00497C7C">
      <w:pPr>
        <w:pStyle w:val="Standardntext"/>
      </w:pPr>
      <w:r w:rsidRPr="008B53A9">
        <w:t>Cílem pro období 2014 - 2020 bude postup do další fáze, která se zaměří zejména na zkvalitňování služeb VaV infrastruktury s důrazem na naplňování jejich poslání – růst počtu transferů technologií a znalostí, zlepšování podmínek pro vznik a rozvoj inovačních firem apod. Cílem tedy již není založení spolupráce, ale její další zefektivnění vedoucí k růstu konkurenceschopnosti regionů.</w:t>
      </w:r>
    </w:p>
    <w:p w:rsidR="00497C7C" w:rsidRPr="008B53A9" w:rsidRDefault="00497C7C" w:rsidP="00497C7C">
      <w:pPr>
        <w:pStyle w:val="Standardntext"/>
      </w:pPr>
      <w:r w:rsidRPr="008B53A9">
        <w:t>Vědeckotechnické parky (jejichž součástí jsou inovační centra a podnikatelské inkubátory) budou prostřednictvím vlastních expertů nebo formou zprostředkování ověřených externích služeb poskytovat inkubovaným a dalším inovativním MSP služby specializovaného poradenství.</w:t>
      </w:r>
      <w:r w:rsidRPr="008B53A9">
        <w:rPr>
          <w:rStyle w:val="Znakapoznpodarou"/>
        </w:rPr>
        <w:footnoteReference w:id="33"/>
      </w:r>
      <w:r w:rsidRPr="008B53A9">
        <w:t xml:space="preserve"> Důraz bude kladen na rozvoj kvality služeb v těchto oblastech: (i) strategické řízení a management inovací; (ii) strategické poradenství při vstupu na nové trhy; (iii) ochrany a využití práv duševního vlastnictví; (iv) navazování a rozvíjení výzkumné spolupráce; (v) komercializace výsledků výzkumu; (vi) přístupu ke kapitálu apod. Vědeckotechnické parky (VTP) dále poskytují vzdělávací, osvětové služby spojené s VaVaI. Pouze v odůvodněných případech bude umožněno také rozšíření prostor VTP a pořízení nového vybavení a zlepšení </w:t>
      </w:r>
      <w:r w:rsidRPr="008B53A9">
        <w:lastRenderedPageBreak/>
        <w:t>kapacit pro společné využívání technologií, v ojedinělých případech také výstavba nové sdílené infrastruktury v regionu, kde bude prokázán nedostatek vhodné výzkumné infrastruktury pro podnikatelské subjekty, tj. v případech doložené analýzy absorpční kapacity a poptávky ze strany podnikatelských subjektů, kterou není možné naplnit ze strany již existující inovační infrastruktury.</w:t>
      </w:r>
      <w:r w:rsidRPr="008B53A9">
        <w:rPr>
          <w:rStyle w:val="Znakapoznpodarou"/>
        </w:rPr>
        <w:footnoteReference w:id="34"/>
      </w:r>
      <w:r w:rsidRPr="008B53A9">
        <w:t xml:space="preserve"> Realizace projektů povede k nárůstu výdajů podnikatelského sektoru na provádění VaV  ve vládním a vysokoškolském sektoru (relevantní i pro další aktivity SC1.2) a ke zvýšení počtu podniků využívajících nově vytvořené podpůrné služby inovační infrastruktury i k většímu počtu rychle rostoucích firem nově umístěných v inovační infrastruktuře.</w:t>
      </w:r>
    </w:p>
    <w:p w:rsidR="00497C7C" w:rsidRPr="008B53A9" w:rsidRDefault="00497C7C" w:rsidP="00497C7C">
      <w:pPr>
        <w:pStyle w:val="Standardntext"/>
      </w:pPr>
      <w:r w:rsidRPr="008B53A9">
        <w:t xml:space="preserve">Aktivity klastrů spočívají zejména v posilování spolupráce mezi podnikatelskými subjekty vedoucí k diverzifikaci produktů, sdílení know-how a znalostí a přispívající k inteligentní specializaci; prohlubování spolupráce mezi </w:t>
      </w:r>
      <w:r w:rsidRPr="008B53A9">
        <w:rPr>
          <w:lang w:val="cs-CZ"/>
        </w:rPr>
        <w:t>s</w:t>
      </w:r>
      <w:r w:rsidRPr="008B53A9">
        <w:t xml:space="preserve"> vědeckovýzkumnou sférou s cílem posunu odvětví na vyšší technologickou úroveň i spolupráce v oblasti vzdělávání, studentských stáží apod.; další významnou oblastí je oblast internacionalizace, tj. zejména navazování spolupráce v evropském výzkumném prostoru, zapojování se do konsorcií v evropských výzkumných programech, zapojování se do přeshraničních sítí excelentních klastrů (se zaměřením na budoucí výzvy a klíčové technologie), koordinovaný přístup na třetí trhy apod. Součástí klastrového projektu může dále být rozvoj kvalitní sdílené infrastruktury a projekty kolektivního výzkumu, , které odpovídají inovačním potřebám více malých a středních podniků daného průmyslového odvětví nebo technologické oblasti. Předpokládá se také realizace projektů přeshraničního kolektivního výzkumu (zejména mezisektorového)</w:t>
      </w:r>
      <w:r w:rsidRPr="008B53A9">
        <w:rPr>
          <w:rStyle w:val="Znakapoznpodarou"/>
        </w:rPr>
        <w:footnoteReference w:id="35"/>
      </w:r>
      <w:r w:rsidRPr="008B53A9">
        <w:t xml:space="preserve">. Hlavní důraz bude kladen na rozvoj aktivit zralých klastrů v konceptu klastrové excelence - klastry  budou důležitými aktéry v regionálních RIS3 strategiích, které mohou využít kritické masy podniků a znalostní základny k dalšímu posilování pozice regionu v zavedených průmyslových odvětvích či technologických oblastech; posilování přeshraničních vazeb může zároveň přispět k rozvoji nových znalostí přesahujících tradiční odvětvová vymezení (tzv. emerging industries). </w:t>
      </w:r>
    </w:p>
    <w:p w:rsidR="00497C7C" w:rsidRPr="008B53A9" w:rsidRDefault="00497C7C" w:rsidP="00497C7C">
      <w:pPr>
        <w:pStyle w:val="Standardntext"/>
      </w:pPr>
      <w:r w:rsidRPr="008B53A9">
        <w:t>Typovým projektem technologické platformy je podpora její koordinační činnosti zejména v oblasti průmyslových (a souvisejících společenských) výzev daného odvětví, technologického foresightu, iniciace výzkumných a vývojových projektů v oblastech definovaných ve strategických výzkumných agendách jako klíčových pro budoucí konkurenceschopnost a udržitelný rozvoj, navázání hlubší spolupráce TP s evropskými technologickými platformami a zapojování českých výzkumných institucí a podniků do činnosti evropských platforem, koordinace českých podnikatelských subjektů a výzkumných organizací v přístupu do Horizont 2020 a dalších evropských programů.</w:t>
      </w:r>
    </w:p>
    <w:p w:rsidR="00497C7C" w:rsidRPr="008B53A9" w:rsidRDefault="00497C7C" w:rsidP="00497C7C">
      <w:pPr>
        <w:pStyle w:val="Standardntext"/>
      </w:pPr>
      <w:r w:rsidRPr="008B53A9">
        <w:t>Služby uvedené podpůrné infrastruktury přispějí ke komunikaci a sdílení poznatků mezi podnikovou a výzkumnou sférou, jejímž výsledkem budou zejména společné projekty a realizované transfery technologií a znalostí. Na regionální úrovni k této aktivitě přispějí také schémata typu inovačních voucherů. Inovační vouchery budou využívat podnikatelské subjekty zejména na nákup služeb například od znalostních institucí pro zahájení či zintenzivnění vlastních inovačních aktivit. Služby budou zahrnovat např. měření, zkoušky, výpočty, konzultace, spolupráce s doktorandy, služby v oblasti nákupu, transferu duševního vlastnictví, apod.</w:t>
      </w:r>
    </w:p>
    <w:p w:rsidR="00497C7C" w:rsidRPr="008B53A9" w:rsidRDefault="00497C7C" w:rsidP="00497C7C">
      <w:pPr>
        <w:pStyle w:val="Standardntext"/>
      </w:pPr>
      <w:r w:rsidRPr="008B53A9">
        <w:lastRenderedPageBreak/>
        <w:t>V oblasti transferu znalostí budou využity zkušenosti s pilotními projekty partnerství univerzit a MSP, při nichž byl v OPPI vyzkoušen model britského programu Knowledge Transfer Partnership. Program bude podporovat společné projekty podnikatelů a univerzit, při kterých dochází k přímé aplikaci výzkumných poznatků v podniku, které mají strategický význam pro jeho další rozvoj, za účasti úspěšných absolventů a za přímého dohledu odborného univerzitního pracoviště. Realizované projekty transferu znalostí vykazují ekonomické přínosy v oblasti získání nových zakázek, snížení výrobních nákladů, zrychlení vývojových procesů a jejich přenos do výroby apod. vytvořená partnerství přispívají také ke sblížení výzkumných témat na univerzitních pracovištích s potřebami podniků a jsou často také východiskem pro navázání dalších společných aktivit, které zahrnují širokou škálu oblastí od studentských/postgraduálních projektů, stáží, výzkumu a využití duševního vlastnictví.</w:t>
      </w:r>
    </w:p>
    <w:p w:rsidR="00497C7C" w:rsidRPr="008B53A9" w:rsidRDefault="00497C7C" w:rsidP="00497C7C">
      <w:pPr>
        <w:pStyle w:val="Standardntext"/>
        <w:rPr>
          <w:lang w:val="cs-CZ"/>
        </w:rPr>
      </w:pPr>
      <w:r w:rsidRPr="008B53A9">
        <w:t xml:space="preserve">Typovým projektem proof of concept  bude soubor činností, které zajistí posunutí výsledků výzkumu ke komerčnímu využití. Východiskem projektů proof of concept je nápad nebo rozpracovaný výzkum. Projekt proof of concept se skládá ze dvou </w:t>
      </w:r>
      <w:r w:rsidR="004D74A2" w:rsidRPr="008B53A9">
        <w:t xml:space="preserve">na sebe navazujících kroků. V </w:t>
      </w:r>
      <w:r w:rsidR="004D74A2" w:rsidRPr="008B53A9">
        <w:rPr>
          <w:lang w:val="cs-CZ"/>
        </w:rPr>
        <w:t>prvním</w:t>
      </w:r>
      <w:r w:rsidRPr="008B53A9">
        <w:t xml:space="preserve"> kroku bude zkoumána proveditelnost výzkumu. V projektu budou podporovány činnosti související s </w:t>
      </w:r>
      <w:r w:rsidRPr="008B53A9">
        <w:rPr>
          <w:lang w:val="cs-CZ"/>
        </w:rPr>
        <w:t>mapováním aplikovatelnosti</w:t>
      </w:r>
      <w:r w:rsidRPr="008B53A9">
        <w:t xml:space="preserve"> a průzkumem trhu</w:t>
      </w:r>
      <w:r w:rsidR="004D74A2" w:rsidRPr="008B53A9">
        <w:rPr>
          <w:lang w:val="cs-CZ"/>
        </w:rPr>
        <w:t xml:space="preserve"> </w:t>
      </w:r>
      <w:r w:rsidRPr="008B53A9">
        <w:t xml:space="preserve">a zájmu aplikační sféry. V případě kladně vyhodnocené studie proveditelnosti </w:t>
      </w:r>
      <w:r w:rsidR="004D74A2" w:rsidRPr="008B53A9">
        <w:t xml:space="preserve">bude projekt pokračovat krokem </w:t>
      </w:r>
      <w:r w:rsidR="004D74A2" w:rsidRPr="008B53A9">
        <w:rPr>
          <w:lang w:val="cs-CZ"/>
        </w:rPr>
        <w:t>dva a to</w:t>
      </w:r>
      <w:r w:rsidRPr="008B53A9">
        <w:t xml:space="preserve"> </w:t>
      </w:r>
      <w:r w:rsidR="004D74A2" w:rsidRPr="008B53A9">
        <w:rPr>
          <w:lang w:val="cs-CZ"/>
        </w:rPr>
        <w:t>d</w:t>
      </w:r>
      <w:r w:rsidRPr="008B53A9">
        <w:t>otažení</w:t>
      </w:r>
      <w:r w:rsidR="004D74A2" w:rsidRPr="008B53A9">
        <w:rPr>
          <w:lang w:val="cs-CZ"/>
        </w:rPr>
        <w:t>m</w:t>
      </w:r>
      <w:r w:rsidRPr="008B53A9">
        <w:t xml:space="preserve"> výrobku/služby do finálního stádia</w:t>
      </w:r>
      <w:r w:rsidRPr="008B53A9">
        <w:rPr>
          <w:lang w:val="cs-CZ"/>
        </w:rPr>
        <w:t xml:space="preserve">, tj. </w:t>
      </w:r>
      <w:r w:rsidR="004D74A2" w:rsidRPr="008B53A9">
        <w:t>zejména</w:t>
      </w:r>
      <w:r w:rsidRPr="008B53A9">
        <w:t xml:space="preserve"> činnosti vedoucí ke vzniku funkčního vzorku/prototypu, nalezení strategického komerčního partnera, patentování a případně vznik nové spin-off firmy. Výsledkem tohoto kroku bude funkční vzorek/prototyp s</w:t>
      </w:r>
      <w:r w:rsidRPr="008B53A9">
        <w:rPr>
          <w:lang w:val="cs-CZ"/>
        </w:rPr>
        <w:t>e zvýšenou</w:t>
      </w:r>
      <w:r w:rsidRPr="008B53A9">
        <w:t xml:space="preserve"> možností </w:t>
      </w:r>
      <w:r w:rsidRPr="008B53A9">
        <w:rPr>
          <w:lang w:val="cs-CZ"/>
        </w:rPr>
        <w:t xml:space="preserve">jeho dalšího uplatnění v praxi (např. </w:t>
      </w:r>
      <w:r w:rsidRPr="008B53A9">
        <w:t xml:space="preserve">smlouva s komerčním partnerem, založená spin-off firma nebo </w:t>
      </w:r>
      <w:r w:rsidRPr="008B53A9">
        <w:rPr>
          <w:lang w:val="cs-CZ"/>
        </w:rPr>
        <w:t xml:space="preserve">přímý </w:t>
      </w:r>
      <w:r w:rsidRPr="008B53A9">
        <w:t>prodej prototypu/funkčního vzorku</w:t>
      </w:r>
      <w:r w:rsidRPr="008B53A9">
        <w:rPr>
          <w:lang w:val="cs-CZ"/>
        </w:rPr>
        <w:t>)</w:t>
      </w:r>
      <w:r w:rsidRPr="008B53A9">
        <w:t>.</w:t>
      </w:r>
    </w:p>
    <w:p w:rsidR="00497C7C" w:rsidRPr="008B53A9" w:rsidRDefault="00497C7C" w:rsidP="00497C7C">
      <w:pPr>
        <w:pStyle w:val="Standardntext"/>
        <w:rPr>
          <w:lang w:val="cs-CZ"/>
        </w:rPr>
      </w:pPr>
      <w:r w:rsidRPr="008B53A9">
        <w:t xml:space="preserve">Aktivity SC </w:t>
      </w:r>
      <w:r w:rsidRPr="008B53A9">
        <w:rPr>
          <w:lang w:val="cs-CZ"/>
        </w:rPr>
        <w:t xml:space="preserve">1.1 a SC </w:t>
      </w:r>
      <w:r w:rsidRPr="008B53A9">
        <w:t>1.2 mají přímou vazbu na tyto strategické cíle Národní RIS3 strategie: „Zvýšit inovační poptávku ve firmách (i ve veřejném sektoru)“, „Zvýšit míru podnikání ve společnosti s důrazem na zakládání nových rychle rostoucích firem“ a „Zvýšit relevanci výzkumu“.</w:t>
      </w:r>
      <w:r w:rsidRPr="008B53A9">
        <w:rPr>
          <w:lang w:val="cs-CZ"/>
        </w:rPr>
        <w:t xml:space="preserve"> </w:t>
      </w:r>
      <w:r w:rsidRPr="008B53A9">
        <w:t>Jde především o vzájemnou provázanost s typovými aktivitami/projekty/operacemi specifických cílů A1.1 „Posílit výzkumné a vývojové kapacity podniků“</w:t>
      </w:r>
      <w:r w:rsidRPr="008B53A9">
        <w:rPr>
          <w:lang w:val="cs-CZ"/>
        </w:rPr>
        <w:t xml:space="preserve">, A1.2 „Zlepšit strategické řízení v MSP“, </w:t>
      </w:r>
      <w:r w:rsidRPr="008B53A9">
        <w:t>A1.3 „Posílit technologickou spolupráci firem“, A2.1 „Zvýšit počet nových firem usilujících o inovace, zejména vyšších řádů“ a C1.1 „Posílit spolupráci a interakci mezi VO a aplikační sférou“ Národní RIS3 strategie.</w:t>
      </w:r>
    </w:p>
    <w:p w:rsidR="00497C7C" w:rsidRPr="008B53A9" w:rsidRDefault="00497C7C" w:rsidP="00497C7C">
      <w:pPr>
        <w:pStyle w:val="Standardntext"/>
      </w:pPr>
      <w:r w:rsidRPr="008B53A9">
        <w:rPr>
          <w:b/>
        </w:rPr>
        <w:t xml:space="preserve">Hlavní cílová skupina: </w:t>
      </w:r>
      <w:r w:rsidRPr="008B53A9">
        <w:t>Podnikatelské subjekty (zejména MSP), výzkumné organizace</w:t>
      </w:r>
    </w:p>
    <w:p w:rsidR="00497C7C" w:rsidRPr="008B53A9" w:rsidRDefault="00497C7C" w:rsidP="00497C7C">
      <w:pPr>
        <w:pStyle w:val="Standardntext"/>
      </w:pPr>
      <w:r w:rsidRPr="008B53A9">
        <w:rPr>
          <w:b/>
        </w:rPr>
        <w:t xml:space="preserve">Cílové území: </w:t>
      </w:r>
      <w:r w:rsidRPr="008B53A9">
        <w:t>Území České republiky, mimo území hl. m. Prahy, v případě aktivit v oblasti aplikovaného výzkumu i Praha za využití čl. 70 obecného nařízení. Z hlediska územní dimenze bude tento specifický cíl zaměřen na rozvojová a urbánní území, kde se předpokládá zapojení do integrovaného nástroje ITI.</w:t>
      </w:r>
    </w:p>
    <w:p w:rsidR="00497C7C" w:rsidRPr="008B53A9" w:rsidRDefault="00497C7C" w:rsidP="00497C7C">
      <w:pPr>
        <w:pStyle w:val="Standardntext"/>
      </w:pPr>
      <w:r w:rsidRPr="008B53A9">
        <w:rPr>
          <w:b/>
          <w:szCs w:val="22"/>
        </w:rPr>
        <w:t>Typy příjemců:</w:t>
      </w:r>
      <w:r w:rsidRPr="008B53A9">
        <w:rPr>
          <w:szCs w:val="22"/>
        </w:rPr>
        <w:t xml:space="preserve"> Podnikatelské subjekty, podnikatelská seskupení, orgány státní správy a samosprávy (včetně jejich svazků), jim podřízené či jimi zřízené organizace, organizace pro výzkum a šíření znalostí (tj. subjekty splňující definici výzkumné organizace dle Rámce pro státní podporu Výzkumu, vývoje a inovací), neziskové organizace</w:t>
      </w:r>
      <w:r w:rsidRPr="008B53A9">
        <w:rPr>
          <w:rStyle w:val="Znakapoznpodarou"/>
        </w:rPr>
        <w:footnoteReference w:id="36"/>
      </w:r>
      <w:r w:rsidRPr="008B53A9">
        <w:rPr>
          <w:szCs w:val="22"/>
        </w:rPr>
        <w:t>.</w:t>
      </w:r>
    </w:p>
    <w:p w:rsidR="00CE1180" w:rsidRPr="008B53A9" w:rsidRDefault="00497C7C" w:rsidP="00497C7C">
      <w:pPr>
        <w:pStyle w:val="Standardntext"/>
      </w:pPr>
      <w:r w:rsidRPr="008B53A9">
        <w:t xml:space="preserve">V SC 1.2 se předpokládá zapojení velkých podniků (dle čl. 3 odst. 1 písm. b) nařízení o EFRR) pouze výjimečně, a to jen u aktivit, které negenerují čistý příjem, jako např. výstavba a provoz VTP zaměřených především na inkubaci inovačních MSP. Zapojení velkých podniků do těchto aktivit má výhody nejen z hlediska sdílení jejich personálního a materiálního vybavení, ale </w:t>
      </w:r>
      <w:r w:rsidRPr="008B53A9">
        <w:lastRenderedPageBreak/>
        <w:t>velké podniky mohou zajistit pro předmětný vědecko-technický park či jinou VaVaI infrastrukturu širokou publicitu a přitáhnout tak další výzkumníky či podnikatele z řad MSP.</w:t>
      </w:r>
    </w:p>
    <w:p w:rsidR="00D71D90" w:rsidRPr="008B53A9" w:rsidRDefault="00BA6461" w:rsidP="005F43DF">
      <w:pPr>
        <w:pStyle w:val="Nadpis5"/>
        <w:numPr>
          <w:ilvl w:val="4"/>
          <w:numId w:val="11"/>
        </w:numPr>
      </w:pPr>
      <w:r w:rsidRPr="008B53A9">
        <w:t>Hlavní zásady pro výběr operací</w:t>
      </w:r>
    </w:p>
    <w:p w:rsidR="00794BE8" w:rsidRPr="008B53A9" w:rsidRDefault="00046F11" w:rsidP="005106AB">
      <w:pPr>
        <w:pStyle w:val="Standardntext"/>
      </w:pPr>
      <w:r w:rsidRPr="008B53A9">
        <w:t xml:space="preserve">V rámci této investiční priority budou vyhlašovány výzvy na předkládání individuálních projektů. </w:t>
      </w:r>
      <w:r w:rsidR="00855A0B" w:rsidRPr="008B53A9">
        <w:t>Předložené projekty budou  nejdříve posuzovány ze strany řídícího orgánu / zprostředkujícího subjektu z pohledu jejich souladu s podmínkami daného programu podpory.</w:t>
      </w:r>
      <w:r w:rsidRPr="008B53A9">
        <w:t xml:space="preserve"> Projektové žádosti, které úspěšně projdou tímto procesem, budou </w:t>
      </w:r>
      <w:r w:rsidR="002A71BE" w:rsidRPr="008B53A9">
        <w:t>hodnoceny odbornými hodnotiteli (primárně interními v působnosti Agentury CzechInvest, resp. MPO a v případech projektů vyžadujících zvláštní odbornou způsobilost, zejména v oblasti výzkumu, vývoje a inovací hodnotiteli externími) dle předem</w:t>
      </w:r>
      <w:r w:rsidRPr="008B53A9">
        <w:t xml:space="preserve"> definovaných výběrových </w:t>
      </w:r>
      <w:r w:rsidR="006B1736" w:rsidRPr="008B53A9">
        <w:t>kritérií odpovídajících charakteru</w:t>
      </w:r>
      <w:r w:rsidRPr="008B53A9">
        <w:t xml:space="preserve"> jednotlivých specifických cílů a v rámci nich podporovaných aktivit. </w:t>
      </w:r>
      <w:r w:rsidR="00952A8B" w:rsidRPr="008B53A9">
        <w:t xml:space="preserve">Ve finální fázi hodnocení budou </w:t>
      </w:r>
      <w:r w:rsidRPr="008B53A9">
        <w:t>projekty posuzovány hodnotitelskou komis</w:t>
      </w:r>
      <w:r w:rsidR="00153F2D" w:rsidRPr="008B53A9">
        <w:t>í, která bude tvořena zástupci Ř</w:t>
      </w:r>
      <w:r w:rsidRPr="008B53A9">
        <w:t>ídícího orgánu a dalších relevantních partnerů – expertů pro oblast VaVaI, včetně zástupců regionálních partnerů.</w:t>
      </w:r>
      <w:r w:rsidR="00E52F0D" w:rsidRPr="008B53A9">
        <w:t xml:space="preserve"> </w:t>
      </w:r>
      <w:r w:rsidR="005106AB" w:rsidRPr="008B53A9">
        <w:t xml:space="preserve">Výběr </w:t>
      </w:r>
      <w:r w:rsidR="002730C3" w:rsidRPr="008B53A9">
        <w:t>odborných hodnotitelů</w:t>
      </w:r>
      <w:r w:rsidR="005106AB"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w:t>
      </w:r>
      <w:r w:rsidR="00566935" w:rsidRPr="008B53A9">
        <w:t>, tj.</w:t>
      </w:r>
      <w:r w:rsidR="005106AB" w:rsidRPr="008B53A9">
        <w:t xml:space="preserve"> požadavky na vzdělání, prokázání odborné praxe (znalosti problematiky) v oblasti, která je předmětem odborného hodnocení či zkušenost s hodnocením projektů na evropské i národní úrovni.</w:t>
      </w:r>
      <w:r w:rsidR="005106AB" w:rsidRPr="008B53A9">
        <w:rPr>
          <w:rStyle w:val="Znakapoznpodarou"/>
        </w:rPr>
        <w:footnoteReference w:id="37"/>
      </w:r>
      <w:r w:rsidR="005106AB" w:rsidRPr="008B53A9">
        <w:t xml:space="preserve"> </w:t>
      </w:r>
      <w:r w:rsidR="00E52F0D" w:rsidRPr="008B53A9">
        <w:t>Hodnotitelé budou průběžně školeni tak, aby byl zajištěn jejich rovný přístup ke všem projektům.</w:t>
      </w:r>
      <w:r w:rsidRPr="008B53A9">
        <w:t xml:space="preserve"> </w:t>
      </w:r>
      <w:r w:rsidR="00D66446" w:rsidRPr="008B53A9">
        <w:t>Tento systém bude nastaven maximálně transparentně, s cílem zajistit kvalitní a objektivní hodnocení projektů, a realizací schválených projektů dosažení stanovených cílů programu.</w:t>
      </w:r>
      <w:r w:rsidRPr="008B53A9">
        <w:t xml:space="preserve"> </w:t>
      </w:r>
    </w:p>
    <w:p w:rsidR="00794BE8" w:rsidRPr="008B53A9" w:rsidRDefault="00794BE8" w:rsidP="00794BE8">
      <w:pPr>
        <w:pStyle w:val="Standardntext"/>
      </w:pPr>
      <w:r w:rsidRPr="008B53A9">
        <w:t>V rámci výběru a hodnocení projektů budou posuzována především následující kritéria:</w:t>
      </w:r>
    </w:p>
    <w:p w:rsidR="00794BE8" w:rsidRPr="008B53A9" w:rsidRDefault="00794BE8" w:rsidP="005F43DF">
      <w:pPr>
        <w:pStyle w:val="Standardntext"/>
        <w:numPr>
          <w:ilvl w:val="0"/>
          <w:numId w:val="44"/>
        </w:numPr>
      </w:pPr>
      <w:r w:rsidRPr="008B53A9">
        <w:t xml:space="preserve">Kvalita a potřebnost projektu s ohledem </w:t>
      </w:r>
      <w:r w:rsidR="00D819D2" w:rsidRPr="008B53A9">
        <w:t>na očekávaný stupeň inovace v případě projektů zaměřených na zavádění a rozvoj podnikových výzkumných a vývojových center, zavádění inovací, vlastní VaV aktivity a ochranu duševního vlastnictví v</w:t>
      </w:r>
      <w:r w:rsidR="005802ED" w:rsidRPr="008B53A9">
        <w:t> </w:t>
      </w:r>
      <w:r w:rsidR="00D819D2" w:rsidRPr="008B53A9">
        <w:t>podnicích</w:t>
      </w:r>
      <w:r w:rsidR="005802ED" w:rsidRPr="008B53A9">
        <w:t xml:space="preserve">. Bonifikovány budou projekty, u kterých žadatel (soukromý podnikatelský subjekt) prokáže spolupráci s veřejnými výzkumnými organizacemi a vysokými školami. </w:t>
      </w:r>
      <w:r w:rsidR="00D819D2" w:rsidRPr="008B53A9">
        <w:t>U projektů inovační infrastruktury se při hodnocení bude přihlížet zejména na zajištění aktivní spolupráce s vědeckovýzkumnou sférou a řešení aktuálních potřeb v oblasti VaVaI.</w:t>
      </w:r>
      <w:r w:rsidR="0038384A" w:rsidRPr="008B53A9">
        <w:t xml:space="preserve"> P</w:t>
      </w:r>
      <w:r w:rsidR="00F96502" w:rsidRPr="008B53A9">
        <w:t>odnikatelské inkubátory musí předložit detailní a realistický podnikatelský plán, přičemž zvláštní pozornost by měla být věnována udržitelnosti jejich neziskových inkubačních aktivit.</w:t>
      </w:r>
    </w:p>
    <w:p w:rsidR="00794BE8" w:rsidRPr="008B53A9" w:rsidRDefault="00794BE8" w:rsidP="005F43DF">
      <w:pPr>
        <w:pStyle w:val="Standardntext"/>
        <w:numPr>
          <w:ilvl w:val="0"/>
          <w:numId w:val="44"/>
        </w:numPr>
      </w:pPr>
      <w:r w:rsidRPr="008B53A9">
        <w:t xml:space="preserve">Soulad projektu s  územní dimenzí a uplatněním integrovaných </w:t>
      </w:r>
      <w:r w:rsidR="009D1769" w:rsidRPr="008B53A9">
        <w:t>nástrojů</w:t>
      </w:r>
      <w:r w:rsidRPr="008B53A9">
        <w:t xml:space="preserve"> (ITI) v rámci této investiční priority</w:t>
      </w:r>
      <w:r w:rsidR="00D23729" w:rsidRPr="008B53A9">
        <w:t xml:space="preserve"> (viz </w:t>
      </w:r>
      <w:r w:rsidR="00D23729" w:rsidRPr="008B53A9">
        <w:rPr>
          <w:i/>
        </w:rPr>
        <w:t>Cílové území</w:t>
      </w:r>
      <w:r w:rsidR="00D23729" w:rsidRPr="008B53A9">
        <w:t xml:space="preserve"> v</w:t>
      </w:r>
      <w:r w:rsidR="00C63CF5" w:rsidRPr="008B53A9">
        <w:t> oddíle 2.A.6.1 a dále oddíl 4</w:t>
      </w:r>
      <w:r w:rsidR="00D23729" w:rsidRPr="008B53A9">
        <w:t>)</w:t>
      </w:r>
      <w:r w:rsidRPr="008B53A9">
        <w:t>.</w:t>
      </w:r>
    </w:p>
    <w:p w:rsidR="00794BE8" w:rsidRPr="008B53A9" w:rsidRDefault="00794BE8" w:rsidP="005F43DF">
      <w:pPr>
        <w:pStyle w:val="Standardntext"/>
        <w:numPr>
          <w:ilvl w:val="0"/>
          <w:numId w:val="44"/>
        </w:numPr>
      </w:pPr>
      <w:r w:rsidRPr="008B53A9">
        <w:t>Soulad projektu s prioritami RIS3.</w:t>
      </w:r>
    </w:p>
    <w:p w:rsidR="00794BE8" w:rsidRPr="008B53A9" w:rsidRDefault="00794BE8"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794BE8" w:rsidRPr="008B53A9" w:rsidRDefault="00794BE8" w:rsidP="005F43DF">
      <w:pPr>
        <w:pStyle w:val="Standardntext"/>
        <w:numPr>
          <w:ilvl w:val="0"/>
          <w:numId w:val="44"/>
        </w:numPr>
      </w:pPr>
      <w:r w:rsidRPr="008B53A9">
        <w:lastRenderedPageBreak/>
        <w:t>Žadatel nesmí mít právní formu akciové společnosti s listinnými akciemi na majitele.</w:t>
      </w:r>
    </w:p>
    <w:p w:rsidR="00D71D90" w:rsidRPr="008B53A9" w:rsidRDefault="00BA6461" w:rsidP="005F43DF">
      <w:pPr>
        <w:pStyle w:val="Nadpis5"/>
        <w:numPr>
          <w:ilvl w:val="4"/>
          <w:numId w:val="11"/>
        </w:numPr>
        <w:rPr>
          <w:rFonts w:cs="Calibri"/>
        </w:rPr>
      </w:pPr>
      <w:r w:rsidRPr="008B53A9">
        <w:t>Plánované využití finančních nástrojů (použije-li se)</w:t>
      </w:r>
    </w:p>
    <w:p w:rsidR="00814828" w:rsidRPr="008B53A9" w:rsidRDefault="00814828" w:rsidP="00814828">
      <w:pPr>
        <w:pStyle w:val="Standardntext"/>
      </w:pPr>
      <w:r w:rsidRPr="008B53A9">
        <w:t xml:space="preserve">Řídící orgán </w:t>
      </w:r>
      <w:r w:rsidR="008943E6" w:rsidRPr="008B53A9">
        <w:t xml:space="preserve">zvažuje </w:t>
      </w:r>
      <w:r w:rsidRPr="008B53A9">
        <w:t>využití finančních nástrojů v této investiční prioritě</w:t>
      </w:r>
      <w:r w:rsidR="008F4481" w:rsidRPr="008B53A9">
        <w:t xml:space="preserve">. </w:t>
      </w:r>
      <w:r w:rsidR="008943E6" w:rsidRPr="008B53A9">
        <w:t xml:space="preserve">O jejich využití bude rozhodnuto na základě výsledků </w:t>
      </w:r>
      <w:r w:rsidRPr="008B53A9">
        <w:t>předběžného posouzení finančních nástrojů OP PIK dle čl. 37 odst. 2 obecného nařízení, které provede ŘO OP PIK, případně jeho revize podle čl. 37 odst. 2 písm. g) obecného nařízení.</w:t>
      </w:r>
    </w:p>
    <w:p w:rsidR="00D71D90" w:rsidRPr="008B53A9" w:rsidRDefault="00BA6461" w:rsidP="005F43DF">
      <w:pPr>
        <w:pStyle w:val="Nadpis5"/>
        <w:numPr>
          <w:ilvl w:val="4"/>
          <w:numId w:val="11"/>
        </w:numPr>
      </w:pPr>
      <w:r w:rsidRPr="008B53A9">
        <w:t>Plánované využití velkých projektů (použije-li se)</w:t>
      </w:r>
    </w:p>
    <w:p w:rsidR="0036276B" w:rsidRPr="008B53A9" w:rsidRDefault="008B5752" w:rsidP="0036276B">
      <w:pPr>
        <w:pStyle w:val="Standardntext"/>
      </w:pPr>
      <w:r w:rsidRPr="008B53A9">
        <w:t xml:space="preserve">Velké projekty ve smyslu čl. </w:t>
      </w:r>
      <w:r w:rsidR="00936B90" w:rsidRPr="008B53A9">
        <w:t>10</w:t>
      </w:r>
      <w:r w:rsidRPr="008B53A9">
        <w:t>0 obecného nařízení nejsou plánovány</w:t>
      </w:r>
      <w:r w:rsidR="0036276B" w:rsidRPr="008B53A9">
        <w:t>.</w:t>
      </w:r>
    </w:p>
    <w:p w:rsidR="00C16A07" w:rsidRPr="008B53A9" w:rsidRDefault="00BA6461" w:rsidP="005F43DF">
      <w:pPr>
        <w:pStyle w:val="Nadpis5"/>
        <w:keepNext w:val="0"/>
        <w:keepLines w:val="0"/>
        <w:numPr>
          <w:ilvl w:val="4"/>
          <w:numId w:val="11"/>
        </w:numPr>
      </w:pPr>
      <w:r w:rsidRPr="008B53A9">
        <w:t>Ukazatele výstupů podle investiční priority a případně podle kategorie regionů</w:t>
      </w:r>
    </w:p>
    <w:p w:rsidR="007E7041" w:rsidRPr="008B53A9" w:rsidRDefault="007E7041" w:rsidP="008F72F4">
      <w:pPr>
        <w:pStyle w:val="Titulek"/>
        <w:rPr>
          <w:rFonts w:cs="Calibri"/>
        </w:rPr>
      </w:pPr>
      <w:r w:rsidRPr="008B53A9">
        <w:rPr>
          <w:rFonts w:cs="Calibri"/>
        </w:rPr>
        <w:t xml:space="preserve">Tabulka </w:t>
      </w:r>
      <w:r w:rsidR="002A1792" w:rsidRPr="008B53A9">
        <w:rPr>
          <w:rFonts w:cs="Calibri"/>
        </w:rPr>
        <w:fldChar w:fldCharType="begin"/>
      </w:r>
      <w:r w:rsidR="002A1792" w:rsidRPr="008B53A9">
        <w:rPr>
          <w:rFonts w:cs="Calibri"/>
        </w:rPr>
        <w:instrText xml:space="preserve"> SEQ Tabulka \* ARABIC \r5 </w:instrText>
      </w:r>
      <w:r w:rsidR="002A1792" w:rsidRPr="008B53A9">
        <w:rPr>
          <w:rFonts w:cs="Calibri"/>
        </w:rPr>
        <w:fldChar w:fldCharType="separate"/>
      </w:r>
      <w:r w:rsidR="00E54216" w:rsidRPr="008B53A9">
        <w:rPr>
          <w:rFonts w:cs="Calibri"/>
          <w:noProof/>
        </w:rPr>
        <w:t>5</w:t>
      </w:r>
      <w:r w:rsidR="002A1792"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5000" w:type="pct"/>
        <w:tblCellMar>
          <w:left w:w="57" w:type="dxa"/>
          <w:right w:w="57" w:type="dxa"/>
        </w:tblCellMar>
        <w:tblLook w:val="01E0" w:firstRow="1" w:lastRow="1" w:firstColumn="1" w:lastColumn="1" w:noHBand="0" w:noVBand="0"/>
      </w:tblPr>
      <w:tblGrid>
        <w:gridCol w:w="1154"/>
        <w:gridCol w:w="2177"/>
        <w:gridCol w:w="955"/>
        <w:gridCol w:w="665"/>
        <w:gridCol w:w="1051"/>
        <w:gridCol w:w="1551"/>
        <w:gridCol w:w="665"/>
        <w:gridCol w:w="1108"/>
      </w:tblGrid>
      <w:tr w:rsidR="008E5044" w:rsidRPr="008B53A9">
        <w:trPr>
          <w:trHeight w:hRule="exact" w:val="1044"/>
        </w:trPr>
        <w:tc>
          <w:tcPr>
            <w:tcW w:w="38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5553E9" w:rsidRPr="008B53A9" w:rsidRDefault="005553E9" w:rsidP="008F72F4">
            <w:pPr>
              <w:pStyle w:val="Tabulka"/>
              <w:rPr>
                <w:rFonts w:cs="Calibri"/>
                <w:b/>
                <w:lang w:val="cs-CZ" w:eastAsia="cs-CZ"/>
              </w:rPr>
            </w:pPr>
            <w:r w:rsidRPr="008B53A9">
              <w:rPr>
                <w:rFonts w:cs="Calibri"/>
                <w:b/>
                <w:lang w:val="cs-CZ" w:eastAsia="cs-CZ"/>
              </w:rPr>
              <w:t>ID</w:t>
            </w:r>
          </w:p>
        </w:tc>
        <w:tc>
          <w:tcPr>
            <w:tcW w:w="1201"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5553E9" w:rsidRPr="008B53A9" w:rsidRDefault="001B2E5C" w:rsidP="008F72F4">
            <w:pPr>
              <w:pStyle w:val="Tabulka"/>
              <w:rPr>
                <w:rFonts w:cs="Calibri"/>
                <w:b/>
                <w:lang w:val="cs-CZ" w:eastAsia="cs-CZ"/>
              </w:rPr>
            </w:pPr>
            <w:r w:rsidRPr="008B53A9">
              <w:rPr>
                <w:rFonts w:cs="Calibri"/>
                <w:b/>
                <w:lang w:val="cs-CZ" w:eastAsia="cs-CZ"/>
              </w:rPr>
              <w:t>Ukazatel</w:t>
            </w:r>
          </w:p>
        </w:tc>
        <w:tc>
          <w:tcPr>
            <w:tcW w:w="546"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5553E9" w:rsidRPr="008B53A9" w:rsidRDefault="005553E9" w:rsidP="008F72F4">
            <w:pPr>
              <w:pStyle w:val="Tabulka"/>
              <w:rPr>
                <w:rFonts w:cs="Calibri"/>
                <w:b/>
                <w:lang w:val="cs-CZ" w:eastAsia="cs-CZ"/>
              </w:rPr>
            </w:pPr>
            <w:r w:rsidRPr="008B53A9">
              <w:rPr>
                <w:rFonts w:cs="Calibri"/>
                <w:b/>
                <w:lang w:val="cs-CZ" w:eastAsia="cs-CZ"/>
              </w:rPr>
              <w:t>Měrná jednotka</w:t>
            </w:r>
          </w:p>
        </w:tc>
        <w:tc>
          <w:tcPr>
            <w:tcW w:w="38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5553E9" w:rsidRPr="008B53A9" w:rsidRDefault="005553E9" w:rsidP="008F72F4">
            <w:pPr>
              <w:pStyle w:val="Tabulka"/>
              <w:rPr>
                <w:rFonts w:cs="Calibri"/>
                <w:b/>
                <w:lang w:val="cs-CZ" w:eastAsia="cs-CZ"/>
              </w:rPr>
            </w:pPr>
            <w:r w:rsidRPr="008B53A9">
              <w:rPr>
                <w:rFonts w:cs="Calibri"/>
                <w:b/>
                <w:lang w:val="cs-CZ" w:eastAsia="cs-CZ"/>
              </w:rPr>
              <w:t>Fond</w:t>
            </w:r>
          </w:p>
        </w:tc>
        <w:tc>
          <w:tcPr>
            <w:tcW w:w="604"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5553E9" w:rsidRPr="008B53A9" w:rsidRDefault="005553E9" w:rsidP="00400435">
            <w:pPr>
              <w:pStyle w:val="Tabulka"/>
              <w:rPr>
                <w:rFonts w:cs="Calibri"/>
                <w:b/>
                <w:lang w:val="cs-CZ" w:eastAsia="cs-CZ"/>
              </w:rPr>
            </w:pPr>
            <w:r w:rsidRPr="008B53A9">
              <w:rPr>
                <w:rFonts w:cs="Calibri"/>
                <w:b/>
                <w:lang w:val="cs-CZ" w:eastAsia="cs-CZ"/>
              </w:rPr>
              <w:t>Kategorie regionu</w:t>
            </w:r>
          </w:p>
        </w:tc>
        <w:tc>
          <w:tcPr>
            <w:tcW w:w="865"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5553E9" w:rsidRPr="008B53A9" w:rsidRDefault="005553E9" w:rsidP="00956C4F">
            <w:pPr>
              <w:pStyle w:val="Tabulka"/>
              <w:rPr>
                <w:rFonts w:cs="Calibri"/>
                <w:b/>
                <w:lang w:val="cs-CZ" w:eastAsia="cs-CZ"/>
              </w:rPr>
            </w:pPr>
            <w:r w:rsidRPr="008B53A9">
              <w:rPr>
                <w:rFonts w:cs="Calibri"/>
                <w:b/>
                <w:lang w:val="cs-CZ" w:eastAsia="cs-CZ"/>
              </w:rPr>
              <w:t>Cílová hodnota</w:t>
            </w:r>
            <w:r w:rsidR="00956C4F" w:rsidRPr="008B53A9">
              <w:rPr>
                <w:rFonts w:cs="Calibri"/>
                <w:b/>
                <w:lang w:val="cs-CZ" w:eastAsia="cs-CZ"/>
              </w:rPr>
              <w:t xml:space="preserve"> </w:t>
            </w:r>
            <w:r w:rsidR="001B2E5C" w:rsidRPr="008B53A9">
              <w:rPr>
                <w:rFonts w:cs="Calibri"/>
                <w:b/>
                <w:lang w:val="cs-CZ" w:eastAsia="cs-CZ"/>
              </w:rPr>
              <w:t>(2023</w:t>
            </w:r>
            <w:r w:rsidRPr="008B53A9">
              <w:rPr>
                <w:rFonts w:cs="Calibri"/>
                <w:b/>
                <w:lang w:val="cs-CZ" w:eastAsia="cs-CZ"/>
              </w:rPr>
              <w:t>)</w:t>
            </w:r>
          </w:p>
        </w:tc>
        <w:tc>
          <w:tcPr>
            <w:tcW w:w="384"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5553E9" w:rsidRPr="008B53A9" w:rsidRDefault="005553E9" w:rsidP="008F72F4">
            <w:pPr>
              <w:pStyle w:val="Tabulka"/>
              <w:rPr>
                <w:rFonts w:cs="Calibri"/>
                <w:b/>
                <w:lang w:val="cs-CZ" w:eastAsia="cs-CZ"/>
              </w:rPr>
            </w:pPr>
            <w:r w:rsidRPr="008B53A9">
              <w:rPr>
                <w:rFonts w:cs="Calibri"/>
                <w:b/>
                <w:lang w:val="cs-CZ" w:eastAsia="cs-CZ"/>
              </w:rPr>
              <w:t>Zdroj údajů</w:t>
            </w:r>
          </w:p>
        </w:tc>
        <w:tc>
          <w:tcPr>
            <w:tcW w:w="63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5553E9" w:rsidRPr="008B53A9" w:rsidRDefault="001B2E5C" w:rsidP="008F72F4">
            <w:pPr>
              <w:pStyle w:val="Tabulka"/>
              <w:rPr>
                <w:rFonts w:cs="Calibri"/>
                <w:b/>
                <w:lang w:val="cs-CZ" w:eastAsia="cs-CZ"/>
              </w:rPr>
            </w:pPr>
            <w:r w:rsidRPr="008B53A9">
              <w:rPr>
                <w:rFonts w:cs="Calibri"/>
                <w:b/>
                <w:lang w:val="cs-CZ" w:eastAsia="cs-CZ"/>
              </w:rPr>
              <w:t>Četnost podávání zpráv</w:t>
            </w:r>
          </w:p>
        </w:tc>
      </w:tr>
      <w:tr w:rsidR="006D0B8B" w:rsidRPr="008B53A9">
        <w:trPr>
          <w:trHeight w:hRule="exact" w:val="968"/>
        </w:trPr>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8E5044" w:rsidP="008F72F4">
            <w:pPr>
              <w:pStyle w:val="Tabulka"/>
              <w:rPr>
                <w:rFonts w:cs="Calibri"/>
                <w:lang w:val="cs-CZ" w:eastAsia="cs-CZ"/>
              </w:rPr>
            </w:pPr>
            <w:r w:rsidRPr="008B53A9">
              <w:rPr>
                <w:rFonts w:cs="Calibri"/>
                <w:lang w:val="cs-CZ" w:eastAsia="cs-CZ"/>
              </w:rPr>
              <w:t>C/EFRR/01</w:t>
            </w:r>
          </w:p>
        </w:tc>
        <w:tc>
          <w:tcPr>
            <w:tcW w:w="1201"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jc w:val="left"/>
              <w:rPr>
                <w:rFonts w:cs="Calibri"/>
                <w:lang w:val="cs-CZ" w:eastAsia="cs-CZ"/>
              </w:rPr>
            </w:pPr>
            <w:r w:rsidRPr="008B53A9">
              <w:rPr>
                <w:rFonts w:cs="Calibri"/>
                <w:lang w:val="cs-CZ" w:eastAsia="cs-CZ"/>
              </w:rPr>
              <w:t>Počet podniků pobírajících podporu</w:t>
            </w:r>
          </w:p>
        </w:tc>
        <w:tc>
          <w:tcPr>
            <w:tcW w:w="546"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podniky</w:t>
            </w:r>
          </w:p>
        </w:tc>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EFRR</w:t>
            </w:r>
          </w:p>
        </w:tc>
        <w:tc>
          <w:tcPr>
            <w:tcW w:w="60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400435">
            <w:pPr>
              <w:pStyle w:val="Tabulka"/>
              <w:rPr>
                <w:rFonts w:cs="Calibri"/>
                <w:lang w:val="cs-CZ" w:eastAsia="cs-CZ"/>
              </w:rPr>
            </w:pPr>
            <w:r w:rsidRPr="008B53A9">
              <w:rPr>
                <w:rFonts w:cs="Calibri"/>
                <w:lang w:val="cs-CZ" w:eastAsia="cs-CZ"/>
              </w:rPr>
              <w:t>Méně rozvinuté regiony</w:t>
            </w:r>
          </w:p>
        </w:tc>
        <w:tc>
          <w:tcPr>
            <w:tcW w:w="865"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994365">
            <w:pPr>
              <w:pStyle w:val="Tabulka"/>
              <w:rPr>
                <w:rFonts w:cs="Calibri"/>
                <w:lang w:val="cs-CZ" w:eastAsia="cs-CZ"/>
              </w:rPr>
            </w:pPr>
            <w:r w:rsidRPr="008B53A9">
              <w:rPr>
                <w:rFonts w:cs="Calibri"/>
                <w:lang w:val="cs-CZ" w:eastAsia="cs-CZ"/>
              </w:rPr>
              <w:t>2 200</w:t>
            </w:r>
          </w:p>
        </w:tc>
        <w:tc>
          <w:tcPr>
            <w:tcW w:w="38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ŘO</w:t>
            </w:r>
          </w:p>
        </w:tc>
        <w:tc>
          <w:tcPr>
            <w:tcW w:w="63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průběžně</w:t>
            </w:r>
          </w:p>
        </w:tc>
      </w:tr>
      <w:tr w:rsidR="006D0B8B" w:rsidRPr="008B53A9">
        <w:trPr>
          <w:trHeight w:val="510"/>
        </w:trPr>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8E5044" w:rsidP="008F72F4">
            <w:pPr>
              <w:pStyle w:val="Tabulka"/>
              <w:rPr>
                <w:rFonts w:cs="Calibri"/>
                <w:lang w:val="cs-CZ" w:eastAsia="cs-CZ"/>
              </w:rPr>
            </w:pPr>
            <w:r w:rsidRPr="008B53A9">
              <w:rPr>
                <w:rFonts w:cs="Calibri"/>
                <w:lang w:val="cs-CZ" w:eastAsia="cs-CZ"/>
              </w:rPr>
              <w:t>C/EFRR/02</w:t>
            </w:r>
          </w:p>
        </w:tc>
        <w:tc>
          <w:tcPr>
            <w:tcW w:w="1201"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jc w:val="left"/>
              <w:rPr>
                <w:rFonts w:cs="Calibri"/>
                <w:lang w:val="cs-CZ" w:eastAsia="cs-CZ"/>
              </w:rPr>
            </w:pPr>
            <w:r w:rsidRPr="008B53A9">
              <w:rPr>
                <w:rFonts w:cs="Calibri"/>
                <w:lang w:val="cs-CZ" w:eastAsia="cs-CZ"/>
              </w:rPr>
              <w:t>Počet podniků pobírajících granty</w:t>
            </w:r>
          </w:p>
        </w:tc>
        <w:tc>
          <w:tcPr>
            <w:tcW w:w="546"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podniky</w:t>
            </w:r>
          </w:p>
        </w:tc>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EFRR</w:t>
            </w:r>
          </w:p>
        </w:tc>
        <w:tc>
          <w:tcPr>
            <w:tcW w:w="60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400435">
            <w:pPr>
              <w:pStyle w:val="Tabulka"/>
              <w:rPr>
                <w:rFonts w:cs="Calibri"/>
                <w:lang w:val="cs-CZ" w:eastAsia="cs-CZ"/>
              </w:rPr>
            </w:pPr>
            <w:r w:rsidRPr="008B53A9">
              <w:rPr>
                <w:rFonts w:cs="Calibri"/>
                <w:lang w:val="cs-CZ" w:eastAsia="cs-CZ"/>
              </w:rPr>
              <w:t>Méně rozvinuté regiony</w:t>
            </w:r>
          </w:p>
        </w:tc>
        <w:tc>
          <w:tcPr>
            <w:tcW w:w="865"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994365">
            <w:pPr>
              <w:pStyle w:val="Tabulka"/>
              <w:rPr>
                <w:rFonts w:cs="Calibri"/>
                <w:lang w:val="cs-CZ" w:eastAsia="cs-CZ"/>
              </w:rPr>
            </w:pPr>
            <w:r w:rsidRPr="008B53A9">
              <w:rPr>
                <w:rFonts w:cs="Calibri"/>
                <w:lang w:val="cs-CZ" w:eastAsia="cs-CZ"/>
              </w:rPr>
              <w:t>2 200</w:t>
            </w:r>
          </w:p>
        </w:tc>
        <w:tc>
          <w:tcPr>
            <w:tcW w:w="38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ŘO</w:t>
            </w:r>
          </w:p>
        </w:tc>
        <w:tc>
          <w:tcPr>
            <w:tcW w:w="63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průběžně</w:t>
            </w:r>
          </w:p>
        </w:tc>
      </w:tr>
      <w:tr w:rsidR="006D0B8B" w:rsidRPr="008B53A9">
        <w:trPr>
          <w:trHeight w:val="510"/>
        </w:trPr>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C</w:t>
            </w:r>
            <w:r w:rsidR="008E5044" w:rsidRPr="008B53A9">
              <w:rPr>
                <w:rFonts w:cs="Calibri"/>
                <w:lang w:val="cs-CZ" w:eastAsia="cs-CZ"/>
              </w:rPr>
              <w:t>/EFRR/0</w:t>
            </w:r>
            <w:r w:rsidRPr="008B53A9">
              <w:rPr>
                <w:rFonts w:cs="Calibri"/>
                <w:lang w:val="cs-CZ" w:eastAsia="cs-CZ"/>
              </w:rPr>
              <w:t>6</w:t>
            </w:r>
          </w:p>
        </w:tc>
        <w:tc>
          <w:tcPr>
            <w:tcW w:w="1201"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jc w:val="left"/>
              <w:rPr>
                <w:rFonts w:cs="Calibri"/>
                <w:lang w:val="cs-CZ" w:eastAsia="cs-CZ"/>
              </w:rPr>
            </w:pPr>
            <w:r w:rsidRPr="008B53A9">
              <w:rPr>
                <w:rFonts w:cs="Calibri"/>
                <w:lang w:val="cs-CZ" w:eastAsia="cs-CZ"/>
              </w:rPr>
              <w:t>Soukromé investice v projektech s veřejnou podporou (granty)</w:t>
            </w:r>
          </w:p>
        </w:tc>
        <w:tc>
          <w:tcPr>
            <w:tcW w:w="546"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EUR</w:t>
            </w:r>
          </w:p>
        </w:tc>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EFRR</w:t>
            </w:r>
          </w:p>
        </w:tc>
        <w:tc>
          <w:tcPr>
            <w:tcW w:w="60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400435">
            <w:pPr>
              <w:pStyle w:val="Tabulka"/>
              <w:rPr>
                <w:rFonts w:cs="Calibri"/>
                <w:lang w:val="cs-CZ" w:eastAsia="cs-CZ"/>
              </w:rPr>
            </w:pPr>
            <w:r w:rsidRPr="008B53A9">
              <w:rPr>
                <w:rFonts w:cs="Calibri"/>
                <w:lang w:val="cs-CZ" w:eastAsia="cs-CZ"/>
              </w:rPr>
              <w:t>Méně rozvinuté regiony</w:t>
            </w:r>
          </w:p>
        </w:tc>
        <w:tc>
          <w:tcPr>
            <w:tcW w:w="865"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1C4308" w:rsidP="001C4308">
            <w:pPr>
              <w:pStyle w:val="Tabulka"/>
              <w:rPr>
                <w:rFonts w:cs="Calibri"/>
                <w:lang w:val="cs-CZ" w:eastAsia="cs-CZ"/>
              </w:rPr>
            </w:pPr>
            <w:r w:rsidRPr="008B53A9">
              <w:rPr>
                <w:rFonts w:cs="Calibri"/>
                <w:lang w:val="cs-CZ" w:eastAsia="cs-CZ"/>
              </w:rPr>
              <w:t>1 818</w:t>
            </w:r>
            <w:r w:rsidR="006D0B8B" w:rsidRPr="008B53A9">
              <w:rPr>
                <w:rFonts w:cs="Calibri"/>
                <w:lang w:val="cs-CZ" w:eastAsia="cs-CZ"/>
              </w:rPr>
              <w:t xml:space="preserve"> 000 000</w:t>
            </w:r>
          </w:p>
        </w:tc>
        <w:tc>
          <w:tcPr>
            <w:tcW w:w="38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ŘO</w:t>
            </w:r>
          </w:p>
        </w:tc>
        <w:tc>
          <w:tcPr>
            <w:tcW w:w="63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průběžně</w:t>
            </w:r>
          </w:p>
        </w:tc>
      </w:tr>
      <w:tr w:rsidR="006D0B8B" w:rsidRPr="008B53A9">
        <w:trPr>
          <w:trHeight w:val="510"/>
        </w:trPr>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C</w:t>
            </w:r>
            <w:r w:rsidR="008E5044" w:rsidRPr="008B53A9">
              <w:rPr>
                <w:rFonts w:cs="Calibri"/>
                <w:lang w:val="cs-CZ" w:eastAsia="cs-CZ"/>
              </w:rPr>
              <w:t>/EFRR/</w:t>
            </w:r>
            <w:r w:rsidRPr="008B53A9">
              <w:rPr>
                <w:rFonts w:cs="Calibri"/>
                <w:lang w:val="cs-CZ" w:eastAsia="cs-CZ"/>
              </w:rPr>
              <w:t>26</w:t>
            </w:r>
          </w:p>
        </w:tc>
        <w:tc>
          <w:tcPr>
            <w:tcW w:w="1201"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jc w:val="left"/>
              <w:rPr>
                <w:rFonts w:cs="Calibri"/>
                <w:lang w:val="cs-CZ" w:eastAsia="cs-CZ"/>
              </w:rPr>
            </w:pPr>
            <w:r w:rsidRPr="008B53A9">
              <w:rPr>
                <w:rFonts w:cs="Calibri"/>
                <w:lang w:val="cs-CZ" w:eastAsia="cs-CZ"/>
              </w:rPr>
              <w:t>Počet podniků spolupracujících s výzkumnými institucemi</w:t>
            </w:r>
          </w:p>
        </w:tc>
        <w:tc>
          <w:tcPr>
            <w:tcW w:w="546"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podniky</w:t>
            </w:r>
          </w:p>
        </w:tc>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EFRR</w:t>
            </w:r>
          </w:p>
        </w:tc>
        <w:tc>
          <w:tcPr>
            <w:tcW w:w="60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400435">
            <w:pPr>
              <w:pStyle w:val="Tabulka"/>
              <w:rPr>
                <w:rFonts w:cs="Calibri"/>
                <w:lang w:val="cs-CZ" w:eastAsia="cs-CZ"/>
              </w:rPr>
            </w:pPr>
            <w:r w:rsidRPr="008B53A9">
              <w:rPr>
                <w:rFonts w:cs="Calibri"/>
                <w:lang w:val="cs-CZ" w:eastAsia="cs-CZ"/>
              </w:rPr>
              <w:t>Méně rozvinuté regiony</w:t>
            </w:r>
          </w:p>
        </w:tc>
        <w:tc>
          <w:tcPr>
            <w:tcW w:w="865"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994365">
            <w:pPr>
              <w:pStyle w:val="Tabulka"/>
              <w:rPr>
                <w:rFonts w:cs="Calibri"/>
                <w:lang w:val="cs-CZ" w:eastAsia="cs-CZ"/>
              </w:rPr>
            </w:pPr>
            <w:r w:rsidRPr="008B53A9">
              <w:rPr>
                <w:rFonts w:cs="Calibri"/>
                <w:lang w:val="cs-CZ" w:eastAsia="cs-CZ"/>
              </w:rPr>
              <w:t>2 950</w:t>
            </w:r>
          </w:p>
        </w:tc>
        <w:tc>
          <w:tcPr>
            <w:tcW w:w="38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Ž/P</w:t>
            </w:r>
          </w:p>
        </w:tc>
        <w:tc>
          <w:tcPr>
            <w:tcW w:w="63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průběžně</w:t>
            </w:r>
          </w:p>
        </w:tc>
      </w:tr>
      <w:tr w:rsidR="006D0B8B" w:rsidRPr="008B53A9">
        <w:trPr>
          <w:trHeight w:val="510"/>
        </w:trPr>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C</w:t>
            </w:r>
            <w:r w:rsidR="008E5044" w:rsidRPr="008B53A9">
              <w:rPr>
                <w:rFonts w:cs="Calibri"/>
                <w:lang w:val="cs-CZ" w:eastAsia="cs-CZ"/>
              </w:rPr>
              <w:t>/EFRR/</w:t>
            </w:r>
            <w:r w:rsidRPr="008B53A9">
              <w:rPr>
                <w:rFonts w:cs="Calibri"/>
                <w:lang w:val="cs-CZ" w:eastAsia="cs-CZ"/>
              </w:rPr>
              <w:t>27</w:t>
            </w:r>
          </w:p>
        </w:tc>
        <w:tc>
          <w:tcPr>
            <w:tcW w:w="1201"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jc w:val="left"/>
              <w:rPr>
                <w:rFonts w:cs="Calibri"/>
                <w:lang w:val="cs-CZ" w:eastAsia="cs-CZ"/>
              </w:rPr>
            </w:pPr>
            <w:r w:rsidRPr="008B53A9">
              <w:rPr>
                <w:rFonts w:cs="Calibri"/>
                <w:lang w:val="cs-CZ" w:eastAsia="cs-CZ"/>
              </w:rPr>
              <w:t>Soukromé investice v projektech s veřejnou podporou v oblasti inovací nebo výzkumu a vývoje</w:t>
            </w:r>
          </w:p>
        </w:tc>
        <w:tc>
          <w:tcPr>
            <w:tcW w:w="546"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EUR</w:t>
            </w:r>
          </w:p>
        </w:tc>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EFRR</w:t>
            </w:r>
          </w:p>
        </w:tc>
        <w:tc>
          <w:tcPr>
            <w:tcW w:w="60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400435">
            <w:pPr>
              <w:pStyle w:val="Tabulka"/>
              <w:rPr>
                <w:rFonts w:cs="Calibri"/>
                <w:lang w:val="cs-CZ" w:eastAsia="cs-CZ"/>
              </w:rPr>
            </w:pPr>
            <w:r w:rsidRPr="008B53A9">
              <w:rPr>
                <w:rFonts w:cs="Calibri"/>
                <w:lang w:val="cs-CZ" w:eastAsia="cs-CZ"/>
              </w:rPr>
              <w:t>Méně rozvinuté regiony</w:t>
            </w:r>
          </w:p>
        </w:tc>
        <w:tc>
          <w:tcPr>
            <w:tcW w:w="865"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1C4308" w:rsidP="00994365">
            <w:pPr>
              <w:pStyle w:val="Tabulka"/>
              <w:rPr>
                <w:rFonts w:cs="Calibri"/>
                <w:lang w:val="cs-CZ" w:eastAsia="cs-CZ"/>
              </w:rPr>
            </w:pPr>
            <w:r w:rsidRPr="008B53A9">
              <w:rPr>
                <w:rFonts w:cs="Calibri"/>
                <w:lang w:val="cs-CZ" w:eastAsia="cs-CZ"/>
              </w:rPr>
              <w:t>1 818</w:t>
            </w:r>
            <w:r w:rsidR="006D0B8B" w:rsidRPr="008B53A9">
              <w:rPr>
                <w:rFonts w:cs="Calibri"/>
                <w:lang w:val="cs-CZ" w:eastAsia="cs-CZ"/>
              </w:rPr>
              <w:t> 000 000</w:t>
            </w:r>
          </w:p>
        </w:tc>
        <w:tc>
          <w:tcPr>
            <w:tcW w:w="38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ŘO</w:t>
            </w:r>
          </w:p>
        </w:tc>
        <w:tc>
          <w:tcPr>
            <w:tcW w:w="63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F72F4">
            <w:pPr>
              <w:pStyle w:val="Tabulka"/>
              <w:rPr>
                <w:rFonts w:cs="Calibri"/>
                <w:lang w:val="cs-CZ" w:eastAsia="cs-CZ"/>
              </w:rPr>
            </w:pPr>
            <w:r w:rsidRPr="008B53A9">
              <w:rPr>
                <w:rFonts w:cs="Calibri"/>
                <w:lang w:val="cs-CZ" w:eastAsia="cs-CZ"/>
              </w:rPr>
              <w:t>průběžně</w:t>
            </w:r>
          </w:p>
        </w:tc>
      </w:tr>
      <w:tr w:rsidR="006D0B8B" w:rsidRPr="008B53A9">
        <w:trPr>
          <w:trHeight w:val="510"/>
        </w:trPr>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jc w:val="left"/>
              <w:rPr>
                <w:rFonts w:cs="Calibri"/>
                <w:lang w:val="cs-CZ" w:eastAsia="cs-CZ"/>
              </w:rPr>
            </w:pPr>
            <w:r w:rsidRPr="008B53A9">
              <w:rPr>
                <w:rFonts w:cs="Calibri"/>
                <w:lang w:val="cs-CZ" w:eastAsia="cs-CZ"/>
              </w:rPr>
              <w:t>C</w:t>
            </w:r>
            <w:r w:rsidR="008E5044" w:rsidRPr="008B53A9">
              <w:rPr>
                <w:rFonts w:cs="Calibri"/>
                <w:lang w:val="cs-CZ" w:eastAsia="cs-CZ"/>
              </w:rPr>
              <w:t>/EFRR/</w:t>
            </w:r>
            <w:r w:rsidRPr="008B53A9">
              <w:rPr>
                <w:rFonts w:cs="Calibri"/>
                <w:lang w:val="cs-CZ" w:eastAsia="cs-CZ"/>
              </w:rPr>
              <w:t>28</w:t>
            </w:r>
          </w:p>
        </w:tc>
        <w:tc>
          <w:tcPr>
            <w:tcW w:w="1201"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jc w:val="left"/>
              <w:rPr>
                <w:rFonts w:cs="Calibri"/>
                <w:lang w:val="cs-CZ" w:eastAsia="cs-CZ"/>
              </w:rPr>
            </w:pPr>
            <w:r w:rsidRPr="008B53A9">
              <w:rPr>
                <w:rFonts w:cs="Calibri"/>
                <w:lang w:val="cs-CZ" w:eastAsia="cs-CZ"/>
              </w:rPr>
              <w:t>Počet podniků, které dostávají podporu pro účely uvádění nových výrobků na trh</w:t>
            </w:r>
          </w:p>
        </w:tc>
        <w:tc>
          <w:tcPr>
            <w:tcW w:w="546"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podniky</w:t>
            </w:r>
          </w:p>
        </w:tc>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EFRR</w:t>
            </w:r>
          </w:p>
        </w:tc>
        <w:tc>
          <w:tcPr>
            <w:tcW w:w="60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Méně rozvinuté regiony</w:t>
            </w:r>
          </w:p>
        </w:tc>
        <w:tc>
          <w:tcPr>
            <w:tcW w:w="865"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210</w:t>
            </w:r>
          </w:p>
        </w:tc>
        <w:tc>
          <w:tcPr>
            <w:tcW w:w="38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ŘO</w:t>
            </w:r>
          </w:p>
        </w:tc>
        <w:tc>
          <w:tcPr>
            <w:tcW w:w="63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průběžně</w:t>
            </w:r>
          </w:p>
        </w:tc>
      </w:tr>
      <w:tr w:rsidR="006D0B8B" w:rsidRPr="008B53A9">
        <w:trPr>
          <w:trHeight w:val="510"/>
        </w:trPr>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jc w:val="left"/>
              <w:rPr>
                <w:rFonts w:cs="Calibri"/>
                <w:lang w:val="cs-CZ" w:eastAsia="cs-CZ"/>
              </w:rPr>
            </w:pPr>
            <w:r w:rsidRPr="008B53A9">
              <w:rPr>
                <w:rFonts w:cs="Calibri"/>
                <w:lang w:val="cs-CZ" w:eastAsia="cs-CZ"/>
              </w:rPr>
              <w:t>C</w:t>
            </w:r>
            <w:r w:rsidR="008E5044" w:rsidRPr="008B53A9">
              <w:rPr>
                <w:rFonts w:cs="Calibri"/>
                <w:lang w:val="cs-CZ" w:eastAsia="cs-CZ"/>
              </w:rPr>
              <w:t>/EFRR/</w:t>
            </w:r>
            <w:r w:rsidRPr="008B53A9">
              <w:rPr>
                <w:rFonts w:cs="Calibri"/>
                <w:lang w:val="cs-CZ" w:eastAsia="cs-CZ"/>
              </w:rPr>
              <w:t>29</w:t>
            </w:r>
          </w:p>
        </w:tc>
        <w:tc>
          <w:tcPr>
            <w:tcW w:w="1201"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jc w:val="left"/>
              <w:rPr>
                <w:rFonts w:cs="Calibri"/>
                <w:lang w:val="cs-CZ" w:eastAsia="cs-CZ"/>
              </w:rPr>
            </w:pPr>
            <w:r w:rsidRPr="008B53A9">
              <w:rPr>
                <w:rFonts w:cs="Calibri"/>
                <w:lang w:val="cs-CZ" w:eastAsia="cs-CZ"/>
              </w:rPr>
              <w:t>Počet podniků, které dostávají podporu pro účely zavádění výrobků nových pro podnik</w:t>
            </w:r>
          </w:p>
        </w:tc>
        <w:tc>
          <w:tcPr>
            <w:tcW w:w="546"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podniky</w:t>
            </w:r>
          </w:p>
        </w:tc>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EFRR</w:t>
            </w:r>
          </w:p>
        </w:tc>
        <w:tc>
          <w:tcPr>
            <w:tcW w:w="60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Méně rozvinuté regiony</w:t>
            </w:r>
          </w:p>
        </w:tc>
        <w:tc>
          <w:tcPr>
            <w:tcW w:w="865"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450</w:t>
            </w:r>
          </w:p>
        </w:tc>
        <w:tc>
          <w:tcPr>
            <w:tcW w:w="38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ŘO</w:t>
            </w:r>
          </w:p>
        </w:tc>
        <w:tc>
          <w:tcPr>
            <w:tcW w:w="63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8B53A9">
            <w:pPr>
              <w:pStyle w:val="Tabulka"/>
              <w:rPr>
                <w:rFonts w:cs="Calibri"/>
                <w:lang w:val="cs-CZ" w:eastAsia="cs-CZ"/>
              </w:rPr>
            </w:pPr>
            <w:r w:rsidRPr="008B53A9">
              <w:rPr>
                <w:rFonts w:cs="Calibri"/>
                <w:lang w:val="cs-CZ" w:eastAsia="cs-CZ"/>
              </w:rPr>
              <w:t>průběžně</w:t>
            </w:r>
          </w:p>
        </w:tc>
      </w:tr>
      <w:tr w:rsidR="006D0B8B" w:rsidRPr="008B53A9">
        <w:trPr>
          <w:trHeight w:val="510"/>
        </w:trPr>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3959C5" w:rsidP="00073A01">
            <w:pPr>
              <w:pStyle w:val="Tabulka"/>
              <w:keepNext/>
              <w:keepLines/>
              <w:jc w:val="left"/>
              <w:rPr>
                <w:rFonts w:cs="Calibri"/>
                <w:lang w:val="cs-CZ" w:eastAsia="cs-CZ"/>
              </w:rPr>
            </w:pPr>
            <w:r w:rsidRPr="008B53A9">
              <w:rPr>
                <w:rFonts w:cs="Calibri"/>
                <w:lang w:val="cs-CZ" w:eastAsia="cs-CZ"/>
              </w:rPr>
              <w:lastRenderedPageBreak/>
              <w:t>22100</w:t>
            </w:r>
          </w:p>
        </w:tc>
        <w:tc>
          <w:tcPr>
            <w:tcW w:w="1201"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073A01">
            <w:pPr>
              <w:pStyle w:val="Tabulka"/>
              <w:keepNext/>
              <w:keepLines/>
              <w:jc w:val="left"/>
              <w:rPr>
                <w:rFonts w:cs="Calibri"/>
                <w:lang w:val="cs-CZ" w:eastAsia="cs-CZ"/>
              </w:rPr>
            </w:pPr>
            <w:r w:rsidRPr="008B53A9">
              <w:rPr>
                <w:rFonts w:cs="Calibri"/>
                <w:lang w:val="cs-CZ" w:eastAsia="cs-CZ"/>
              </w:rPr>
              <w:t>Počet přihlášek na ochranu práv průmyslového vlastnictví</w:t>
            </w:r>
          </w:p>
        </w:tc>
        <w:tc>
          <w:tcPr>
            <w:tcW w:w="546"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073A01">
            <w:pPr>
              <w:pStyle w:val="Tabulka"/>
              <w:keepNext/>
              <w:keepLines/>
              <w:rPr>
                <w:rFonts w:cs="Calibri"/>
                <w:lang w:val="cs-CZ" w:eastAsia="cs-CZ"/>
              </w:rPr>
            </w:pPr>
            <w:r w:rsidRPr="008B53A9">
              <w:rPr>
                <w:rFonts w:cs="Calibri"/>
                <w:lang w:val="cs-CZ" w:eastAsia="cs-CZ"/>
              </w:rPr>
              <w:t>přihlášky</w:t>
            </w:r>
          </w:p>
        </w:tc>
        <w:tc>
          <w:tcPr>
            <w:tcW w:w="38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B71997">
            <w:pPr>
              <w:pStyle w:val="Tabulka"/>
              <w:keepNext/>
              <w:keepLines/>
              <w:rPr>
                <w:rFonts w:cs="Calibri"/>
                <w:lang w:val="cs-CZ" w:eastAsia="cs-CZ"/>
              </w:rPr>
            </w:pPr>
            <w:r w:rsidRPr="008B53A9">
              <w:rPr>
                <w:rFonts w:cs="Calibri"/>
                <w:lang w:val="cs-CZ" w:eastAsia="cs-CZ"/>
              </w:rPr>
              <w:t>EFRR</w:t>
            </w:r>
          </w:p>
        </w:tc>
        <w:tc>
          <w:tcPr>
            <w:tcW w:w="60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400435">
            <w:pPr>
              <w:pStyle w:val="Tabulka"/>
              <w:keepNext/>
              <w:keepLines/>
              <w:rPr>
                <w:rFonts w:cs="Calibri"/>
                <w:lang w:val="cs-CZ" w:eastAsia="cs-CZ"/>
              </w:rPr>
            </w:pPr>
            <w:r w:rsidRPr="008B53A9">
              <w:rPr>
                <w:rFonts w:cs="Calibri"/>
                <w:lang w:val="cs-CZ" w:eastAsia="cs-CZ"/>
              </w:rPr>
              <w:t>Méně rozvinuté regiony</w:t>
            </w:r>
          </w:p>
        </w:tc>
        <w:tc>
          <w:tcPr>
            <w:tcW w:w="865"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994365">
            <w:pPr>
              <w:pStyle w:val="Tabulka"/>
              <w:keepNext/>
              <w:keepLines/>
              <w:rPr>
                <w:rFonts w:cs="Calibri"/>
                <w:lang w:val="cs-CZ" w:eastAsia="cs-CZ"/>
              </w:rPr>
            </w:pPr>
            <w:r w:rsidRPr="008B53A9">
              <w:rPr>
                <w:rFonts w:cs="Calibri"/>
                <w:lang w:val="cs-CZ" w:eastAsia="cs-CZ"/>
              </w:rPr>
              <w:t>600</w:t>
            </w:r>
          </w:p>
        </w:tc>
        <w:tc>
          <w:tcPr>
            <w:tcW w:w="384"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9964FE">
            <w:pPr>
              <w:pStyle w:val="Tabulka"/>
              <w:keepNext/>
              <w:keepLines/>
              <w:rPr>
                <w:rFonts w:cs="Calibri"/>
                <w:lang w:val="cs-CZ" w:eastAsia="cs-CZ"/>
              </w:rPr>
            </w:pPr>
            <w:r w:rsidRPr="008B53A9">
              <w:rPr>
                <w:rFonts w:cs="Calibri"/>
                <w:lang w:val="cs-CZ" w:eastAsia="cs-CZ"/>
              </w:rPr>
              <w:t>Ž/P</w:t>
            </w:r>
          </w:p>
        </w:tc>
        <w:tc>
          <w:tcPr>
            <w:tcW w:w="633" w:type="pct"/>
            <w:tcBorders>
              <w:top w:val="single" w:sz="4" w:space="0" w:color="000000"/>
              <w:left w:val="single" w:sz="4" w:space="0" w:color="000000"/>
              <w:bottom w:val="single" w:sz="4" w:space="0" w:color="000000"/>
              <w:right w:val="single" w:sz="4" w:space="0" w:color="000000"/>
            </w:tcBorders>
            <w:vAlign w:val="center"/>
          </w:tcPr>
          <w:p w:rsidR="006D0B8B" w:rsidRPr="008B53A9" w:rsidRDefault="006D0B8B" w:rsidP="009964FE">
            <w:pPr>
              <w:pStyle w:val="Tabulka"/>
              <w:keepNext/>
              <w:keepLines/>
              <w:rPr>
                <w:rFonts w:cs="Calibri"/>
                <w:lang w:val="cs-CZ" w:eastAsia="cs-CZ"/>
              </w:rPr>
            </w:pPr>
            <w:r w:rsidRPr="008B53A9">
              <w:rPr>
                <w:rFonts w:cs="Calibri"/>
                <w:lang w:val="cs-CZ" w:eastAsia="cs-CZ"/>
              </w:rPr>
              <w:t>průběžně</w:t>
            </w:r>
          </w:p>
        </w:tc>
      </w:tr>
    </w:tbl>
    <w:p w:rsidR="00F262C8" w:rsidRPr="008B53A9" w:rsidRDefault="00AC6E26" w:rsidP="005F43DF">
      <w:pPr>
        <w:pStyle w:val="kapitola2A0"/>
        <w:numPr>
          <w:ilvl w:val="2"/>
          <w:numId w:val="68"/>
        </w:numPr>
      </w:pPr>
      <w:bookmarkStart w:id="32" w:name="_Toc351464367"/>
      <w:bookmarkStart w:id="33" w:name="_Toc391539606"/>
      <w:r w:rsidRPr="008B53A9">
        <w:t>Sociální inovace, nadnárodní spolupráce a přínos k tematickým cílům 1 až 7</w:t>
      </w:r>
      <w:bookmarkEnd w:id="33"/>
      <w:r w:rsidR="00F262C8" w:rsidRPr="008B53A9">
        <w:t xml:space="preserve"> </w:t>
      </w:r>
    </w:p>
    <w:p w:rsidR="004126CC" w:rsidRPr="008B53A9" w:rsidRDefault="008A5FCE" w:rsidP="008A5FCE">
      <w:pPr>
        <w:pStyle w:val="Standardntext"/>
        <w:sectPr w:rsidR="004126CC" w:rsidRPr="008B53A9" w:rsidSect="000E3FBB">
          <w:headerReference w:type="default" r:id="rId21"/>
          <w:footerReference w:type="default" r:id="rId22"/>
          <w:pgSz w:w="11906" w:h="16838"/>
          <w:pgMar w:top="1418" w:right="1276" w:bottom="1276" w:left="1418" w:header="709" w:footer="709" w:gutter="0"/>
          <w:cols w:space="708"/>
          <w:docGrid w:linePitch="272"/>
        </w:sectPr>
      </w:pPr>
      <w:r w:rsidRPr="008B53A9">
        <w:t>Není relevantní pro OP PIK.</w:t>
      </w:r>
    </w:p>
    <w:p w:rsidR="00DB73B5" w:rsidRPr="008B53A9" w:rsidRDefault="00AC6E26" w:rsidP="005F43DF">
      <w:pPr>
        <w:pStyle w:val="kapitola2A0"/>
        <w:numPr>
          <w:ilvl w:val="2"/>
          <w:numId w:val="68"/>
        </w:numPr>
      </w:pPr>
      <w:bookmarkStart w:id="34" w:name="_Toc391539607"/>
      <w:bookmarkEnd w:id="32"/>
      <w:r w:rsidRPr="008B53A9">
        <w:lastRenderedPageBreak/>
        <w:t>Výkonnostní rámec</w:t>
      </w:r>
      <w:bookmarkEnd w:id="34"/>
    </w:p>
    <w:p w:rsidR="00FB2288" w:rsidRPr="008B53A9" w:rsidRDefault="00FB2288" w:rsidP="008F72F4">
      <w:pPr>
        <w:pStyle w:val="Titulek"/>
        <w:keepNext/>
        <w:keepLines/>
        <w:rPr>
          <w:i/>
        </w:rPr>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6</w:t>
      </w:r>
      <w:r w:rsidR="00C3289B" w:rsidRPr="008B53A9">
        <w:rPr>
          <w:noProof/>
        </w:rPr>
        <w:fldChar w:fldCharType="end"/>
      </w:r>
      <w:r w:rsidRPr="008B53A9">
        <w:t xml:space="preserve">: </w:t>
      </w:r>
      <w:r w:rsidR="00AC6E26" w:rsidRPr="008B53A9">
        <w:t>Výkonnostní rámec prioritní osy</w:t>
      </w:r>
      <w:r w:rsidRPr="008B53A9">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559"/>
        <w:gridCol w:w="1154"/>
        <w:gridCol w:w="1670"/>
        <w:gridCol w:w="1331"/>
        <w:gridCol w:w="778"/>
        <w:gridCol w:w="1191"/>
        <w:gridCol w:w="1194"/>
        <w:gridCol w:w="1477"/>
        <w:gridCol w:w="664"/>
        <w:gridCol w:w="2307"/>
      </w:tblGrid>
      <w:tr w:rsidR="00D16DE9" w:rsidRPr="008B53A9">
        <w:tc>
          <w:tcPr>
            <w:tcW w:w="325" w:type="pct"/>
            <w:shd w:val="clear" w:color="auto" w:fill="B8CCE4"/>
            <w:vAlign w:val="center"/>
          </w:tcPr>
          <w:p w:rsidR="00A8261C" w:rsidRPr="008B53A9" w:rsidRDefault="00AE32DE" w:rsidP="00D16DE9">
            <w:pPr>
              <w:pStyle w:val="Tabulka"/>
              <w:keepNext/>
              <w:keepLines/>
              <w:rPr>
                <w:rFonts w:cs="Calibri"/>
                <w:b/>
                <w:lang w:val="cs-CZ" w:eastAsia="cs-CZ"/>
              </w:rPr>
            </w:pPr>
            <w:r w:rsidRPr="008B53A9">
              <w:rPr>
                <w:rFonts w:cs="Calibri"/>
                <w:b/>
                <w:lang w:val="cs-CZ" w:eastAsia="cs-CZ"/>
              </w:rPr>
              <w:t>Prioritní osa</w:t>
            </w:r>
          </w:p>
        </w:tc>
        <w:tc>
          <w:tcPr>
            <w:tcW w:w="571" w:type="pct"/>
            <w:shd w:val="clear" w:color="auto" w:fill="B8CCE4"/>
            <w:vAlign w:val="center"/>
          </w:tcPr>
          <w:p w:rsidR="00A8261C" w:rsidRPr="008B53A9" w:rsidRDefault="00A8261C" w:rsidP="00D16DE9">
            <w:pPr>
              <w:pStyle w:val="Tabulka"/>
              <w:keepNext/>
              <w:keepLines/>
              <w:rPr>
                <w:rFonts w:cs="Calibri"/>
                <w:b/>
                <w:lang w:val="cs-CZ" w:eastAsia="cs-CZ"/>
              </w:rPr>
            </w:pPr>
            <w:r w:rsidRPr="008B53A9">
              <w:rPr>
                <w:rFonts w:cs="Calibri"/>
                <w:b/>
                <w:lang w:val="cs-CZ" w:eastAsia="cs-CZ"/>
              </w:rPr>
              <w:t>Typ ukazatele</w:t>
            </w:r>
          </w:p>
          <w:p w:rsidR="00A8261C" w:rsidRPr="008B53A9" w:rsidRDefault="00A8261C" w:rsidP="00D16DE9">
            <w:pPr>
              <w:pStyle w:val="Tabulka"/>
              <w:keepNext/>
              <w:keepLines/>
              <w:rPr>
                <w:rFonts w:cs="Calibri"/>
                <w:b/>
                <w:lang w:val="cs-CZ" w:eastAsia="cs-CZ"/>
              </w:rPr>
            </w:pPr>
            <w:r w:rsidRPr="008B53A9">
              <w:rPr>
                <w:rFonts w:cs="Calibri"/>
                <w:b/>
                <w:lang w:val="cs-CZ" w:eastAsia="cs-CZ"/>
              </w:rPr>
              <w:t>(klíčový krok provádění, finanční výstup nebo popřípadě ukazatel výsledků)</w:t>
            </w:r>
          </w:p>
        </w:tc>
        <w:tc>
          <w:tcPr>
            <w:tcW w:w="216" w:type="pct"/>
            <w:shd w:val="clear" w:color="auto" w:fill="B8CCE4"/>
            <w:vAlign w:val="center"/>
          </w:tcPr>
          <w:p w:rsidR="00A8261C" w:rsidRPr="008B53A9" w:rsidRDefault="00A8261C" w:rsidP="00D16DE9">
            <w:pPr>
              <w:pStyle w:val="Tabulka"/>
              <w:keepNext/>
              <w:keepLines/>
              <w:rPr>
                <w:rFonts w:cs="Calibri"/>
                <w:b/>
                <w:lang w:val="cs-CZ" w:eastAsia="cs-CZ"/>
              </w:rPr>
            </w:pPr>
            <w:r w:rsidRPr="008B53A9">
              <w:rPr>
                <w:rFonts w:cs="Calibri"/>
                <w:b/>
                <w:lang w:val="cs-CZ" w:eastAsia="cs-CZ"/>
              </w:rPr>
              <w:t>ID</w:t>
            </w:r>
          </w:p>
        </w:tc>
        <w:tc>
          <w:tcPr>
            <w:tcW w:w="583" w:type="pct"/>
            <w:shd w:val="clear" w:color="auto" w:fill="B8CCE4"/>
            <w:tcMar>
              <w:top w:w="0" w:type="dxa"/>
              <w:left w:w="108" w:type="dxa"/>
              <w:bottom w:w="0" w:type="dxa"/>
              <w:right w:w="108" w:type="dxa"/>
            </w:tcMar>
            <w:vAlign w:val="center"/>
          </w:tcPr>
          <w:p w:rsidR="00A8261C" w:rsidRPr="008B53A9" w:rsidRDefault="00AE32DE" w:rsidP="008F72F4">
            <w:pPr>
              <w:pStyle w:val="Tabulka"/>
              <w:keepNext/>
              <w:keepLines/>
              <w:rPr>
                <w:rFonts w:cs="Calibri"/>
                <w:b/>
                <w:lang w:val="cs-CZ" w:eastAsia="cs-CZ"/>
              </w:rPr>
            </w:pPr>
            <w:r w:rsidRPr="008B53A9">
              <w:rPr>
                <w:rFonts w:cs="Calibri"/>
                <w:b/>
                <w:lang w:val="cs-CZ" w:eastAsia="cs-CZ"/>
              </w:rPr>
              <w:t>Ukazatel nebo klíčový krok provádění</w:t>
            </w:r>
          </w:p>
        </w:tc>
        <w:tc>
          <w:tcPr>
            <w:tcW w:w="491" w:type="pct"/>
            <w:shd w:val="clear" w:color="auto" w:fill="B8CCE4"/>
            <w:tcMar>
              <w:top w:w="0" w:type="dxa"/>
              <w:left w:w="108" w:type="dxa"/>
              <w:bottom w:w="0" w:type="dxa"/>
              <w:right w:w="108" w:type="dxa"/>
            </w:tcMar>
            <w:vAlign w:val="center"/>
          </w:tcPr>
          <w:p w:rsidR="00A8261C" w:rsidRPr="008B53A9" w:rsidRDefault="00AE32DE" w:rsidP="008F72F4">
            <w:pPr>
              <w:pStyle w:val="Tabulka"/>
              <w:keepNext/>
              <w:keepLines/>
              <w:rPr>
                <w:rFonts w:cs="Calibri"/>
                <w:b/>
                <w:lang w:val="cs-CZ" w:eastAsia="cs-CZ"/>
              </w:rPr>
            </w:pPr>
            <w:r w:rsidRPr="008B53A9">
              <w:rPr>
                <w:rFonts w:cs="Calibri"/>
                <w:b/>
                <w:lang w:val="cs-CZ" w:eastAsia="cs-CZ"/>
              </w:rPr>
              <w:t>Měrná jednotka (použije-li se)</w:t>
            </w:r>
          </w:p>
        </w:tc>
        <w:tc>
          <w:tcPr>
            <w:tcW w:w="297" w:type="pct"/>
            <w:shd w:val="clear" w:color="auto" w:fill="B8CCE4"/>
            <w:tcMar>
              <w:top w:w="0" w:type="dxa"/>
              <w:left w:w="108" w:type="dxa"/>
              <w:bottom w:w="0" w:type="dxa"/>
              <w:right w:w="108" w:type="dxa"/>
            </w:tcMar>
            <w:vAlign w:val="center"/>
          </w:tcPr>
          <w:p w:rsidR="00A8261C" w:rsidRPr="008B53A9" w:rsidRDefault="00A8261C" w:rsidP="008F72F4">
            <w:pPr>
              <w:pStyle w:val="Tabulka"/>
              <w:keepNext/>
              <w:keepLines/>
              <w:rPr>
                <w:rFonts w:cs="Calibri"/>
                <w:b/>
                <w:lang w:val="cs-CZ" w:eastAsia="cs-CZ"/>
              </w:rPr>
            </w:pPr>
            <w:r w:rsidRPr="008B53A9">
              <w:rPr>
                <w:rFonts w:cs="Calibri"/>
                <w:b/>
                <w:lang w:val="cs-CZ" w:eastAsia="cs-CZ"/>
              </w:rPr>
              <w:t>Fond</w:t>
            </w:r>
          </w:p>
        </w:tc>
        <w:tc>
          <w:tcPr>
            <w:tcW w:w="442" w:type="pct"/>
            <w:shd w:val="clear" w:color="auto" w:fill="B8CCE4"/>
            <w:tcMar>
              <w:top w:w="0" w:type="dxa"/>
              <w:left w:w="108" w:type="dxa"/>
              <w:bottom w:w="0" w:type="dxa"/>
              <w:right w:w="108" w:type="dxa"/>
            </w:tcMar>
            <w:vAlign w:val="center"/>
          </w:tcPr>
          <w:p w:rsidR="00A8261C" w:rsidRPr="008B53A9" w:rsidRDefault="00AE32DE" w:rsidP="008F72F4">
            <w:pPr>
              <w:pStyle w:val="Tabulka"/>
              <w:keepNext/>
              <w:keepLines/>
              <w:rPr>
                <w:rFonts w:cs="Calibri"/>
                <w:b/>
                <w:lang w:val="cs-CZ" w:eastAsia="cs-CZ"/>
              </w:rPr>
            </w:pPr>
            <w:r w:rsidRPr="008B53A9">
              <w:rPr>
                <w:rFonts w:cs="Calibri"/>
                <w:b/>
                <w:lang w:val="cs-CZ" w:eastAsia="cs-CZ"/>
              </w:rPr>
              <w:t>Kategorie regionů</w:t>
            </w:r>
          </w:p>
        </w:tc>
        <w:tc>
          <w:tcPr>
            <w:tcW w:w="443" w:type="pct"/>
            <w:shd w:val="clear" w:color="auto" w:fill="B8CCE4"/>
            <w:vAlign w:val="center"/>
          </w:tcPr>
          <w:p w:rsidR="00A8261C" w:rsidRPr="008B53A9" w:rsidRDefault="00A8261C" w:rsidP="008F72F4">
            <w:pPr>
              <w:pStyle w:val="Tabulka"/>
              <w:keepNext/>
              <w:keepLines/>
              <w:rPr>
                <w:rFonts w:cs="Calibri"/>
                <w:b/>
                <w:lang w:val="cs-CZ" w:eastAsia="cs-CZ"/>
              </w:rPr>
            </w:pPr>
            <w:r w:rsidRPr="008B53A9">
              <w:rPr>
                <w:rFonts w:cs="Calibri"/>
                <w:b/>
                <w:lang w:val="cs-CZ" w:eastAsia="cs-CZ"/>
              </w:rPr>
              <w:t>Milník pro rok 2018</w:t>
            </w:r>
          </w:p>
        </w:tc>
        <w:tc>
          <w:tcPr>
            <w:tcW w:w="542" w:type="pct"/>
            <w:shd w:val="clear" w:color="auto" w:fill="B8CCE4"/>
            <w:tcMar>
              <w:top w:w="0" w:type="dxa"/>
              <w:left w:w="108" w:type="dxa"/>
              <w:bottom w:w="0" w:type="dxa"/>
              <w:right w:w="108" w:type="dxa"/>
            </w:tcMar>
            <w:vAlign w:val="center"/>
          </w:tcPr>
          <w:p w:rsidR="00A8261C" w:rsidRPr="008B53A9" w:rsidRDefault="00AE32DE" w:rsidP="008F72F4">
            <w:pPr>
              <w:pStyle w:val="Tabulka"/>
              <w:keepNext/>
              <w:keepLines/>
              <w:rPr>
                <w:rFonts w:cs="Calibri"/>
                <w:b/>
                <w:lang w:val="cs-CZ" w:eastAsia="cs-CZ"/>
              </w:rPr>
            </w:pPr>
            <w:r w:rsidRPr="008B53A9">
              <w:rPr>
                <w:rFonts w:cs="Calibri"/>
                <w:b/>
                <w:lang w:val="cs-CZ" w:eastAsia="cs-CZ"/>
              </w:rPr>
              <w:t xml:space="preserve">Konečný cíl </w:t>
            </w:r>
            <w:r w:rsidR="00A8261C" w:rsidRPr="008B53A9">
              <w:rPr>
                <w:rFonts w:cs="Calibri"/>
                <w:b/>
                <w:lang w:val="cs-CZ" w:eastAsia="cs-CZ"/>
              </w:rPr>
              <w:t>(2023)</w:t>
            </w:r>
          </w:p>
        </w:tc>
        <w:tc>
          <w:tcPr>
            <w:tcW w:w="246" w:type="pct"/>
            <w:shd w:val="clear" w:color="auto" w:fill="B8CCE4"/>
            <w:vAlign w:val="center"/>
          </w:tcPr>
          <w:p w:rsidR="00A8261C" w:rsidRPr="008B53A9" w:rsidRDefault="00A8261C" w:rsidP="008F72F4">
            <w:pPr>
              <w:pStyle w:val="Tabulka"/>
              <w:keepNext/>
              <w:keepLines/>
              <w:rPr>
                <w:rFonts w:cs="Calibri"/>
                <w:b/>
                <w:lang w:val="cs-CZ" w:eastAsia="cs-CZ"/>
              </w:rPr>
            </w:pPr>
            <w:r w:rsidRPr="008B53A9">
              <w:rPr>
                <w:rFonts w:cs="Calibri"/>
                <w:b/>
                <w:lang w:val="cs-CZ" w:eastAsia="cs-CZ"/>
              </w:rPr>
              <w:t>Zdroj dat</w:t>
            </w:r>
          </w:p>
        </w:tc>
        <w:tc>
          <w:tcPr>
            <w:tcW w:w="844" w:type="pct"/>
            <w:shd w:val="clear" w:color="auto" w:fill="B8CCE4"/>
            <w:vAlign w:val="center"/>
          </w:tcPr>
          <w:p w:rsidR="00A8261C" w:rsidRPr="008B53A9" w:rsidRDefault="00AE32DE" w:rsidP="008F72F4">
            <w:pPr>
              <w:pStyle w:val="Tabulka"/>
              <w:keepNext/>
              <w:keepLines/>
              <w:rPr>
                <w:rFonts w:cs="Calibri"/>
                <w:b/>
                <w:lang w:val="cs-CZ" w:eastAsia="cs-CZ"/>
              </w:rPr>
            </w:pPr>
            <w:r w:rsidRPr="008B53A9">
              <w:rPr>
                <w:rFonts w:cs="Calibri"/>
                <w:b/>
                <w:lang w:val="cs-CZ" w:eastAsia="cs-CZ"/>
              </w:rPr>
              <w:t>Popřípadě vysvětlení relevantnosti ukazatele</w:t>
            </w:r>
          </w:p>
        </w:tc>
      </w:tr>
      <w:tr w:rsidR="00D16DE9" w:rsidRPr="008B53A9">
        <w:trPr>
          <w:trHeight w:val="957"/>
        </w:trPr>
        <w:tc>
          <w:tcPr>
            <w:tcW w:w="325" w:type="pct"/>
            <w:vAlign w:val="center"/>
          </w:tcPr>
          <w:p w:rsidR="00A8261C" w:rsidRPr="008B53A9" w:rsidRDefault="00AE32DE" w:rsidP="00D16DE9">
            <w:pPr>
              <w:pStyle w:val="Tabulka"/>
              <w:keepNext/>
              <w:keepLines/>
              <w:rPr>
                <w:rFonts w:cs="Calibri"/>
                <w:lang w:val="cs-CZ" w:eastAsia="cs-CZ"/>
              </w:rPr>
            </w:pPr>
            <w:r w:rsidRPr="008B53A9">
              <w:rPr>
                <w:rFonts w:cs="Calibri"/>
                <w:lang w:val="cs-CZ" w:eastAsia="cs-CZ"/>
              </w:rPr>
              <w:t>PO 1</w:t>
            </w:r>
          </w:p>
        </w:tc>
        <w:tc>
          <w:tcPr>
            <w:tcW w:w="571" w:type="pct"/>
            <w:vAlign w:val="center"/>
          </w:tcPr>
          <w:p w:rsidR="00A8261C" w:rsidRPr="008B53A9" w:rsidRDefault="00A8261C" w:rsidP="00D16DE9">
            <w:pPr>
              <w:pStyle w:val="Tabulka"/>
              <w:keepNext/>
              <w:keepLines/>
              <w:rPr>
                <w:rFonts w:cs="Calibri"/>
                <w:lang w:val="cs-CZ" w:eastAsia="cs-CZ"/>
              </w:rPr>
            </w:pPr>
            <w:r w:rsidRPr="008B53A9">
              <w:rPr>
                <w:rFonts w:cs="Calibri"/>
                <w:lang w:val="cs-CZ" w:eastAsia="cs-CZ"/>
              </w:rPr>
              <w:t>finanční</w:t>
            </w:r>
          </w:p>
        </w:tc>
        <w:tc>
          <w:tcPr>
            <w:tcW w:w="216" w:type="pct"/>
            <w:vAlign w:val="center"/>
          </w:tcPr>
          <w:p w:rsidR="00A8261C" w:rsidRPr="008B53A9" w:rsidRDefault="00D16DE9" w:rsidP="00D16DE9">
            <w:pPr>
              <w:pStyle w:val="Tabulka"/>
              <w:keepNext/>
              <w:keepLines/>
              <w:rPr>
                <w:rFonts w:cs="Calibri"/>
                <w:lang w:val="cs-CZ" w:eastAsia="cs-CZ"/>
              </w:rPr>
            </w:pPr>
            <w:r w:rsidRPr="008B53A9">
              <w:rPr>
                <w:rFonts w:cs="Calibri"/>
                <w:lang w:val="cs-CZ" w:eastAsia="cs-CZ"/>
              </w:rPr>
              <w:t>N/A</w:t>
            </w:r>
          </w:p>
        </w:tc>
        <w:tc>
          <w:tcPr>
            <w:tcW w:w="583" w:type="pct"/>
            <w:shd w:val="clear" w:color="auto" w:fill="auto"/>
            <w:tcMar>
              <w:top w:w="0" w:type="dxa"/>
              <w:left w:w="108" w:type="dxa"/>
              <w:bottom w:w="0" w:type="dxa"/>
              <w:right w:w="108" w:type="dxa"/>
            </w:tcMar>
            <w:vAlign w:val="center"/>
          </w:tcPr>
          <w:p w:rsidR="00A8261C" w:rsidRPr="008B53A9" w:rsidRDefault="00775E69" w:rsidP="008F72F4">
            <w:pPr>
              <w:pStyle w:val="Tabulka"/>
              <w:keepNext/>
              <w:keepLines/>
              <w:rPr>
                <w:rFonts w:cs="Calibri"/>
                <w:lang w:val="cs-CZ" w:eastAsia="cs-CZ"/>
              </w:rPr>
            </w:pPr>
            <w:r w:rsidRPr="008B53A9">
              <w:rPr>
                <w:rFonts w:cs="Calibri"/>
                <w:lang w:val="cs-CZ" w:eastAsia="cs-CZ"/>
              </w:rPr>
              <w:t>Certifikované finanční prostředky</w:t>
            </w:r>
          </w:p>
        </w:tc>
        <w:tc>
          <w:tcPr>
            <w:tcW w:w="491" w:type="pct"/>
            <w:shd w:val="clear" w:color="auto" w:fill="auto"/>
            <w:tcMar>
              <w:top w:w="0" w:type="dxa"/>
              <w:left w:w="108" w:type="dxa"/>
              <w:bottom w:w="0" w:type="dxa"/>
              <w:right w:w="108" w:type="dxa"/>
            </w:tcMar>
            <w:vAlign w:val="center"/>
          </w:tcPr>
          <w:p w:rsidR="00A8261C" w:rsidRPr="008B53A9" w:rsidRDefault="00A8261C" w:rsidP="008F72F4">
            <w:pPr>
              <w:pStyle w:val="Tabulka"/>
              <w:keepNext/>
              <w:keepLines/>
              <w:rPr>
                <w:rFonts w:cs="Calibri"/>
                <w:lang w:val="cs-CZ" w:eastAsia="cs-CZ"/>
              </w:rPr>
            </w:pPr>
            <w:r w:rsidRPr="008B53A9">
              <w:rPr>
                <w:rFonts w:cs="Calibri"/>
                <w:lang w:val="cs-CZ" w:eastAsia="cs-CZ"/>
              </w:rPr>
              <w:t>EUR</w:t>
            </w:r>
          </w:p>
        </w:tc>
        <w:tc>
          <w:tcPr>
            <w:tcW w:w="297" w:type="pct"/>
            <w:shd w:val="clear" w:color="auto" w:fill="auto"/>
            <w:tcMar>
              <w:top w:w="0" w:type="dxa"/>
              <w:left w:w="108" w:type="dxa"/>
              <w:bottom w:w="0" w:type="dxa"/>
              <w:right w:w="108" w:type="dxa"/>
            </w:tcMar>
            <w:vAlign w:val="center"/>
          </w:tcPr>
          <w:p w:rsidR="00A8261C" w:rsidRPr="008B53A9" w:rsidRDefault="00A8261C" w:rsidP="008F72F4">
            <w:pPr>
              <w:pStyle w:val="Tabulka"/>
              <w:keepNext/>
              <w:keepLines/>
              <w:rPr>
                <w:rFonts w:cs="Calibri"/>
                <w:lang w:val="cs-CZ" w:eastAsia="cs-CZ"/>
              </w:rPr>
            </w:pPr>
            <w:r w:rsidRPr="008B53A9">
              <w:rPr>
                <w:rFonts w:cs="Calibri"/>
                <w:lang w:val="cs-CZ" w:eastAsia="cs-CZ"/>
              </w:rPr>
              <w:t>EFRR</w:t>
            </w:r>
          </w:p>
        </w:tc>
        <w:tc>
          <w:tcPr>
            <w:tcW w:w="442" w:type="pct"/>
            <w:shd w:val="clear" w:color="auto" w:fill="auto"/>
            <w:tcMar>
              <w:top w:w="0" w:type="dxa"/>
              <w:left w:w="108" w:type="dxa"/>
              <w:bottom w:w="0" w:type="dxa"/>
              <w:right w:w="108" w:type="dxa"/>
            </w:tcMar>
            <w:vAlign w:val="center"/>
          </w:tcPr>
          <w:p w:rsidR="00A8261C" w:rsidRPr="008B53A9" w:rsidRDefault="00A8261C" w:rsidP="008F72F4">
            <w:pPr>
              <w:keepNext/>
              <w:keepLines/>
              <w:jc w:val="center"/>
              <w:rPr>
                <w:sz w:val="24"/>
                <w:szCs w:val="24"/>
              </w:rPr>
            </w:pPr>
            <w:r w:rsidRPr="008B53A9">
              <w:rPr>
                <w:sz w:val="24"/>
                <w:szCs w:val="24"/>
              </w:rPr>
              <w:t>Méně rozvinuté regiony</w:t>
            </w:r>
          </w:p>
        </w:tc>
        <w:tc>
          <w:tcPr>
            <w:tcW w:w="443" w:type="pct"/>
            <w:vAlign w:val="center"/>
          </w:tcPr>
          <w:p w:rsidR="00A8261C" w:rsidRPr="008B53A9" w:rsidRDefault="000A2CE5" w:rsidP="008F72F4">
            <w:pPr>
              <w:pStyle w:val="Tabulka"/>
              <w:keepNext/>
              <w:keepLines/>
              <w:jc w:val="left"/>
              <w:rPr>
                <w:rFonts w:cs="Calibri"/>
                <w:lang w:val="cs-CZ" w:eastAsia="cs-CZ"/>
              </w:rPr>
            </w:pPr>
            <w:r w:rsidRPr="008B53A9">
              <w:rPr>
                <w:rFonts w:cs="Calibri"/>
                <w:lang w:val="cs-CZ" w:eastAsia="cs-CZ"/>
              </w:rPr>
              <w:t>180 000 000</w:t>
            </w:r>
          </w:p>
        </w:tc>
        <w:tc>
          <w:tcPr>
            <w:tcW w:w="542" w:type="pct"/>
            <w:shd w:val="clear" w:color="auto" w:fill="auto"/>
            <w:tcMar>
              <w:top w:w="0" w:type="dxa"/>
              <w:left w:w="108" w:type="dxa"/>
              <w:bottom w:w="0" w:type="dxa"/>
              <w:right w:w="108" w:type="dxa"/>
            </w:tcMar>
            <w:vAlign w:val="center"/>
          </w:tcPr>
          <w:p w:rsidR="00A8261C" w:rsidRPr="008B53A9" w:rsidRDefault="00BA228B" w:rsidP="000A2CE5">
            <w:pPr>
              <w:pStyle w:val="Tabulka"/>
              <w:keepNext/>
              <w:keepLines/>
              <w:rPr>
                <w:rFonts w:cs="Calibri"/>
                <w:lang w:val="cs-CZ" w:eastAsia="cs-CZ"/>
              </w:rPr>
            </w:pPr>
            <w:r w:rsidRPr="008B53A9">
              <w:rPr>
                <w:rFonts w:cs="Calibri"/>
                <w:lang w:val="cs-CZ" w:eastAsia="cs-CZ"/>
              </w:rPr>
              <w:t>1 337 979 411</w:t>
            </w:r>
          </w:p>
        </w:tc>
        <w:tc>
          <w:tcPr>
            <w:tcW w:w="246" w:type="pct"/>
            <w:vAlign w:val="center"/>
          </w:tcPr>
          <w:p w:rsidR="00A8261C" w:rsidRPr="008B53A9" w:rsidRDefault="001B0574" w:rsidP="008F72F4">
            <w:pPr>
              <w:pStyle w:val="Tabulka"/>
              <w:keepNext/>
              <w:keepLines/>
              <w:rPr>
                <w:rFonts w:cs="Calibri"/>
                <w:lang w:val="cs-CZ" w:eastAsia="cs-CZ"/>
              </w:rPr>
            </w:pPr>
            <w:r w:rsidRPr="008B53A9">
              <w:rPr>
                <w:rFonts w:cs="Calibri"/>
                <w:lang w:val="cs-CZ" w:eastAsia="cs-CZ"/>
              </w:rPr>
              <w:t>ŘO</w:t>
            </w:r>
          </w:p>
        </w:tc>
        <w:tc>
          <w:tcPr>
            <w:tcW w:w="844" w:type="pct"/>
            <w:vAlign w:val="center"/>
          </w:tcPr>
          <w:p w:rsidR="00A8261C" w:rsidRPr="008B53A9" w:rsidRDefault="00775E69" w:rsidP="008F72F4">
            <w:pPr>
              <w:pStyle w:val="Tabulka"/>
              <w:keepNext/>
              <w:keepLines/>
              <w:rPr>
                <w:rFonts w:cs="Calibri"/>
                <w:lang w:val="cs-CZ" w:eastAsia="cs-CZ"/>
              </w:rPr>
            </w:pPr>
            <w:r w:rsidRPr="008B53A9">
              <w:rPr>
                <w:rFonts w:cs="Calibri"/>
                <w:lang w:val="cs-CZ" w:eastAsia="cs-CZ"/>
              </w:rPr>
              <w:t>Objem celkových způsobilých výdajů zaslaných do účetního systému certifikačního orgánu a certifikovaných</w:t>
            </w:r>
            <w:r w:rsidR="00C70BA9" w:rsidRPr="008B53A9">
              <w:rPr>
                <w:rFonts w:cs="Calibri"/>
                <w:lang w:val="cs-CZ" w:eastAsia="cs-CZ"/>
              </w:rPr>
              <w:t xml:space="preserve"> certifikačním orgánem</w:t>
            </w:r>
            <w:r w:rsidR="000620DB" w:rsidRPr="008B53A9">
              <w:rPr>
                <w:rFonts w:cs="Calibri"/>
                <w:lang w:val="cs-CZ" w:eastAsia="cs-CZ"/>
              </w:rPr>
              <w:t>.</w:t>
            </w:r>
          </w:p>
        </w:tc>
      </w:tr>
      <w:tr w:rsidR="00D16DE9" w:rsidRPr="008B53A9">
        <w:tc>
          <w:tcPr>
            <w:tcW w:w="325" w:type="pct"/>
            <w:vAlign w:val="center"/>
          </w:tcPr>
          <w:p w:rsidR="00194795" w:rsidRPr="008B53A9" w:rsidRDefault="00194795" w:rsidP="00D16DE9">
            <w:pPr>
              <w:pStyle w:val="Tabulka"/>
              <w:rPr>
                <w:rFonts w:cs="Calibri"/>
                <w:lang w:val="cs-CZ" w:eastAsia="cs-CZ"/>
              </w:rPr>
            </w:pPr>
            <w:r w:rsidRPr="008B53A9">
              <w:rPr>
                <w:rFonts w:cs="Calibri"/>
                <w:lang w:val="cs-CZ" w:eastAsia="cs-CZ"/>
              </w:rPr>
              <w:t>PO 1</w:t>
            </w:r>
          </w:p>
        </w:tc>
        <w:tc>
          <w:tcPr>
            <w:tcW w:w="571" w:type="pct"/>
            <w:vAlign w:val="center"/>
          </w:tcPr>
          <w:p w:rsidR="00194795" w:rsidRPr="008B53A9" w:rsidRDefault="00194795" w:rsidP="00D16DE9">
            <w:pPr>
              <w:pStyle w:val="Tabulka"/>
              <w:rPr>
                <w:rFonts w:cs="Calibri"/>
                <w:lang w:val="cs-CZ" w:eastAsia="cs-CZ"/>
              </w:rPr>
            </w:pPr>
            <w:r w:rsidRPr="008B53A9">
              <w:rPr>
                <w:rFonts w:cs="Calibri"/>
                <w:lang w:val="cs-CZ" w:eastAsia="cs-CZ"/>
              </w:rPr>
              <w:t>výstupový</w:t>
            </w:r>
          </w:p>
        </w:tc>
        <w:tc>
          <w:tcPr>
            <w:tcW w:w="216" w:type="pct"/>
            <w:vAlign w:val="center"/>
          </w:tcPr>
          <w:p w:rsidR="00194795" w:rsidRPr="008B53A9" w:rsidRDefault="00194795" w:rsidP="00D16DE9">
            <w:pPr>
              <w:pStyle w:val="Tabulka"/>
              <w:rPr>
                <w:rFonts w:cs="Calibri"/>
                <w:lang w:val="cs-CZ" w:eastAsia="cs-CZ"/>
              </w:rPr>
            </w:pPr>
            <w:r w:rsidRPr="008B53A9">
              <w:rPr>
                <w:rFonts w:cs="Calibri"/>
                <w:lang w:val="cs-CZ" w:eastAsia="cs-CZ"/>
              </w:rPr>
              <w:t>C</w:t>
            </w:r>
            <w:r w:rsidR="00CE0853" w:rsidRPr="008B53A9">
              <w:rPr>
                <w:rFonts w:cs="Calibri"/>
                <w:lang w:val="cs-CZ" w:eastAsia="cs-CZ"/>
              </w:rPr>
              <w:t>/EFRR/0</w:t>
            </w:r>
            <w:r w:rsidRPr="008B53A9">
              <w:rPr>
                <w:rFonts w:cs="Calibri"/>
                <w:lang w:val="cs-CZ" w:eastAsia="cs-CZ"/>
              </w:rPr>
              <w:t>1</w:t>
            </w:r>
          </w:p>
        </w:tc>
        <w:tc>
          <w:tcPr>
            <w:tcW w:w="583" w:type="pct"/>
            <w:shd w:val="clear" w:color="auto" w:fill="auto"/>
            <w:tcMar>
              <w:top w:w="0" w:type="dxa"/>
              <w:left w:w="108" w:type="dxa"/>
              <w:bottom w:w="0" w:type="dxa"/>
              <w:right w:w="108" w:type="dxa"/>
            </w:tcMar>
            <w:vAlign w:val="center"/>
          </w:tcPr>
          <w:p w:rsidR="00194795" w:rsidRPr="008B53A9" w:rsidRDefault="00194795" w:rsidP="003D33BE">
            <w:pPr>
              <w:pStyle w:val="Tabulka"/>
              <w:rPr>
                <w:rFonts w:cs="Calibri"/>
                <w:lang w:val="cs-CZ" w:eastAsia="cs-CZ"/>
              </w:rPr>
            </w:pPr>
            <w:r w:rsidRPr="008B53A9">
              <w:rPr>
                <w:rFonts w:cs="Calibri"/>
                <w:lang w:val="cs-CZ" w:eastAsia="cs-CZ"/>
              </w:rPr>
              <w:t>Počet podniků pobírajících podporu</w:t>
            </w:r>
          </w:p>
        </w:tc>
        <w:tc>
          <w:tcPr>
            <w:tcW w:w="491" w:type="pct"/>
            <w:shd w:val="clear" w:color="auto" w:fill="auto"/>
            <w:tcMar>
              <w:top w:w="0" w:type="dxa"/>
              <w:left w:w="108" w:type="dxa"/>
              <w:bottom w:w="0" w:type="dxa"/>
              <w:right w:w="108" w:type="dxa"/>
            </w:tcMar>
            <w:vAlign w:val="center"/>
          </w:tcPr>
          <w:p w:rsidR="00194795" w:rsidRPr="008B53A9" w:rsidRDefault="00194795" w:rsidP="003D33BE">
            <w:pPr>
              <w:pStyle w:val="Tabulka"/>
              <w:rPr>
                <w:rFonts w:cs="Calibri"/>
                <w:lang w:val="cs-CZ" w:eastAsia="cs-CZ"/>
              </w:rPr>
            </w:pPr>
            <w:r w:rsidRPr="008B53A9">
              <w:rPr>
                <w:rFonts w:cs="Calibri"/>
                <w:lang w:val="cs-CZ" w:eastAsia="cs-CZ"/>
              </w:rPr>
              <w:t>Podniky</w:t>
            </w:r>
          </w:p>
        </w:tc>
        <w:tc>
          <w:tcPr>
            <w:tcW w:w="297" w:type="pct"/>
            <w:shd w:val="clear" w:color="auto" w:fill="auto"/>
            <w:tcMar>
              <w:top w:w="0" w:type="dxa"/>
              <w:left w:w="108" w:type="dxa"/>
              <w:bottom w:w="0" w:type="dxa"/>
              <w:right w:w="108" w:type="dxa"/>
            </w:tcMar>
            <w:vAlign w:val="center"/>
          </w:tcPr>
          <w:p w:rsidR="00194795" w:rsidRPr="008B53A9" w:rsidRDefault="00194795" w:rsidP="003D33BE">
            <w:pPr>
              <w:pStyle w:val="Tabulka"/>
              <w:rPr>
                <w:rFonts w:cs="Calibri"/>
                <w:lang w:val="cs-CZ" w:eastAsia="cs-CZ"/>
              </w:rPr>
            </w:pPr>
            <w:r w:rsidRPr="008B53A9">
              <w:rPr>
                <w:rFonts w:cs="Calibri"/>
                <w:lang w:val="cs-CZ" w:eastAsia="cs-CZ"/>
              </w:rPr>
              <w:t>EFRR</w:t>
            </w:r>
          </w:p>
        </w:tc>
        <w:tc>
          <w:tcPr>
            <w:tcW w:w="442" w:type="pct"/>
            <w:shd w:val="clear" w:color="auto" w:fill="auto"/>
            <w:tcMar>
              <w:top w:w="0" w:type="dxa"/>
              <w:left w:w="108" w:type="dxa"/>
              <w:bottom w:w="0" w:type="dxa"/>
              <w:right w:w="108" w:type="dxa"/>
            </w:tcMar>
            <w:vAlign w:val="center"/>
          </w:tcPr>
          <w:p w:rsidR="00194795" w:rsidRPr="008B53A9" w:rsidRDefault="00194795" w:rsidP="00295899">
            <w:pPr>
              <w:jc w:val="center"/>
              <w:rPr>
                <w:sz w:val="24"/>
                <w:szCs w:val="24"/>
              </w:rPr>
            </w:pPr>
            <w:r w:rsidRPr="008B53A9">
              <w:rPr>
                <w:sz w:val="24"/>
                <w:szCs w:val="24"/>
              </w:rPr>
              <w:t>Méně rozvinuté regiony</w:t>
            </w:r>
          </w:p>
        </w:tc>
        <w:tc>
          <w:tcPr>
            <w:tcW w:w="443" w:type="pct"/>
            <w:vAlign w:val="center"/>
          </w:tcPr>
          <w:p w:rsidR="00194795" w:rsidRPr="008B53A9" w:rsidRDefault="00194795" w:rsidP="00DD63AD">
            <w:pPr>
              <w:jc w:val="center"/>
              <w:rPr>
                <w:sz w:val="24"/>
                <w:szCs w:val="24"/>
              </w:rPr>
            </w:pPr>
            <w:r w:rsidRPr="008B53A9">
              <w:rPr>
                <w:sz w:val="24"/>
                <w:szCs w:val="24"/>
              </w:rPr>
              <w:t>500</w:t>
            </w:r>
          </w:p>
        </w:tc>
        <w:tc>
          <w:tcPr>
            <w:tcW w:w="542" w:type="pct"/>
            <w:shd w:val="clear" w:color="auto" w:fill="auto"/>
            <w:tcMar>
              <w:top w:w="0" w:type="dxa"/>
              <w:left w:w="108" w:type="dxa"/>
              <w:bottom w:w="0" w:type="dxa"/>
              <w:right w:w="108" w:type="dxa"/>
            </w:tcMar>
            <w:vAlign w:val="center"/>
          </w:tcPr>
          <w:p w:rsidR="00194795" w:rsidRPr="008B53A9" w:rsidRDefault="00194795" w:rsidP="00DD63AD">
            <w:pPr>
              <w:jc w:val="center"/>
              <w:rPr>
                <w:sz w:val="24"/>
                <w:szCs w:val="24"/>
              </w:rPr>
            </w:pPr>
            <w:r w:rsidRPr="008B53A9">
              <w:rPr>
                <w:sz w:val="24"/>
                <w:szCs w:val="24"/>
              </w:rPr>
              <w:t>2</w:t>
            </w:r>
            <w:r w:rsidR="00E25ED9" w:rsidRPr="008B53A9">
              <w:rPr>
                <w:sz w:val="24"/>
                <w:szCs w:val="24"/>
              </w:rPr>
              <w:t xml:space="preserve"> </w:t>
            </w:r>
            <w:r w:rsidRPr="008B53A9">
              <w:rPr>
                <w:sz w:val="24"/>
                <w:szCs w:val="24"/>
              </w:rPr>
              <w:t>200</w:t>
            </w:r>
          </w:p>
        </w:tc>
        <w:tc>
          <w:tcPr>
            <w:tcW w:w="246" w:type="pct"/>
            <w:vAlign w:val="center"/>
          </w:tcPr>
          <w:p w:rsidR="00194795" w:rsidRPr="008B53A9" w:rsidRDefault="00194795" w:rsidP="003D33BE">
            <w:pPr>
              <w:pStyle w:val="Tabulka"/>
              <w:rPr>
                <w:rFonts w:cs="Calibri"/>
                <w:lang w:val="cs-CZ" w:eastAsia="cs-CZ"/>
              </w:rPr>
            </w:pPr>
            <w:r w:rsidRPr="008B53A9">
              <w:rPr>
                <w:rFonts w:cs="Calibri"/>
                <w:lang w:val="cs-CZ" w:eastAsia="cs-CZ"/>
              </w:rPr>
              <w:t>ŘO</w:t>
            </w:r>
          </w:p>
        </w:tc>
        <w:tc>
          <w:tcPr>
            <w:tcW w:w="844" w:type="pct"/>
            <w:vAlign w:val="center"/>
          </w:tcPr>
          <w:p w:rsidR="00194795" w:rsidRPr="008B53A9" w:rsidRDefault="00194795" w:rsidP="00D16DE9">
            <w:pPr>
              <w:pStyle w:val="Tabulka"/>
              <w:rPr>
                <w:rFonts w:cs="Calibri"/>
                <w:lang w:val="cs-CZ" w:eastAsia="cs-CZ"/>
              </w:rPr>
            </w:pPr>
            <w:r w:rsidRPr="008B53A9">
              <w:rPr>
                <w:rFonts w:cs="Calibri"/>
                <w:lang w:val="cs-CZ" w:eastAsia="cs-CZ"/>
              </w:rPr>
              <w:t>Indikátor sleduje počet</w:t>
            </w:r>
            <w:r w:rsidR="00D16DE9" w:rsidRPr="008B53A9">
              <w:rPr>
                <w:rFonts w:cs="Calibri"/>
                <w:lang w:val="cs-CZ" w:eastAsia="cs-CZ"/>
              </w:rPr>
              <w:t xml:space="preserve"> </w:t>
            </w:r>
            <w:r w:rsidRPr="008B53A9">
              <w:rPr>
                <w:rFonts w:cs="Calibri"/>
                <w:lang w:val="cs-CZ" w:eastAsia="cs-CZ"/>
              </w:rPr>
              <w:t>podpořených firem a pokrývá finančně</w:t>
            </w:r>
            <w:r w:rsidR="00D16DE9" w:rsidRPr="008B53A9">
              <w:rPr>
                <w:rFonts w:cs="Calibri"/>
                <w:lang w:val="cs-CZ" w:eastAsia="cs-CZ"/>
              </w:rPr>
              <w:t xml:space="preserve"> </w:t>
            </w:r>
            <w:r w:rsidRPr="008B53A9">
              <w:rPr>
                <w:rFonts w:cs="Calibri"/>
                <w:lang w:val="cs-CZ" w:eastAsia="cs-CZ"/>
              </w:rPr>
              <w:t>nejobjemnější část intervence</w:t>
            </w:r>
            <w:r w:rsidR="00D16DE9" w:rsidRPr="008B53A9">
              <w:rPr>
                <w:rFonts w:cs="Calibri"/>
                <w:lang w:val="cs-CZ" w:eastAsia="cs-CZ"/>
              </w:rPr>
              <w:t xml:space="preserve"> </w:t>
            </w:r>
            <w:r w:rsidRPr="008B53A9">
              <w:rPr>
                <w:rFonts w:cs="Calibri"/>
                <w:lang w:val="cs-CZ" w:eastAsia="cs-CZ"/>
              </w:rPr>
              <w:t xml:space="preserve">v rámci prioritní osy 1. </w:t>
            </w:r>
            <w:r w:rsidR="00104BB5" w:rsidRPr="008B53A9">
              <w:rPr>
                <w:rFonts w:cs="Calibri"/>
                <w:lang w:val="cs-CZ" w:eastAsia="cs-CZ"/>
              </w:rPr>
              <w:t xml:space="preserve">Rozhodujícím okamžikem pro započítání hodnoty milníku bude počet podpořených firem s ukončenou fyzickou </w:t>
            </w:r>
            <w:r w:rsidR="00104BB5" w:rsidRPr="008B53A9">
              <w:rPr>
                <w:rFonts w:cs="Calibri"/>
                <w:lang w:val="cs-CZ" w:eastAsia="cs-CZ"/>
              </w:rPr>
              <w:lastRenderedPageBreak/>
              <w:t>realizací tzn. dosažením cílů projektů</w:t>
            </w:r>
            <w:r w:rsidRPr="008B53A9">
              <w:rPr>
                <w:rFonts w:cs="Calibri"/>
                <w:lang w:val="cs-CZ" w:eastAsia="cs-CZ"/>
              </w:rPr>
              <w:t>.</w:t>
            </w:r>
          </w:p>
        </w:tc>
      </w:tr>
      <w:tr w:rsidR="00D16DE9" w:rsidRPr="008B53A9">
        <w:tc>
          <w:tcPr>
            <w:tcW w:w="325" w:type="pct"/>
            <w:vAlign w:val="center"/>
          </w:tcPr>
          <w:p w:rsidR="00194795" w:rsidRPr="008B53A9" w:rsidRDefault="00194795" w:rsidP="00D16DE9">
            <w:pPr>
              <w:pStyle w:val="Tabulka"/>
              <w:keepNext/>
              <w:keepLines/>
              <w:rPr>
                <w:rFonts w:cs="Calibri"/>
                <w:lang w:val="cs-CZ" w:eastAsia="cs-CZ"/>
              </w:rPr>
            </w:pPr>
            <w:r w:rsidRPr="008B53A9">
              <w:rPr>
                <w:rFonts w:cs="Calibri"/>
                <w:lang w:val="cs-CZ" w:eastAsia="cs-CZ"/>
              </w:rPr>
              <w:lastRenderedPageBreak/>
              <w:t>PO 1</w:t>
            </w:r>
          </w:p>
        </w:tc>
        <w:tc>
          <w:tcPr>
            <w:tcW w:w="571" w:type="pct"/>
            <w:vAlign w:val="center"/>
          </w:tcPr>
          <w:p w:rsidR="00194795" w:rsidRPr="008B53A9" w:rsidRDefault="00194795" w:rsidP="00D16DE9">
            <w:pPr>
              <w:pStyle w:val="Tabulka"/>
              <w:keepNext/>
              <w:keepLines/>
              <w:rPr>
                <w:rFonts w:cs="Calibri"/>
                <w:lang w:val="cs-CZ" w:eastAsia="cs-CZ"/>
              </w:rPr>
            </w:pPr>
            <w:r w:rsidRPr="008B53A9">
              <w:rPr>
                <w:rFonts w:cs="Calibri"/>
                <w:lang w:val="cs-CZ" w:eastAsia="cs-CZ"/>
              </w:rPr>
              <w:t>výstupový</w:t>
            </w:r>
          </w:p>
        </w:tc>
        <w:tc>
          <w:tcPr>
            <w:tcW w:w="216" w:type="pct"/>
            <w:vAlign w:val="center"/>
          </w:tcPr>
          <w:p w:rsidR="00194795" w:rsidRPr="008B53A9" w:rsidRDefault="00194795" w:rsidP="00D16DE9">
            <w:pPr>
              <w:pStyle w:val="Tabulka"/>
              <w:keepNext/>
              <w:keepLines/>
              <w:rPr>
                <w:rFonts w:cs="Calibri"/>
                <w:lang w:val="cs-CZ" w:eastAsia="cs-CZ"/>
              </w:rPr>
            </w:pPr>
            <w:r w:rsidRPr="008B53A9">
              <w:rPr>
                <w:rFonts w:cs="Calibri"/>
                <w:lang w:val="cs-CZ" w:eastAsia="cs-CZ"/>
              </w:rPr>
              <w:t>C</w:t>
            </w:r>
            <w:r w:rsidR="00CE0853" w:rsidRPr="008B53A9">
              <w:rPr>
                <w:rFonts w:cs="Calibri"/>
                <w:lang w:val="cs-CZ" w:eastAsia="cs-CZ"/>
              </w:rPr>
              <w:t>/EFRR/</w:t>
            </w:r>
            <w:r w:rsidRPr="008B53A9">
              <w:rPr>
                <w:rFonts w:cs="Calibri"/>
                <w:lang w:val="cs-CZ" w:eastAsia="cs-CZ"/>
              </w:rPr>
              <w:t>26</w:t>
            </w:r>
          </w:p>
        </w:tc>
        <w:tc>
          <w:tcPr>
            <w:tcW w:w="583" w:type="pct"/>
            <w:shd w:val="clear" w:color="auto" w:fill="auto"/>
            <w:tcMar>
              <w:top w:w="0" w:type="dxa"/>
              <w:left w:w="108" w:type="dxa"/>
              <w:bottom w:w="0" w:type="dxa"/>
              <w:right w:w="108" w:type="dxa"/>
            </w:tcMar>
            <w:vAlign w:val="center"/>
          </w:tcPr>
          <w:p w:rsidR="00194795" w:rsidRPr="008B53A9" w:rsidRDefault="00194795" w:rsidP="004126CC">
            <w:pPr>
              <w:pStyle w:val="Tabulka"/>
              <w:keepNext/>
              <w:keepLines/>
              <w:rPr>
                <w:rFonts w:cs="Calibri"/>
                <w:lang w:val="cs-CZ" w:eastAsia="cs-CZ"/>
              </w:rPr>
            </w:pPr>
            <w:r w:rsidRPr="008B53A9">
              <w:rPr>
                <w:rFonts w:cs="Calibri"/>
                <w:lang w:val="cs-CZ" w:eastAsia="cs-CZ"/>
              </w:rPr>
              <w:t>Počet podniků spolupracujících s výzkumnými institucemi</w:t>
            </w:r>
          </w:p>
        </w:tc>
        <w:tc>
          <w:tcPr>
            <w:tcW w:w="491" w:type="pct"/>
            <w:shd w:val="clear" w:color="auto" w:fill="auto"/>
            <w:tcMar>
              <w:top w:w="0" w:type="dxa"/>
              <w:left w:w="108" w:type="dxa"/>
              <w:bottom w:w="0" w:type="dxa"/>
              <w:right w:w="108" w:type="dxa"/>
            </w:tcMar>
            <w:vAlign w:val="center"/>
          </w:tcPr>
          <w:p w:rsidR="00194795" w:rsidRPr="008B53A9" w:rsidRDefault="00194795" w:rsidP="004126CC">
            <w:pPr>
              <w:pStyle w:val="Tabulka"/>
              <w:keepNext/>
              <w:keepLines/>
              <w:rPr>
                <w:rFonts w:cs="Calibri"/>
                <w:lang w:val="cs-CZ" w:eastAsia="cs-CZ"/>
              </w:rPr>
            </w:pPr>
            <w:r w:rsidRPr="008B53A9">
              <w:rPr>
                <w:rFonts w:cs="Calibri"/>
                <w:lang w:val="cs-CZ" w:eastAsia="cs-CZ"/>
              </w:rPr>
              <w:t>Podniky</w:t>
            </w:r>
          </w:p>
        </w:tc>
        <w:tc>
          <w:tcPr>
            <w:tcW w:w="297" w:type="pct"/>
            <w:shd w:val="clear" w:color="auto" w:fill="auto"/>
            <w:tcMar>
              <w:top w:w="0" w:type="dxa"/>
              <w:left w:w="108" w:type="dxa"/>
              <w:bottom w:w="0" w:type="dxa"/>
              <w:right w:w="108" w:type="dxa"/>
            </w:tcMar>
            <w:vAlign w:val="center"/>
          </w:tcPr>
          <w:p w:rsidR="00194795" w:rsidRPr="008B53A9" w:rsidRDefault="00194795" w:rsidP="004126CC">
            <w:pPr>
              <w:pStyle w:val="Tabulka"/>
              <w:keepNext/>
              <w:keepLines/>
              <w:rPr>
                <w:rFonts w:cs="Calibri"/>
                <w:lang w:val="cs-CZ" w:eastAsia="cs-CZ"/>
              </w:rPr>
            </w:pPr>
            <w:r w:rsidRPr="008B53A9">
              <w:rPr>
                <w:rFonts w:cs="Calibri"/>
                <w:lang w:val="cs-CZ" w:eastAsia="cs-CZ"/>
              </w:rPr>
              <w:t>EFRR</w:t>
            </w:r>
          </w:p>
        </w:tc>
        <w:tc>
          <w:tcPr>
            <w:tcW w:w="442" w:type="pct"/>
            <w:shd w:val="clear" w:color="auto" w:fill="auto"/>
            <w:tcMar>
              <w:top w:w="0" w:type="dxa"/>
              <w:left w:w="108" w:type="dxa"/>
              <w:bottom w:w="0" w:type="dxa"/>
              <w:right w:w="108" w:type="dxa"/>
            </w:tcMar>
            <w:vAlign w:val="center"/>
          </w:tcPr>
          <w:p w:rsidR="00194795" w:rsidRPr="008B53A9" w:rsidRDefault="00194795" w:rsidP="004126CC">
            <w:pPr>
              <w:keepNext/>
              <w:keepLines/>
              <w:jc w:val="center"/>
              <w:rPr>
                <w:sz w:val="24"/>
                <w:szCs w:val="24"/>
              </w:rPr>
            </w:pPr>
            <w:r w:rsidRPr="008B53A9">
              <w:rPr>
                <w:sz w:val="24"/>
                <w:szCs w:val="24"/>
              </w:rPr>
              <w:t>Méně rozvinuté regiony</w:t>
            </w:r>
          </w:p>
        </w:tc>
        <w:tc>
          <w:tcPr>
            <w:tcW w:w="443" w:type="pct"/>
            <w:vAlign w:val="center"/>
          </w:tcPr>
          <w:p w:rsidR="00194795" w:rsidRPr="008B53A9" w:rsidRDefault="00194795" w:rsidP="004126CC">
            <w:pPr>
              <w:keepNext/>
              <w:keepLines/>
              <w:jc w:val="center"/>
              <w:rPr>
                <w:sz w:val="24"/>
                <w:szCs w:val="24"/>
              </w:rPr>
            </w:pPr>
            <w:r w:rsidRPr="008B53A9">
              <w:rPr>
                <w:sz w:val="24"/>
                <w:szCs w:val="24"/>
              </w:rPr>
              <w:t>450</w:t>
            </w:r>
          </w:p>
        </w:tc>
        <w:tc>
          <w:tcPr>
            <w:tcW w:w="542" w:type="pct"/>
            <w:shd w:val="clear" w:color="auto" w:fill="auto"/>
            <w:tcMar>
              <w:top w:w="0" w:type="dxa"/>
              <w:left w:w="108" w:type="dxa"/>
              <w:bottom w:w="0" w:type="dxa"/>
              <w:right w:w="108" w:type="dxa"/>
            </w:tcMar>
            <w:vAlign w:val="center"/>
          </w:tcPr>
          <w:p w:rsidR="00194795" w:rsidRPr="008B53A9" w:rsidRDefault="00194795" w:rsidP="004126CC">
            <w:pPr>
              <w:keepNext/>
              <w:keepLines/>
              <w:jc w:val="center"/>
              <w:rPr>
                <w:sz w:val="24"/>
                <w:szCs w:val="24"/>
              </w:rPr>
            </w:pPr>
            <w:r w:rsidRPr="008B53A9">
              <w:rPr>
                <w:sz w:val="24"/>
                <w:szCs w:val="24"/>
              </w:rPr>
              <w:t>2 950</w:t>
            </w:r>
          </w:p>
        </w:tc>
        <w:tc>
          <w:tcPr>
            <w:tcW w:w="246" w:type="pct"/>
            <w:vAlign w:val="center"/>
          </w:tcPr>
          <w:p w:rsidR="00194795" w:rsidRPr="008B53A9" w:rsidRDefault="00194795" w:rsidP="004126CC">
            <w:pPr>
              <w:pStyle w:val="Tabulka"/>
              <w:keepNext/>
              <w:keepLines/>
              <w:rPr>
                <w:rFonts w:cs="Calibri"/>
                <w:lang w:val="cs-CZ" w:eastAsia="cs-CZ"/>
              </w:rPr>
            </w:pPr>
            <w:r w:rsidRPr="008B53A9">
              <w:rPr>
                <w:rFonts w:cs="Calibri"/>
                <w:lang w:val="cs-CZ" w:eastAsia="cs-CZ"/>
              </w:rPr>
              <w:t>Ž/P</w:t>
            </w:r>
          </w:p>
        </w:tc>
        <w:tc>
          <w:tcPr>
            <w:tcW w:w="844" w:type="pct"/>
            <w:vAlign w:val="center"/>
          </w:tcPr>
          <w:p w:rsidR="00194795" w:rsidRPr="008B53A9" w:rsidRDefault="00194795" w:rsidP="00D16DE9">
            <w:pPr>
              <w:pStyle w:val="Tabulka"/>
              <w:keepNext/>
              <w:keepLines/>
              <w:rPr>
                <w:rFonts w:cs="Calibri"/>
                <w:lang w:val="cs-CZ" w:eastAsia="cs-CZ"/>
              </w:rPr>
            </w:pPr>
            <w:r w:rsidRPr="008B53A9">
              <w:rPr>
                <w:rFonts w:cs="Calibri"/>
                <w:lang w:val="cs-CZ" w:eastAsia="cs-CZ"/>
              </w:rPr>
              <w:t>Indikátor pokrývá rozhodující</w:t>
            </w:r>
            <w:r w:rsidR="00D16DE9" w:rsidRPr="008B53A9">
              <w:rPr>
                <w:rFonts w:cs="Calibri"/>
                <w:lang w:val="cs-CZ" w:eastAsia="cs-CZ"/>
              </w:rPr>
              <w:t xml:space="preserve"> </w:t>
            </w:r>
            <w:r w:rsidRPr="008B53A9">
              <w:rPr>
                <w:rFonts w:cs="Calibri"/>
                <w:lang w:val="cs-CZ" w:eastAsia="cs-CZ"/>
              </w:rPr>
              <w:t xml:space="preserve">část projektů naplňující SC </w:t>
            </w:r>
            <w:r w:rsidR="00D16DE9" w:rsidRPr="008B53A9">
              <w:rPr>
                <w:rFonts w:cs="Calibri"/>
                <w:lang w:val="cs-CZ" w:eastAsia="cs-CZ"/>
              </w:rPr>
              <w:t>p</w:t>
            </w:r>
            <w:r w:rsidRPr="008B53A9">
              <w:rPr>
                <w:rFonts w:cs="Calibri"/>
                <w:lang w:val="cs-CZ" w:eastAsia="cs-CZ"/>
              </w:rPr>
              <w:t>rioritní</w:t>
            </w:r>
            <w:r w:rsidR="00D16DE9" w:rsidRPr="008B53A9">
              <w:rPr>
                <w:rFonts w:cs="Calibri"/>
                <w:lang w:val="cs-CZ" w:eastAsia="cs-CZ"/>
              </w:rPr>
              <w:t xml:space="preserve"> </w:t>
            </w:r>
            <w:r w:rsidRPr="008B53A9">
              <w:rPr>
                <w:rFonts w:cs="Calibri"/>
                <w:lang w:val="cs-CZ" w:eastAsia="cs-CZ"/>
              </w:rPr>
              <w:t>osy</w:t>
            </w:r>
            <w:r w:rsidR="00D16DE9" w:rsidRPr="008B53A9">
              <w:rPr>
                <w:rFonts w:cs="Calibri"/>
                <w:lang w:val="cs-CZ" w:eastAsia="cs-CZ"/>
              </w:rPr>
              <w:t xml:space="preserve"> </w:t>
            </w:r>
            <w:r w:rsidRPr="008B53A9">
              <w:rPr>
                <w:rFonts w:cs="Calibri"/>
                <w:lang w:val="cs-CZ" w:eastAsia="cs-CZ"/>
              </w:rPr>
              <w:t>1. Je</w:t>
            </w:r>
            <w:r w:rsidR="00D16DE9" w:rsidRPr="008B53A9">
              <w:rPr>
                <w:rFonts w:cs="Calibri"/>
                <w:lang w:val="cs-CZ" w:eastAsia="cs-CZ"/>
              </w:rPr>
              <w:t xml:space="preserve"> </w:t>
            </w:r>
            <w:r w:rsidRPr="008B53A9">
              <w:rPr>
                <w:rFonts w:cs="Calibri"/>
                <w:lang w:val="cs-CZ" w:eastAsia="cs-CZ"/>
              </w:rPr>
              <w:t>společným indikátorem v</w:t>
            </w:r>
            <w:r w:rsidR="00D16DE9" w:rsidRPr="008B53A9">
              <w:rPr>
                <w:rFonts w:cs="Calibri"/>
                <w:lang w:val="cs-CZ" w:eastAsia="cs-CZ"/>
              </w:rPr>
              <w:t xml:space="preserve"> </w:t>
            </w:r>
            <w:r w:rsidRPr="008B53A9">
              <w:rPr>
                <w:rFonts w:cs="Calibri"/>
                <w:lang w:val="cs-CZ" w:eastAsia="cs-CZ"/>
              </w:rPr>
              <w:t>souladu s nařízením ERDF.</w:t>
            </w:r>
          </w:p>
        </w:tc>
      </w:tr>
    </w:tbl>
    <w:p w:rsidR="004126CC" w:rsidRPr="008B53A9" w:rsidRDefault="00606989" w:rsidP="00606989">
      <w:pPr>
        <w:pStyle w:val="Titulek"/>
      </w:pPr>
      <w:r w:rsidRPr="008B53A9">
        <w:t>Další kvalitativní informace o stanovení výkonnostního rámce</w:t>
      </w:r>
    </w:p>
    <w:p w:rsidR="00B523F1" w:rsidRPr="008B53A9" w:rsidRDefault="00B523F1" w:rsidP="00B523F1">
      <w:pPr>
        <w:pStyle w:val="Standardntext"/>
        <w:rPr>
          <w:lang w:val="cs-CZ"/>
        </w:rPr>
      </w:pPr>
      <w:r w:rsidRPr="008B53A9">
        <w:t>Pro OP PIK byly stanoveny hodnoty milníků pro rok 2018 a 2023 (finanční ukazatele „certifikované finanční prostředky“</w:t>
      </w:r>
      <w:r w:rsidR="00282A6A" w:rsidRPr="008B53A9">
        <w:rPr>
          <w:lang w:val="cs-CZ"/>
        </w:rPr>
        <w:t xml:space="preserve"> a </w:t>
      </w:r>
      <w:r w:rsidRPr="008B53A9">
        <w:t>ukazatele výstupů). V případě hodnot milníků stanovených pro rok 2018 přitom není započítáno 6 % určených na výkonnostní rezervu programu. Dále uvedené předpoklady jsou s ohledem na charakter stanovovaných milníků platné pro všechny prioritní osy operačního programu.</w:t>
      </w:r>
    </w:p>
    <w:p w:rsidR="00606989" w:rsidRPr="008B53A9" w:rsidRDefault="00606989" w:rsidP="001B0B94">
      <w:pPr>
        <w:pStyle w:val="Standardntext"/>
      </w:pPr>
      <w:r w:rsidRPr="008B53A9">
        <w:t xml:space="preserve">Při kvantifikaci milníků </w:t>
      </w:r>
      <w:r w:rsidRPr="008B53A9">
        <w:rPr>
          <w:b/>
          <w:bCs/>
        </w:rPr>
        <w:t>pro rok 2018</w:t>
      </w:r>
      <w:r w:rsidRPr="008B53A9">
        <w:t xml:space="preserve"> byly zohledněny dále uvedené klíčové předpoklady:</w:t>
      </w:r>
    </w:p>
    <w:p w:rsidR="00EE5FD7" w:rsidRPr="008B53A9" w:rsidRDefault="00606989" w:rsidP="001B0B94">
      <w:pPr>
        <w:pStyle w:val="Standardntext"/>
        <w:numPr>
          <w:ilvl w:val="0"/>
          <w:numId w:val="101"/>
        </w:numPr>
      </w:pPr>
      <w:r w:rsidRPr="008B53A9">
        <w:t>Zohledněn je aktuální finanční plán OP PIK</w:t>
      </w:r>
    </w:p>
    <w:p w:rsidR="00606989" w:rsidRPr="008B53A9" w:rsidRDefault="00606989" w:rsidP="001B0B94">
      <w:pPr>
        <w:pStyle w:val="Standardntext"/>
        <w:numPr>
          <w:ilvl w:val="0"/>
          <w:numId w:val="101"/>
        </w:numPr>
      </w:pPr>
      <w:r w:rsidRPr="008B53A9">
        <w:t>Při stanovení milníku bylo v maximální možné míře vycházeno ze zkušeností s OPPI;</w:t>
      </w:r>
    </w:p>
    <w:p w:rsidR="00606989" w:rsidRPr="008B53A9" w:rsidRDefault="00606989" w:rsidP="001B0B94">
      <w:pPr>
        <w:pStyle w:val="Standardntext"/>
        <w:numPr>
          <w:ilvl w:val="0"/>
          <w:numId w:val="101"/>
        </w:numPr>
      </w:pPr>
      <w:r w:rsidRPr="008B53A9">
        <w:t>První výzvy budou vyhlášeny pravděpodobně nejdříve až v 1.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ve 2. čtvrtletí 2015;</w:t>
      </w:r>
    </w:p>
    <w:p w:rsidR="00606989" w:rsidRPr="008B53A9" w:rsidRDefault="00606989" w:rsidP="001B0B94">
      <w:pPr>
        <w:pStyle w:val="Standardntext"/>
        <w:numPr>
          <w:ilvl w:val="0"/>
          <w:numId w:val="101"/>
        </w:numPr>
      </w:pPr>
      <w:r w:rsidRPr="008B53A9">
        <w:t xml:space="preserve">Při možném předpokladu, že projekty budou dvouleté, to znamená, že první z nich ukončí realizaci nejdříve ve druhé polovině roku 2017 a finanční prostředky tak budou předkládány k certifikaci až v průběhu roku 2017 či dokonce 2018 (např. u delších projektů); </w:t>
      </w:r>
    </w:p>
    <w:p w:rsidR="00606989" w:rsidRPr="008B53A9" w:rsidRDefault="00606989" w:rsidP="001B0B94">
      <w:pPr>
        <w:pStyle w:val="Standardntext"/>
        <w:numPr>
          <w:ilvl w:val="0"/>
          <w:numId w:val="101"/>
        </w:numPr>
      </w:pPr>
      <w:r w:rsidRPr="008B53A9">
        <w:t>Ukazatelé výstupů stanovené ve výkonnostním rámci odpovídají více než 50 % finančního přídělu na prioritu (v souladu se čl. 5 Prováděcího nařízení komise (EU) č. 215/2014);</w:t>
      </w:r>
    </w:p>
    <w:p w:rsidR="00606989" w:rsidRPr="008B53A9" w:rsidRDefault="00606989" w:rsidP="001B0B94">
      <w:pPr>
        <w:pStyle w:val="Standardntext"/>
        <w:numPr>
          <w:ilvl w:val="0"/>
          <w:numId w:val="101"/>
        </w:numPr>
      </w:pPr>
      <w:r w:rsidRPr="008B53A9">
        <w:t>Není započítána výkonnostní rezerva 6 %;</w:t>
      </w:r>
    </w:p>
    <w:p w:rsidR="00606989" w:rsidRPr="008B53A9" w:rsidRDefault="00606989" w:rsidP="001B0B94">
      <w:pPr>
        <w:pStyle w:val="Standardntext"/>
        <w:numPr>
          <w:ilvl w:val="0"/>
          <w:numId w:val="101"/>
        </w:numPr>
      </w:pPr>
      <w:r w:rsidRPr="008B53A9">
        <w:t>Pravidlo n+3, na základě kterého je nutné vzít v úvahu, že na konci roku 2018 by měla být vyčerpána alokace let 2014, 2015;</w:t>
      </w:r>
    </w:p>
    <w:p w:rsidR="00EE5FD7" w:rsidRPr="008B53A9" w:rsidRDefault="00606989" w:rsidP="001B0B94">
      <w:pPr>
        <w:pStyle w:val="Standardntext"/>
        <w:numPr>
          <w:ilvl w:val="0"/>
          <w:numId w:val="101"/>
        </w:numPr>
        <w:rPr>
          <w:strike/>
        </w:rPr>
      </w:pPr>
      <w:r w:rsidRPr="008B53A9">
        <w:lastRenderedPageBreak/>
        <w:t>Nové typy aktivit</w:t>
      </w:r>
      <w:r w:rsidR="00282A6A" w:rsidRPr="008B53A9">
        <w:rPr>
          <w:lang w:val="cs-CZ"/>
        </w:rPr>
        <w:t xml:space="preserve"> v této prioritní ose </w:t>
      </w:r>
      <w:r w:rsidRPr="008B53A9">
        <w:t>OP PIK</w:t>
      </w:r>
      <w:r w:rsidR="00282A6A" w:rsidRPr="008B53A9">
        <w:rPr>
          <w:lang w:val="cs-CZ"/>
        </w:rPr>
        <w:t>;</w:t>
      </w:r>
    </w:p>
    <w:p w:rsidR="00606989" w:rsidRPr="008B53A9" w:rsidRDefault="00606989" w:rsidP="001B0B94">
      <w:pPr>
        <w:pStyle w:val="Standardntext"/>
        <w:numPr>
          <w:ilvl w:val="0"/>
          <w:numId w:val="102"/>
        </w:numPr>
      </w:pPr>
      <w:r w:rsidRPr="008B53A9">
        <w:t>Širší portfolio možných příjemců – s ohledem na možnou rozdílnou flexibilitu některých subjektů při přípravě a realizaci projektu, lze tak předpokládat pomalejší rozjezd některých aktivit</w:t>
      </w:r>
      <w:r w:rsidR="001B0B94" w:rsidRPr="008B53A9">
        <w:rPr>
          <w:lang w:val="cs-CZ"/>
        </w:rPr>
        <w:t>.</w:t>
      </w:r>
    </w:p>
    <w:p w:rsidR="00606989" w:rsidRPr="008B53A9" w:rsidRDefault="00606989" w:rsidP="001B0B94">
      <w:pPr>
        <w:pStyle w:val="Standardntext"/>
      </w:pPr>
      <w:r w:rsidRPr="008B53A9">
        <w:t xml:space="preserve">Při kvantifikaci milníků </w:t>
      </w:r>
      <w:r w:rsidRPr="008B53A9">
        <w:rPr>
          <w:b/>
          <w:bCs/>
        </w:rPr>
        <w:t>pro rok 2023</w:t>
      </w:r>
      <w:r w:rsidRPr="008B53A9">
        <w:t xml:space="preserve"> byly zohledněny ještě dále uvedené klíčové předpoklady:</w:t>
      </w:r>
    </w:p>
    <w:p w:rsidR="00606989" w:rsidRPr="008B53A9" w:rsidRDefault="00606989" w:rsidP="001B0B94">
      <w:pPr>
        <w:pStyle w:val="Standardntext"/>
        <w:numPr>
          <w:ilvl w:val="0"/>
          <w:numId w:val="103"/>
        </w:numPr>
      </w:pPr>
      <w:r w:rsidRPr="008B53A9">
        <w:t>Klíčovým předpokladem je naplnění stanovených cílů programu v jednotlivých prioritních osách (finanční i věcné plnění);</w:t>
      </w:r>
    </w:p>
    <w:p w:rsidR="00606989" w:rsidRPr="008B53A9" w:rsidRDefault="00606989" w:rsidP="001B0B94">
      <w:pPr>
        <w:pStyle w:val="Standardntext"/>
        <w:numPr>
          <w:ilvl w:val="0"/>
          <w:numId w:val="103"/>
        </w:numPr>
      </w:pPr>
      <w:r w:rsidRPr="008B53A9">
        <w:t xml:space="preserve">Započítána je již i výkonnostní rezerva. </w:t>
      </w:r>
    </w:p>
    <w:p w:rsidR="00606989" w:rsidRPr="008B53A9" w:rsidRDefault="00606989" w:rsidP="00314D81">
      <w:pPr>
        <w:pStyle w:val="Standardntext"/>
        <w:rPr>
          <w:lang w:val="cs-CZ"/>
        </w:rPr>
      </w:pPr>
      <w:r w:rsidRPr="008B53A9">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w:t>
      </w:r>
      <w:r w:rsidR="00E54216" w:rsidRPr="008B53A9">
        <w:rPr>
          <w:lang w:val="cs-CZ"/>
        </w:rPr>
        <w:t xml:space="preserve">. Téma výkonnostní rezervy a milníků je dále rozpracováno v příloze 3. </w:t>
      </w:r>
    </w:p>
    <w:p w:rsidR="00606989" w:rsidRPr="008B53A9" w:rsidRDefault="00606989" w:rsidP="004126CC">
      <w:pPr>
        <w:pStyle w:val="kapitola2A0"/>
        <w:numPr>
          <w:ilvl w:val="0"/>
          <w:numId w:val="0"/>
        </w:numPr>
        <w:rPr>
          <w:color w:val="auto"/>
          <w:lang w:val="cs-CZ"/>
        </w:rPr>
        <w:sectPr w:rsidR="00606989" w:rsidRPr="008B53A9" w:rsidSect="004126CC">
          <w:headerReference w:type="default" r:id="rId23"/>
          <w:footerReference w:type="default" r:id="rId24"/>
          <w:pgSz w:w="16838" w:h="11906" w:orient="landscape"/>
          <w:pgMar w:top="1418" w:right="1418" w:bottom="1276" w:left="1276" w:header="709" w:footer="709" w:gutter="0"/>
          <w:cols w:space="708"/>
          <w:docGrid w:linePitch="272"/>
        </w:sectPr>
      </w:pPr>
    </w:p>
    <w:p w:rsidR="00DB73B5" w:rsidRPr="008B53A9" w:rsidRDefault="00636BAA" w:rsidP="005F43DF">
      <w:pPr>
        <w:pStyle w:val="kapitola2A0"/>
        <w:numPr>
          <w:ilvl w:val="2"/>
          <w:numId w:val="68"/>
        </w:numPr>
      </w:pPr>
      <w:bookmarkStart w:id="35" w:name="_Toc391539608"/>
      <w:r w:rsidRPr="008B53A9">
        <w:lastRenderedPageBreak/>
        <w:t>K</w:t>
      </w:r>
      <w:r w:rsidR="00F2469F" w:rsidRPr="008B53A9">
        <w:t>ategorie zásahů</w:t>
      </w:r>
      <w:bookmarkEnd w:id="35"/>
    </w:p>
    <w:p w:rsidR="002A1792" w:rsidRPr="008B53A9" w:rsidRDefault="002A1792" w:rsidP="004126CC">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7</w:t>
      </w:r>
      <w:r w:rsidR="00C3289B" w:rsidRPr="008B53A9">
        <w:rPr>
          <w:noProof/>
        </w:rPr>
        <w:fldChar w:fldCharType="end"/>
      </w:r>
      <w:r w:rsidRPr="008B53A9">
        <w:t xml:space="preserve"> - </w:t>
      </w:r>
      <w:r w:rsidR="00C3289B" w:rsidRPr="008B53A9">
        <w:fldChar w:fldCharType="begin"/>
      </w:r>
      <w:r w:rsidR="00C3289B" w:rsidRPr="008B53A9">
        <w:instrText xml:space="preserve"> SEQ Tabulka \* ARABIC \r11 </w:instrText>
      </w:r>
      <w:r w:rsidR="00C3289B" w:rsidRPr="008B53A9">
        <w:fldChar w:fldCharType="separate"/>
      </w:r>
      <w:r w:rsidR="00E54216" w:rsidRPr="008B53A9">
        <w:rPr>
          <w:noProof/>
        </w:rPr>
        <w:t>11</w:t>
      </w:r>
      <w:r w:rsidR="00C3289B" w:rsidRPr="008B53A9">
        <w:rPr>
          <w:noProof/>
        </w:rPr>
        <w:fldChar w:fldCharType="end"/>
      </w:r>
      <w:r w:rsidRPr="008B53A9">
        <w:t xml:space="preserve">: Kategorie </w:t>
      </w:r>
      <w:r w:rsidR="00F2469F" w:rsidRPr="008B53A9">
        <w:t>zásahů</w:t>
      </w:r>
      <w:r w:rsidR="00BA502F" w:rsidRPr="008B53A9">
        <w:rPr>
          <w:rStyle w:val="Znakapoznpodarou"/>
        </w:rPr>
        <w:footnoteReference w:id="38"/>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78"/>
        <w:gridCol w:w="1656"/>
        <w:gridCol w:w="509"/>
        <w:gridCol w:w="1720"/>
        <w:gridCol w:w="589"/>
        <w:gridCol w:w="1643"/>
        <w:gridCol w:w="526"/>
        <w:gridCol w:w="1705"/>
      </w:tblGrid>
      <w:tr w:rsidR="000B2315" w:rsidRPr="008B53A9">
        <w:tc>
          <w:tcPr>
            <w:tcW w:w="5000" w:type="pct"/>
            <w:gridSpan w:val="8"/>
            <w:shd w:val="clear" w:color="auto" w:fill="B8CCE4"/>
            <w:vAlign w:val="center"/>
          </w:tcPr>
          <w:p w:rsidR="000B2315" w:rsidRPr="008B53A9" w:rsidRDefault="005646B0" w:rsidP="004126CC">
            <w:pPr>
              <w:pStyle w:val="Tabulka"/>
              <w:keepNext/>
              <w:keepLines/>
              <w:rPr>
                <w:rFonts w:cs="Calibri"/>
                <w:b/>
                <w:lang w:val="cs-CZ" w:eastAsia="cs-CZ"/>
              </w:rPr>
            </w:pPr>
            <w:r w:rsidRPr="008B53A9">
              <w:rPr>
                <w:rFonts w:cs="Calibri"/>
                <w:b/>
                <w:lang w:val="cs-CZ" w:eastAsia="cs-CZ"/>
              </w:rPr>
              <w:t>F</w:t>
            </w:r>
            <w:r w:rsidR="000B2315" w:rsidRPr="008B53A9">
              <w:rPr>
                <w:rFonts w:cs="Calibri"/>
                <w:b/>
                <w:lang w:val="cs-CZ" w:eastAsia="cs-CZ"/>
              </w:rPr>
              <w:t>ond</w:t>
            </w:r>
            <w:r w:rsidRPr="008B53A9">
              <w:rPr>
                <w:rFonts w:cs="Calibri"/>
                <w:b/>
                <w:lang w:val="cs-CZ" w:eastAsia="cs-CZ"/>
              </w:rPr>
              <w:t xml:space="preserve">: </w:t>
            </w:r>
            <w:r w:rsidRPr="008B53A9">
              <w:rPr>
                <w:rFonts w:cs="Calibri"/>
                <w:lang w:val="cs-CZ" w:eastAsia="cs-CZ"/>
              </w:rPr>
              <w:t>EFRR</w:t>
            </w:r>
          </w:p>
          <w:p w:rsidR="000B2315" w:rsidRPr="008B53A9" w:rsidRDefault="005646B0" w:rsidP="004126CC">
            <w:pPr>
              <w:pStyle w:val="Tabulka"/>
              <w:keepNext/>
              <w:keepLines/>
              <w:rPr>
                <w:rFonts w:cs="Calibri"/>
                <w:lang w:val="cs-CZ" w:eastAsia="cs-CZ"/>
              </w:rPr>
            </w:pPr>
            <w:r w:rsidRPr="008B53A9">
              <w:rPr>
                <w:rFonts w:cs="Calibri"/>
                <w:b/>
                <w:lang w:val="cs-CZ" w:eastAsia="cs-CZ"/>
              </w:rPr>
              <w:t xml:space="preserve">Kategorie regionů: </w:t>
            </w:r>
            <w:r w:rsidR="000B2315" w:rsidRPr="008B53A9">
              <w:rPr>
                <w:rFonts w:cs="Calibri"/>
                <w:lang w:val="cs-CZ" w:eastAsia="cs-CZ"/>
              </w:rPr>
              <w:t>Méně rozvinuté regiony</w:t>
            </w:r>
          </w:p>
        </w:tc>
      </w:tr>
      <w:tr w:rsidR="000B2315" w:rsidRPr="008B53A9">
        <w:tc>
          <w:tcPr>
            <w:tcW w:w="1412" w:type="pct"/>
            <w:gridSpan w:val="2"/>
            <w:shd w:val="clear" w:color="auto" w:fill="B8CCE4"/>
            <w:vAlign w:val="center"/>
          </w:tcPr>
          <w:p w:rsidR="000B2315" w:rsidRPr="008B53A9" w:rsidRDefault="000B2315" w:rsidP="008F72F4">
            <w:pPr>
              <w:pStyle w:val="Tabulka"/>
              <w:keepNext/>
              <w:keepLines/>
              <w:rPr>
                <w:rFonts w:cs="Calibri"/>
                <w:lang w:val="cs-CZ" w:eastAsia="cs-CZ"/>
              </w:rPr>
            </w:pPr>
            <w:r w:rsidRPr="008B53A9">
              <w:rPr>
                <w:rFonts w:cs="Calibri"/>
                <w:lang w:val="cs-CZ" w:eastAsia="cs-CZ"/>
              </w:rPr>
              <w:t>Tabulka č. 7:</w:t>
            </w:r>
          </w:p>
          <w:p w:rsidR="000B2315" w:rsidRPr="008B53A9" w:rsidRDefault="000B2315" w:rsidP="008F72F4">
            <w:pPr>
              <w:pStyle w:val="Tabulka"/>
              <w:keepNext/>
              <w:keepLines/>
              <w:rPr>
                <w:rFonts w:cs="Calibri"/>
                <w:lang w:val="cs-CZ" w:eastAsia="cs-CZ"/>
              </w:rPr>
            </w:pPr>
            <w:r w:rsidRPr="008B53A9">
              <w:rPr>
                <w:rFonts w:cs="Calibri"/>
                <w:lang w:val="cs-CZ" w:eastAsia="cs-CZ"/>
              </w:rPr>
              <w:t>Dimenze 1</w:t>
            </w:r>
          </w:p>
          <w:p w:rsidR="000B2315" w:rsidRPr="008B53A9" w:rsidRDefault="000B2315" w:rsidP="008F72F4">
            <w:pPr>
              <w:pStyle w:val="Tabulka"/>
              <w:keepNext/>
              <w:keepLines/>
              <w:rPr>
                <w:rFonts w:cs="Calibri"/>
                <w:lang w:val="cs-CZ" w:eastAsia="cs-CZ"/>
              </w:rPr>
            </w:pPr>
            <w:r w:rsidRPr="008B53A9">
              <w:rPr>
                <w:rFonts w:cs="Calibri"/>
                <w:lang w:val="cs-CZ" w:eastAsia="cs-CZ"/>
              </w:rPr>
              <w:t>Oblast zásahu</w:t>
            </w:r>
          </w:p>
        </w:tc>
        <w:tc>
          <w:tcPr>
            <w:tcW w:w="1195" w:type="pct"/>
            <w:gridSpan w:val="2"/>
            <w:shd w:val="clear" w:color="auto" w:fill="B8CCE4"/>
            <w:vAlign w:val="center"/>
          </w:tcPr>
          <w:p w:rsidR="000B2315" w:rsidRPr="008B53A9" w:rsidRDefault="000B2315" w:rsidP="008F72F4">
            <w:pPr>
              <w:pStyle w:val="Tabulka"/>
              <w:keepNext/>
              <w:keepLines/>
              <w:rPr>
                <w:rFonts w:cs="Calibri"/>
                <w:lang w:val="cs-CZ" w:eastAsia="cs-CZ"/>
              </w:rPr>
            </w:pPr>
            <w:r w:rsidRPr="008B53A9">
              <w:rPr>
                <w:rFonts w:cs="Calibri"/>
                <w:lang w:val="cs-CZ" w:eastAsia="cs-CZ"/>
              </w:rPr>
              <w:t>Tabulka č. 8:</w:t>
            </w:r>
          </w:p>
          <w:p w:rsidR="000B2315" w:rsidRPr="008B53A9" w:rsidRDefault="000B2315" w:rsidP="008F72F4">
            <w:pPr>
              <w:pStyle w:val="Tabulka"/>
              <w:keepNext/>
              <w:keepLines/>
              <w:rPr>
                <w:rFonts w:cs="Calibri"/>
                <w:lang w:val="cs-CZ" w:eastAsia="cs-CZ"/>
              </w:rPr>
            </w:pPr>
            <w:r w:rsidRPr="008B53A9">
              <w:rPr>
                <w:rFonts w:cs="Calibri"/>
                <w:lang w:val="cs-CZ" w:eastAsia="cs-CZ"/>
              </w:rPr>
              <w:t>Dimenze 2</w:t>
            </w:r>
          </w:p>
          <w:p w:rsidR="000B2315" w:rsidRPr="008B53A9" w:rsidRDefault="000B2315" w:rsidP="008F72F4">
            <w:pPr>
              <w:pStyle w:val="Tabulka"/>
              <w:keepNext/>
              <w:keepLines/>
              <w:rPr>
                <w:rFonts w:cs="Calibri"/>
                <w:lang w:val="cs-CZ" w:eastAsia="cs-CZ"/>
              </w:rPr>
            </w:pPr>
            <w:r w:rsidRPr="008B53A9">
              <w:rPr>
                <w:rFonts w:cs="Calibri"/>
                <w:lang w:val="cs-CZ" w:eastAsia="cs-CZ"/>
              </w:rPr>
              <w:t>Forma financování</w:t>
            </w:r>
          </w:p>
        </w:tc>
        <w:tc>
          <w:tcPr>
            <w:tcW w:w="1197" w:type="pct"/>
            <w:gridSpan w:val="2"/>
            <w:shd w:val="clear" w:color="auto" w:fill="B8CCE4"/>
            <w:vAlign w:val="center"/>
          </w:tcPr>
          <w:p w:rsidR="000B2315" w:rsidRPr="008B53A9" w:rsidRDefault="000B2315" w:rsidP="008F72F4">
            <w:pPr>
              <w:pStyle w:val="Tabulka"/>
              <w:keepNext/>
              <w:keepLines/>
              <w:rPr>
                <w:rFonts w:cs="Calibri"/>
                <w:lang w:val="cs-CZ" w:eastAsia="cs-CZ"/>
              </w:rPr>
            </w:pPr>
            <w:r w:rsidRPr="008B53A9">
              <w:rPr>
                <w:rFonts w:cs="Calibri"/>
                <w:lang w:val="cs-CZ" w:eastAsia="cs-CZ"/>
              </w:rPr>
              <w:t>Tabulka č. 9:</w:t>
            </w:r>
          </w:p>
          <w:p w:rsidR="000B2315" w:rsidRPr="008B53A9" w:rsidRDefault="000B2315" w:rsidP="008F72F4">
            <w:pPr>
              <w:pStyle w:val="Tabulka"/>
              <w:keepNext/>
              <w:keepLines/>
              <w:rPr>
                <w:rFonts w:cs="Calibri"/>
                <w:lang w:val="cs-CZ" w:eastAsia="cs-CZ"/>
              </w:rPr>
            </w:pPr>
            <w:r w:rsidRPr="008B53A9">
              <w:rPr>
                <w:rFonts w:cs="Calibri"/>
                <w:lang w:val="cs-CZ" w:eastAsia="cs-CZ"/>
              </w:rPr>
              <w:t>Dimenze 3</w:t>
            </w:r>
          </w:p>
          <w:p w:rsidR="000B2315" w:rsidRPr="008B53A9" w:rsidRDefault="000B2315" w:rsidP="008F72F4">
            <w:pPr>
              <w:pStyle w:val="Tabulka"/>
              <w:keepNext/>
              <w:keepLines/>
              <w:rPr>
                <w:rFonts w:cs="Calibri"/>
                <w:lang w:val="cs-CZ" w:eastAsia="cs-CZ"/>
              </w:rPr>
            </w:pPr>
            <w:r w:rsidRPr="008B53A9">
              <w:rPr>
                <w:rFonts w:cs="Calibri"/>
                <w:lang w:val="cs-CZ" w:eastAsia="cs-CZ"/>
              </w:rPr>
              <w:t>Typ území</w:t>
            </w:r>
          </w:p>
        </w:tc>
        <w:tc>
          <w:tcPr>
            <w:tcW w:w="1196" w:type="pct"/>
            <w:gridSpan w:val="2"/>
            <w:shd w:val="clear" w:color="auto" w:fill="B8CCE4"/>
            <w:vAlign w:val="center"/>
          </w:tcPr>
          <w:p w:rsidR="000B2315" w:rsidRPr="008B53A9" w:rsidRDefault="000B2315" w:rsidP="008F72F4">
            <w:pPr>
              <w:pStyle w:val="Tabulka"/>
              <w:keepNext/>
              <w:keepLines/>
              <w:rPr>
                <w:rFonts w:cs="Calibri"/>
                <w:lang w:val="cs-CZ" w:eastAsia="cs-CZ"/>
              </w:rPr>
            </w:pPr>
            <w:r w:rsidRPr="008B53A9">
              <w:rPr>
                <w:rFonts w:cs="Calibri"/>
                <w:lang w:val="cs-CZ" w:eastAsia="cs-CZ"/>
              </w:rPr>
              <w:t>Tabulka č. 10:</w:t>
            </w:r>
          </w:p>
          <w:p w:rsidR="000B2315" w:rsidRPr="008B53A9" w:rsidRDefault="000B2315" w:rsidP="008F72F4">
            <w:pPr>
              <w:pStyle w:val="Tabulka"/>
              <w:keepNext/>
              <w:keepLines/>
              <w:rPr>
                <w:rFonts w:cs="Calibri"/>
                <w:lang w:val="cs-CZ" w:eastAsia="cs-CZ"/>
              </w:rPr>
            </w:pPr>
            <w:r w:rsidRPr="008B53A9">
              <w:rPr>
                <w:rFonts w:cs="Calibri"/>
                <w:lang w:val="cs-CZ" w:eastAsia="cs-CZ"/>
              </w:rPr>
              <w:t>Dimenze 4</w:t>
            </w:r>
          </w:p>
          <w:p w:rsidR="000B2315" w:rsidRPr="008B53A9" w:rsidRDefault="000B2315" w:rsidP="008F72F4">
            <w:pPr>
              <w:pStyle w:val="Tabulka"/>
              <w:keepNext/>
              <w:keepLines/>
              <w:rPr>
                <w:rFonts w:cs="Calibri"/>
                <w:lang w:val="cs-CZ" w:eastAsia="cs-CZ"/>
              </w:rPr>
            </w:pPr>
            <w:r w:rsidRPr="008B53A9">
              <w:rPr>
                <w:rFonts w:cs="Calibri"/>
                <w:lang w:val="cs-CZ" w:eastAsia="cs-CZ"/>
              </w:rPr>
              <w:t>Mechanismus územního plnění</w:t>
            </w:r>
          </w:p>
        </w:tc>
      </w:tr>
      <w:tr w:rsidR="000B2315" w:rsidRPr="008B53A9">
        <w:tc>
          <w:tcPr>
            <w:tcW w:w="524" w:type="pct"/>
            <w:shd w:val="clear" w:color="auto" w:fill="DBE5F1"/>
            <w:vAlign w:val="center"/>
          </w:tcPr>
          <w:p w:rsidR="000B2315" w:rsidRPr="008B53A9" w:rsidRDefault="000B2315" w:rsidP="008F72F4">
            <w:pPr>
              <w:pStyle w:val="Tabulka"/>
              <w:keepNext/>
              <w:keepLines/>
              <w:rPr>
                <w:rFonts w:cs="Calibri"/>
                <w:lang w:val="cs-CZ" w:eastAsia="cs-CZ"/>
              </w:rPr>
            </w:pPr>
            <w:r w:rsidRPr="008B53A9">
              <w:rPr>
                <w:rFonts w:cs="Calibri"/>
                <w:lang w:val="cs-CZ" w:eastAsia="cs-CZ"/>
              </w:rPr>
              <w:t>Kód</w:t>
            </w:r>
          </w:p>
        </w:tc>
        <w:tc>
          <w:tcPr>
            <w:tcW w:w="888" w:type="pct"/>
            <w:shd w:val="clear" w:color="auto" w:fill="DBE5F1"/>
            <w:vAlign w:val="center"/>
          </w:tcPr>
          <w:p w:rsidR="000B2315" w:rsidRPr="008B53A9" w:rsidRDefault="00D16DE9" w:rsidP="00814828">
            <w:pPr>
              <w:pStyle w:val="Tabulka"/>
              <w:keepNext/>
              <w:keepLines/>
              <w:rPr>
                <w:rFonts w:cs="Calibri"/>
                <w:lang w:val="cs-CZ" w:eastAsia="cs-CZ"/>
              </w:rPr>
            </w:pPr>
            <w:r w:rsidRPr="008B53A9">
              <w:rPr>
                <w:rFonts w:cs="Calibri"/>
                <w:lang w:val="cs-CZ" w:eastAsia="cs-CZ"/>
              </w:rPr>
              <w:t>Částka (v EUR)</w:t>
            </w:r>
          </w:p>
        </w:tc>
        <w:tc>
          <w:tcPr>
            <w:tcW w:w="273" w:type="pct"/>
            <w:shd w:val="clear" w:color="auto" w:fill="DBE5F1"/>
            <w:vAlign w:val="center"/>
          </w:tcPr>
          <w:p w:rsidR="000B2315" w:rsidRPr="008B53A9" w:rsidRDefault="000B2315" w:rsidP="008F72F4">
            <w:pPr>
              <w:pStyle w:val="Tabulka"/>
              <w:keepNext/>
              <w:keepLines/>
              <w:rPr>
                <w:rFonts w:cs="Calibri"/>
                <w:lang w:val="cs-CZ" w:eastAsia="cs-CZ"/>
              </w:rPr>
            </w:pPr>
            <w:r w:rsidRPr="008B53A9">
              <w:rPr>
                <w:rFonts w:cs="Calibri"/>
                <w:lang w:val="cs-CZ" w:eastAsia="cs-CZ"/>
              </w:rPr>
              <w:t>Kód</w:t>
            </w:r>
          </w:p>
        </w:tc>
        <w:tc>
          <w:tcPr>
            <w:tcW w:w="922" w:type="pct"/>
            <w:shd w:val="clear" w:color="auto" w:fill="DBE5F1"/>
            <w:vAlign w:val="center"/>
          </w:tcPr>
          <w:p w:rsidR="000B2315" w:rsidRPr="008B53A9" w:rsidRDefault="00D16DE9" w:rsidP="008F72F4">
            <w:pPr>
              <w:pStyle w:val="Tabulka"/>
              <w:keepNext/>
              <w:keepLines/>
              <w:rPr>
                <w:rFonts w:cs="Calibri"/>
                <w:lang w:val="cs-CZ" w:eastAsia="cs-CZ"/>
              </w:rPr>
            </w:pPr>
            <w:r w:rsidRPr="008B53A9">
              <w:rPr>
                <w:rFonts w:cs="Calibri"/>
                <w:lang w:val="cs-CZ" w:eastAsia="cs-CZ"/>
              </w:rPr>
              <w:t>Částka (v EUR)</w:t>
            </w:r>
          </w:p>
        </w:tc>
        <w:tc>
          <w:tcPr>
            <w:tcW w:w="316" w:type="pct"/>
            <w:shd w:val="clear" w:color="auto" w:fill="DBE5F1"/>
            <w:vAlign w:val="center"/>
          </w:tcPr>
          <w:p w:rsidR="000B2315" w:rsidRPr="008B53A9" w:rsidRDefault="000B2315" w:rsidP="008F72F4">
            <w:pPr>
              <w:pStyle w:val="Tabulka"/>
              <w:keepNext/>
              <w:keepLines/>
              <w:rPr>
                <w:rFonts w:cs="Calibri"/>
                <w:lang w:val="cs-CZ" w:eastAsia="cs-CZ"/>
              </w:rPr>
            </w:pPr>
            <w:r w:rsidRPr="008B53A9">
              <w:rPr>
                <w:rFonts w:cs="Calibri"/>
                <w:lang w:val="cs-CZ" w:eastAsia="cs-CZ"/>
              </w:rPr>
              <w:t>Kód</w:t>
            </w:r>
          </w:p>
        </w:tc>
        <w:tc>
          <w:tcPr>
            <w:tcW w:w="880" w:type="pct"/>
            <w:shd w:val="clear" w:color="auto" w:fill="DBE5F1"/>
            <w:vAlign w:val="center"/>
          </w:tcPr>
          <w:p w:rsidR="000B2315" w:rsidRPr="008B53A9" w:rsidRDefault="00D16DE9" w:rsidP="008F72F4">
            <w:pPr>
              <w:pStyle w:val="Tabulka"/>
              <w:keepNext/>
              <w:keepLines/>
              <w:rPr>
                <w:rFonts w:cs="Calibri"/>
                <w:lang w:val="cs-CZ" w:eastAsia="cs-CZ"/>
              </w:rPr>
            </w:pPr>
            <w:r w:rsidRPr="008B53A9">
              <w:rPr>
                <w:rFonts w:cs="Calibri"/>
                <w:lang w:val="cs-CZ" w:eastAsia="cs-CZ"/>
              </w:rPr>
              <w:t>Částka (v EUR)</w:t>
            </w:r>
          </w:p>
        </w:tc>
        <w:tc>
          <w:tcPr>
            <w:tcW w:w="282" w:type="pct"/>
            <w:shd w:val="clear" w:color="auto" w:fill="DBE5F1"/>
            <w:vAlign w:val="center"/>
          </w:tcPr>
          <w:p w:rsidR="000B2315" w:rsidRPr="008B53A9" w:rsidRDefault="000B2315" w:rsidP="008F72F4">
            <w:pPr>
              <w:pStyle w:val="Tabulka"/>
              <w:keepNext/>
              <w:keepLines/>
              <w:rPr>
                <w:rFonts w:cs="Calibri"/>
                <w:lang w:val="cs-CZ" w:eastAsia="cs-CZ"/>
              </w:rPr>
            </w:pPr>
            <w:r w:rsidRPr="008B53A9">
              <w:rPr>
                <w:rFonts w:cs="Calibri"/>
                <w:lang w:val="cs-CZ" w:eastAsia="cs-CZ"/>
              </w:rPr>
              <w:t>Kód</w:t>
            </w:r>
          </w:p>
        </w:tc>
        <w:tc>
          <w:tcPr>
            <w:tcW w:w="914" w:type="pct"/>
            <w:shd w:val="clear" w:color="auto" w:fill="DBE5F1"/>
            <w:vAlign w:val="center"/>
          </w:tcPr>
          <w:p w:rsidR="000B2315" w:rsidRPr="008B53A9" w:rsidRDefault="00D16DE9" w:rsidP="008F72F4">
            <w:pPr>
              <w:pStyle w:val="Tabulka"/>
              <w:keepNext/>
              <w:keepLines/>
              <w:rPr>
                <w:rFonts w:cs="Calibri"/>
                <w:lang w:val="cs-CZ" w:eastAsia="cs-CZ"/>
              </w:rPr>
            </w:pPr>
            <w:r w:rsidRPr="008B53A9">
              <w:rPr>
                <w:rFonts w:cs="Calibri"/>
                <w:lang w:val="cs-CZ" w:eastAsia="cs-CZ"/>
              </w:rPr>
              <w:t>Částka (v EUR)</w:t>
            </w:r>
          </w:p>
        </w:tc>
      </w:tr>
      <w:tr w:rsidR="00E84F99" w:rsidRPr="008B53A9">
        <w:tc>
          <w:tcPr>
            <w:tcW w:w="524" w:type="pct"/>
            <w:shd w:val="clear" w:color="auto" w:fill="auto"/>
            <w:vAlign w:val="center"/>
          </w:tcPr>
          <w:p w:rsidR="00E84F99" w:rsidRPr="008B53A9" w:rsidRDefault="00E84F99" w:rsidP="00DD63AD">
            <w:pPr>
              <w:pStyle w:val="Tabulka"/>
              <w:keepNext/>
              <w:keepLines/>
              <w:rPr>
                <w:rFonts w:cs="Calibri"/>
                <w:lang w:val="cs-CZ" w:eastAsia="cs-CZ"/>
              </w:rPr>
            </w:pPr>
            <w:r w:rsidRPr="008B53A9">
              <w:rPr>
                <w:rFonts w:cs="Calibri"/>
                <w:lang w:val="cs-CZ" w:eastAsia="cs-CZ"/>
              </w:rPr>
              <w:t>002</w:t>
            </w:r>
          </w:p>
        </w:tc>
        <w:tc>
          <w:tcPr>
            <w:tcW w:w="888" w:type="pct"/>
            <w:shd w:val="clear" w:color="auto" w:fill="auto"/>
            <w:vAlign w:val="bottom"/>
          </w:tcPr>
          <w:p w:rsidR="00E84F99" w:rsidRPr="008B53A9" w:rsidRDefault="00E84F99" w:rsidP="005646B0">
            <w:pPr>
              <w:pStyle w:val="Tabulka"/>
              <w:jc w:val="right"/>
              <w:rPr>
                <w:rFonts w:cs="Calibri"/>
                <w:lang w:val="cs-CZ" w:eastAsia="cs-CZ"/>
              </w:rPr>
            </w:pPr>
            <w:r w:rsidRPr="008B53A9">
              <w:rPr>
                <w:rFonts w:cs="Calibri"/>
                <w:lang w:val="cs-CZ" w:eastAsia="cs-CZ"/>
              </w:rPr>
              <w:t>153 266 129</w:t>
            </w:r>
          </w:p>
        </w:tc>
        <w:tc>
          <w:tcPr>
            <w:tcW w:w="273" w:type="pct"/>
            <w:shd w:val="clear" w:color="auto" w:fill="auto"/>
            <w:vAlign w:val="center"/>
          </w:tcPr>
          <w:p w:rsidR="00E84F99" w:rsidRPr="008B53A9" w:rsidRDefault="00E84F99" w:rsidP="005646B0">
            <w:pPr>
              <w:pStyle w:val="Tabulka"/>
              <w:rPr>
                <w:rFonts w:cs="Calibri"/>
                <w:lang w:val="cs-CZ" w:eastAsia="cs-CZ"/>
              </w:rPr>
            </w:pPr>
            <w:r w:rsidRPr="008B53A9">
              <w:rPr>
                <w:rFonts w:cs="Calibri"/>
                <w:lang w:val="cs-CZ" w:eastAsia="cs-CZ"/>
              </w:rPr>
              <w:t>01</w:t>
            </w:r>
          </w:p>
        </w:tc>
        <w:tc>
          <w:tcPr>
            <w:tcW w:w="922" w:type="pct"/>
            <w:shd w:val="clear" w:color="auto" w:fill="auto"/>
            <w:vAlign w:val="center"/>
          </w:tcPr>
          <w:p w:rsidR="00E84F99" w:rsidRPr="008B53A9" w:rsidRDefault="00E84F99" w:rsidP="005646B0">
            <w:pPr>
              <w:pStyle w:val="Tabulka"/>
              <w:jc w:val="right"/>
              <w:rPr>
                <w:rFonts w:cs="Calibri"/>
                <w:lang w:val="cs-CZ" w:eastAsia="cs-CZ"/>
              </w:rPr>
            </w:pPr>
            <w:r w:rsidRPr="008B53A9">
              <w:rPr>
                <w:rFonts w:cs="Calibri"/>
                <w:lang w:val="cs-CZ" w:eastAsia="cs-CZ"/>
              </w:rPr>
              <w:t>1 337 979 411</w:t>
            </w:r>
          </w:p>
        </w:tc>
        <w:tc>
          <w:tcPr>
            <w:tcW w:w="316" w:type="pct"/>
            <w:shd w:val="clear" w:color="auto" w:fill="auto"/>
            <w:vAlign w:val="center"/>
          </w:tcPr>
          <w:p w:rsidR="00E84F99" w:rsidRPr="008B53A9" w:rsidRDefault="00E84F99" w:rsidP="005646B0">
            <w:pPr>
              <w:pStyle w:val="Tabulka"/>
              <w:rPr>
                <w:rFonts w:cs="Calibri"/>
                <w:lang w:val="cs-CZ" w:eastAsia="cs-CZ"/>
              </w:rPr>
            </w:pPr>
            <w:r w:rsidRPr="008B53A9">
              <w:rPr>
                <w:rFonts w:cs="Calibri"/>
                <w:lang w:val="cs-CZ" w:eastAsia="cs-CZ"/>
              </w:rPr>
              <w:t>01</w:t>
            </w:r>
          </w:p>
        </w:tc>
        <w:tc>
          <w:tcPr>
            <w:tcW w:w="880" w:type="pct"/>
            <w:shd w:val="clear" w:color="auto" w:fill="auto"/>
            <w:vAlign w:val="center"/>
          </w:tcPr>
          <w:p w:rsidR="00E84F99" w:rsidRPr="008B53A9" w:rsidRDefault="00E84F99" w:rsidP="005646B0">
            <w:pPr>
              <w:pStyle w:val="Tabulka"/>
              <w:jc w:val="right"/>
              <w:rPr>
                <w:rFonts w:cs="Calibri"/>
                <w:lang w:val="cs-CZ" w:eastAsia="cs-CZ"/>
              </w:rPr>
            </w:pPr>
            <w:r w:rsidRPr="008B53A9">
              <w:rPr>
                <w:rFonts w:cs="Calibri"/>
                <w:lang w:val="cs-CZ" w:eastAsia="cs-CZ"/>
              </w:rPr>
              <w:t>401 393 823</w:t>
            </w:r>
          </w:p>
        </w:tc>
        <w:tc>
          <w:tcPr>
            <w:tcW w:w="282" w:type="pct"/>
            <w:shd w:val="clear" w:color="auto" w:fill="auto"/>
            <w:vAlign w:val="center"/>
          </w:tcPr>
          <w:p w:rsidR="00E84F99" w:rsidRPr="008B53A9" w:rsidRDefault="00E84F99" w:rsidP="005646B0">
            <w:pPr>
              <w:pStyle w:val="Tabulka"/>
              <w:rPr>
                <w:rFonts w:cs="Calibri"/>
                <w:lang w:val="cs-CZ" w:eastAsia="cs-CZ"/>
              </w:rPr>
            </w:pPr>
            <w:r w:rsidRPr="008B53A9">
              <w:rPr>
                <w:rFonts w:cs="Calibri"/>
                <w:lang w:val="cs-CZ" w:eastAsia="cs-CZ"/>
              </w:rPr>
              <w:t>01</w:t>
            </w:r>
          </w:p>
        </w:tc>
        <w:tc>
          <w:tcPr>
            <w:tcW w:w="914" w:type="pct"/>
            <w:shd w:val="clear" w:color="auto" w:fill="auto"/>
            <w:vAlign w:val="center"/>
          </w:tcPr>
          <w:p w:rsidR="00E84F99" w:rsidRPr="008B53A9" w:rsidRDefault="00E84F99" w:rsidP="005646B0">
            <w:pPr>
              <w:pStyle w:val="Tabulka"/>
              <w:jc w:val="right"/>
              <w:rPr>
                <w:rFonts w:cs="Calibri"/>
                <w:lang w:val="cs-CZ" w:eastAsia="cs-CZ"/>
              </w:rPr>
            </w:pPr>
            <w:r w:rsidRPr="008B53A9">
              <w:rPr>
                <w:rFonts w:cs="Calibri"/>
                <w:lang w:val="cs-CZ" w:eastAsia="cs-CZ"/>
              </w:rPr>
              <w:t>51 792 751</w:t>
            </w:r>
          </w:p>
        </w:tc>
      </w:tr>
      <w:tr w:rsidR="00E84F99" w:rsidRPr="008B53A9">
        <w:tc>
          <w:tcPr>
            <w:tcW w:w="524" w:type="pct"/>
            <w:shd w:val="clear" w:color="auto" w:fill="auto"/>
            <w:vAlign w:val="center"/>
          </w:tcPr>
          <w:p w:rsidR="00E84F99" w:rsidRPr="008B53A9" w:rsidRDefault="00E84F99" w:rsidP="00DD63AD">
            <w:pPr>
              <w:pStyle w:val="Tabulka"/>
              <w:rPr>
                <w:rFonts w:cs="Calibri"/>
                <w:lang w:val="cs-CZ" w:eastAsia="cs-CZ"/>
              </w:rPr>
            </w:pPr>
            <w:r w:rsidRPr="008B53A9">
              <w:rPr>
                <w:rFonts w:cs="Calibri"/>
                <w:lang w:val="cs-CZ" w:eastAsia="cs-CZ"/>
              </w:rPr>
              <w:t>056</w:t>
            </w:r>
          </w:p>
        </w:tc>
        <w:tc>
          <w:tcPr>
            <w:tcW w:w="888" w:type="pct"/>
            <w:shd w:val="clear" w:color="auto" w:fill="auto"/>
            <w:vAlign w:val="bottom"/>
          </w:tcPr>
          <w:p w:rsidR="00E84F99" w:rsidRPr="008B53A9" w:rsidRDefault="00E84F99" w:rsidP="005646B0">
            <w:pPr>
              <w:pStyle w:val="Tabulka"/>
              <w:jc w:val="right"/>
              <w:rPr>
                <w:rFonts w:cs="Calibri"/>
                <w:lang w:val="cs-CZ" w:eastAsia="cs-CZ"/>
              </w:rPr>
            </w:pPr>
            <w:r w:rsidRPr="008B53A9">
              <w:rPr>
                <w:rFonts w:cs="Calibri"/>
                <w:lang w:val="cs-CZ" w:eastAsia="cs-CZ"/>
              </w:rPr>
              <w:t>186 535 297</w:t>
            </w:r>
          </w:p>
        </w:tc>
        <w:tc>
          <w:tcPr>
            <w:tcW w:w="273" w:type="pct"/>
            <w:shd w:val="clear" w:color="auto" w:fill="auto"/>
            <w:vAlign w:val="center"/>
          </w:tcPr>
          <w:p w:rsidR="00E84F99" w:rsidRPr="008B53A9" w:rsidRDefault="00E84F99" w:rsidP="005646B0">
            <w:pPr>
              <w:pStyle w:val="Tabulka"/>
              <w:rPr>
                <w:rFonts w:cs="Calibri"/>
                <w:lang w:val="cs-CZ" w:eastAsia="cs-CZ"/>
              </w:rPr>
            </w:pPr>
          </w:p>
        </w:tc>
        <w:tc>
          <w:tcPr>
            <w:tcW w:w="922" w:type="pct"/>
            <w:shd w:val="clear" w:color="auto" w:fill="auto"/>
            <w:vAlign w:val="center"/>
          </w:tcPr>
          <w:p w:rsidR="00E84F99" w:rsidRPr="008B53A9" w:rsidRDefault="00E84F99" w:rsidP="005646B0">
            <w:pPr>
              <w:pStyle w:val="Tabulka"/>
              <w:jc w:val="right"/>
              <w:rPr>
                <w:rFonts w:cs="Calibri"/>
                <w:lang w:val="cs-CZ" w:eastAsia="cs-CZ"/>
              </w:rPr>
            </w:pPr>
          </w:p>
        </w:tc>
        <w:tc>
          <w:tcPr>
            <w:tcW w:w="316" w:type="pct"/>
            <w:shd w:val="clear" w:color="auto" w:fill="auto"/>
            <w:vAlign w:val="center"/>
          </w:tcPr>
          <w:p w:rsidR="00E84F99" w:rsidRPr="008B53A9" w:rsidRDefault="00E84F99" w:rsidP="005646B0">
            <w:pPr>
              <w:pStyle w:val="Tabulka"/>
              <w:rPr>
                <w:rFonts w:cs="Calibri"/>
                <w:lang w:val="cs-CZ" w:eastAsia="cs-CZ"/>
              </w:rPr>
            </w:pPr>
            <w:r w:rsidRPr="008B53A9">
              <w:rPr>
                <w:rFonts w:cs="Calibri"/>
                <w:lang w:val="cs-CZ" w:eastAsia="cs-CZ"/>
              </w:rPr>
              <w:t>02</w:t>
            </w:r>
          </w:p>
        </w:tc>
        <w:tc>
          <w:tcPr>
            <w:tcW w:w="880" w:type="pct"/>
            <w:shd w:val="clear" w:color="auto" w:fill="auto"/>
            <w:vAlign w:val="center"/>
          </w:tcPr>
          <w:p w:rsidR="00E84F99" w:rsidRPr="008B53A9" w:rsidRDefault="00E84F99" w:rsidP="005646B0">
            <w:pPr>
              <w:pStyle w:val="Tabulka"/>
              <w:jc w:val="right"/>
              <w:rPr>
                <w:rFonts w:cs="Calibri"/>
                <w:lang w:val="cs-CZ" w:eastAsia="cs-CZ"/>
              </w:rPr>
            </w:pPr>
            <w:r w:rsidRPr="008B53A9">
              <w:rPr>
                <w:rFonts w:cs="Calibri"/>
                <w:lang w:val="cs-CZ" w:eastAsia="cs-CZ"/>
              </w:rPr>
              <w:t>561 951 353</w:t>
            </w:r>
          </w:p>
        </w:tc>
        <w:tc>
          <w:tcPr>
            <w:tcW w:w="282" w:type="pct"/>
            <w:shd w:val="clear" w:color="auto" w:fill="auto"/>
            <w:vAlign w:val="center"/>
          </w:tcPr>
          <w:p w:rsidR="00E84F99" w:rsidRPr="008B53A9" w:rsidRDefault="00E84F99" w:rsidP="005646B0">
            <w:pPr>
              <w:pStyle w:val="Tabulka"/>
              <w:rPr>
                <w:rFonts w:cs="Calibri"/>
                <w:lang w:val="cs-CZ" w:eastAsia="cs-CZ"/>
              </w:rPr>
            </w:pPr>
            <w:r w:rsidRPr="008B53A9">
              <w:rPr>
                <w:rFonts w:cs="Calibri"/>
                <w:lang w:val="cs-CZ" w:eastAsia="cs-CZ"/>
              </w:rPr>
              <w:t>07</w:t>
            </w:r>
          </w:p>
        </w:tc>
        <w:tc>
          <w:tcPr>
            <w:tcW w:w="914" w:type="pct"/>
            <w:shd w:val="clear" w:color="auto" w:fill="auto"/>
            <w:vAlign w:val="center"/>
          </w:tcPr>
          <w:p w:rsidR="00E84F99" w:rsidRPr="008B53A9" w:rsidRDefault="00E84F99" w:rsidP="005646B0">
            <w:pPr>
              <w:pStyle w:val="Tabulka"/>
              <w:jc w:val="right"/>
              <w:rPr>
                <w:rFonts w:cs="Calibri"/>
                <w:lang w:val="cs-CZ" w:eastAsia="cs-CZ"/>
              </w:rPr>
            </w:pPr>
            <w:r w:rsidRPr="008B53A9">
              <w:rPr>
                <w:rFonts w:cs="Calibri"/>
                <w:lang w:val="cs-CZ" w:eastAsia="cs-CZ"/>
              </w:rPr>
              <w:t>1 286 186 660</w:t>
            </w:r>
          </w:p>
        </w:tc>
      </w:tr>
      <w:tr w:rsidR="005A3DC9" w:rsidRPr="008B53A9">
        <w:tc>
          <w:tcPr>
            <w:tcW w:w="524" w:type="pct"/>
            <w:shd w:val="clear" w:color="auto" w:fill="auto"/>
            <w:vAlign w:val="center"/>
          </w:tcPr>
          <w:p w:rsidR="005A3DC9" w:rsidRPr="008B53A9" w:rsidRDefault="005A3DC9" w:rsidP="00DD63AD">
            <w:pPr>
              <w:pStyle w:val="Tabulka"/>
              <w:rPr>
                <w:rFonts w:cs="Calibri"/>
                <w:lang w:val="cs-CZ" w:eastAsia="cs-CZ"/>
              </w:rPr>
            </w:pPr>
            <w:r w:rsidRPr="008B53A9">
              <w:rPr>
                <w:rFonts w:cs="Calibri"/>
                <w:lang w:val="cs-CZ" w:eastAsia="cs-CZ"/>
              </w:rPr>
              <w:t>057</w:t>
            </w:r>
          </w:p>
        </w:tc>
        <w:tc>
          <w:tcPr>
            <w:tcW w:w="888" w:type="pct"/>
            <w:shd w:val="clear" w:color="auto" w:fill="auto"/>
            <w:vAlign w:val="bottom"/>
          </w:tcPr>
          <w:p w:rsidR="005A3DC9" w:rsidRPr="008B53A9" w:rsidRDefault="005A3DC9" w:rsidP="005646B0">
            <w:pPr>
              <w:pStyle w:val="Tabulka"/>
              <w:jc w:val="right"/>
              <w:rPr>
                <w:rFonts w:cs="Calibri"/>
                <w:lang w:val="cs-CZ" w:eastAsia="cs-CZ"/>
              </w:rPr>
            </w:pPr>
            <w:r w:rsidRPr="008B53A9">
              <w:rPr>
                <w:rFonts w:cs="Calibri"/>
                <w:lang w:val="cs-CZ" w:eastAsia="cs-CZ"/>
              </w:rPr>
              <w:t>113 444 576</w:t>
            </w:r>
          </w:p>
        </w:tc>
        <w:tc>
          <w:tcPr>
            <w:tcW w:w="273" w:type="pct"/>
            <w:shd w:val="clear" w:color="auto" w:fill="auto"/>
            <w:vAlign w:val="center"/>
          </w:tcPr>
          <w:p w:rsidR="005A3DC9" w:rsidRPr="008B53A9" w:rsidRDefault="005A3DC9" w:rsidP="005646B0">
            <w:pPr>
              <w:pStyle w:val="Tabulka"/>
              <w:rPr>
                <w:rFonts w:cs="Calibri"/>
                <w:lang w:val="cs-CZ" w:eastAsia="cs-CZ"/>
              </w:rPr>
            </w:pPr>
          </w:p>
        </w:tc>
        <w:tc>
          <w:tcPr>
            <w:tcW w:w="922" w:type="pct"/>
            <w:shd w:val="clear" w:color="auto" w:fill="auto"/>
            <w:vAlign w:val="center"/>
          </w:tcPr>
          <w:p w:rsidR="005A3DC9" w:rsidRPr="008B53A9" w:rsidRDefault="005A3DC9" w:rsidP="005646B0">
            <w:pPr>
              <w:pStyle w:val="Tabulka"/>
              <w:jc w:val="right"/>
              <w:rPr>
                <w:rFonts w:cs="Calibri"/>
                <w:lang w:val="cs-CZ" w:eastAsia="cs-CZ"/>
              </w:rPr>
            </w:pPr>
          </w:p>
        </w:tc>
        <w:tc>
          <w:tcPr>
            <w:tcW w:w="316" w:type="pct"/>
            <w:shd w:val="clear" w:color="auto" w:fill="auto"/>
            <w:vAlign w:val="center"/>
          </w:tcPr>
          <w:p w:rsidR="005A3DC9" w:rsidRPr="008B53A9" w:rsidRDefault="005A3DC9" w:rsidP="005646B0">
            <w:pPr>
              <w:pStyle w:val="Tabulka"/>
              <w:rPr>
                <w:rFonts w:cs="Calibri"/>
                <w:lang w:val="cs-CZ" w:eastAsia="cs-CZ"/>
              </w:rPr>
            </w:pPr>
            <w:r w:rsidRPr="008B53A9">
              <w:rPr>
                <w:rFonts w:cs="Calibri"/>
                <w:lang w:val="cs-CZ" w:eastAsia="cs-CZ"/>
              </w:rPr>
              <w:t>03</w:t>
            </w:r>
          </w:p>
        </w:tc>
        <w:tc>
          <w:tcPr>
            <w:tcW w:w="880" w:type="pct"/>
            <w:shd w:val="clear" w:color="auto" w:fill="auto"/>
            <w:vAlign w:val="center"/>
          </w:tcPr>
          <w:p w:rsidR="005A3DC9" w:rsidRPr="008B53A9" w:rsidRDefault="005A3DC9" w:rsidP="005646B0">
            <w:pPr>
              <w:pStyle w:val="Tabulka"/>
              <w:jc w:val="right"/>
              <w:rPr>
                <w:rFonts w:cs="Calibri"/>
                <w:lang w:val="cs-CZ" w:eastAsia="cs-CZ"/>
              </w:rPr>
            </w:pPr>
            <w:r w:rsidRPr="008B53A9">
              <w:rPr>
                <w:rFonts w:cs="Calibri"/>
                <w:lang w:val="cs-CZ" w:eastAsia="cs-CZ"/>
              </w:rPr>
              <w:t>374 634 235</w:t>
            </w:r>
          </w:p>
        </w:tc>
        <w:tc>
          <w:tcPr>
            <w:tcW w:w="282" w:type="pct"/>
            <w:shd w:val="clear" w:color="auto" w:fill="auto"/>
            <w:vAlign w:val="center"/>
          </w:tcPr>
          <w:p w:rsidR="005A3DC9" w:rsidRPr="008B53A9" w:rsidRDefault="005A3DC9" w:rsidP="005646B0">
            <w:pPr>
              <w:pStyle w:val="Tabulka"/>
              <w:rPr>
                <w:rFonts w:cs="Calibri"/>
                <w:lang w:val="cs-CZ" w:eastAsia="cs-CZ"/>
              </w:rPr>
            </w:pPr>
          </w:p>
        </w:tc>
        <w:tc>
          <w:tcPr>
            <w:tcW w:w="914" w:type="pct"/>
            <w:shd w:val="clear" w:color="auto" w:fill="auto"/>
            <w:vAlign w:val="center"/>
          </w:tcPr>
          <w:p w:rsidR="005A3DC9" w:rsidRPr="008B53A9" w:rsidRDefault="005A3DC9" w:rsidP="005646B0">
            <w:pPr>
              <w:pStyle w:val="Tabulka"/>
              <w:jc w:val="right"/>
              <w:rPr>
                <w:rFonts w:cs="Calibri"/>
                <w:lang w:val="cs-CZ" w:eastAsia="cs-CZ"/>
              </w:rPr>
            </w:pPr>
          </w:p>
        </w:tc>
      </w:tr>
      <w:tr w:rsidR="005A3DC9" w:rsidRPr="008B53A9">
        <w:tc>
          <w:tcPr>
            <w:tcW w:w="524" w:type="pct"/>
            <w:shd w:val="clear" w:color="auto" w:fill="auto"/>
            <w:vAlign w:val="center"/>
          </w:tcPr>
          <w:p w:rsidR="005A3DC9" w:rsidRPr="008B53A9" w:rsidRDefault="005A3DC9" w:rsidP="00DD63AD">
            <w:pPr>
              <w:pStyle w:val="Tabulka"/>
              <w:rPr>
                <w:rFonts w:cs="Calibri"/>
                <w:lang w:val="cs-CZ" w:eastAsia="cs-CZ"/>
              </w:rPr>
            </w:pPr>
            <w:r w:rsidRPr="008B53A9">
              <w:rPr>
                <w:rFonts w:cs="Calibri"/>
                <w:lang w:val="cs-CZ" w:eastAsia="cs-CZ"/>
              </w:rPr>
              <w:t>058</w:t>
            </w:r>
          </w:p>
        </w:tc>
        <w:tc>
          <w:tcPr>
            <w:tcW w:w="888" w:type="pct"/>
            <w:shd w:val="clear" w:color="auto" w:fill="auto"/>
            <w:vAlign w:val="bottom"/>
          </w:tcPr>
          <w:p w:rsidR="005A3DC9" w:rsidRPr="008B53A9" w:rsidRDefault="005A3DC9" w:rsidP="005646B0">
            <w:pPr>
              <w:pStyle w:val="Tabulka"/>
              <w:jc w:val="right"/>
              <w:rPr>
                <w:rFonts w:cs="Calibri"/>
                <w:lang w:val="cs-CZ" w:eastAsia="cs-CZ"/>
              </w:rPr>
            </w:pPr>
            <w:r w:rsidRPr="008B53A9">
              <w:rPr>
                <w:rFonts w:cs="Calibri"/>
                <w:lang w:val="cs-CZ" w:eastAsia="cs-CZ"/>
              </w:rPr>
              <w:t>75 531 096</w:t>
            </w:r>
          </w:p>
        </w:tc>
        <w:tc>
          <w:tcPr>
            <w:tcW w:w="273" w:type="pct"/>
            <w:shd w:val="clear" w:color="auto" w:fill="auto"/>
            <w:vAlign w:val="center"/>
          </w:tcPr>
          <w:p w:rsidR="005A3DC9" w:rsidRPr="008B53A9" w:rsidRDefault="005A3DC9" w:rsidP="005646B0">
            <w:pPr>
              <w:pStyle w:val="Tabulka"/>
              <w:rPr>
                <w:rFonts w:cs="Calibri"/>
                <w:lang w:val="cs-CZ" w:eastAsia="cs-CZ"/>
              </w:rPr>
            </w:pPr>
          </w:p>
        </w:tc>
        <w:tc>
          <w:tcPr>
            <w:tcW w:w="922" w:type="pct"/>
            <w:shd w:val="clear" w:color="auto" w:fill="auto"/>
            <w:vAlign w:val="center"/>
          </w:tcPr>
          <w:p w:rsidR="005A3DC9" w:rsidRPr="008B53A9" w:rsidRDefault="005A3DC9" w:rsidP="005646B0">
            <w:pPr>
              <w:pStyle w:val="Tabulka"/>
              <w:jc w:val="right"/>
              <w:rPr>
                <w:rFonts w:cs="Calibri"/>
                <w:lang w:val="cs-CZ" w:eastAsia="cs-CZ"/>
              </w:rPr>
            </w:pPr>
          </w:p>
        </w:tc>
        <w:tc>
          <w:tcPr>
            <w:tcW w:w="316" w:type="pct"/>
            <w:shd w:val="clear" w:color="auto" w:fill="auto"/>
            <w:vAlign w:val="center"/>
          </w:tcPr>
          <w:p w:rsidR="005A3DC9" w:rsidRPr="008B53A9" w:rsidRDefault="005A3DC9" w:rsidP="005646B0">
            <w:pPr>
              <w:pStyle w:val="Tabulka"/>
              <w:rPr>
                <w:rFonts w:cs="Calibri"/>
                <w:lang w:val="cs-CZ" w:eastAsia="cs-CZ"/>
              </w:rPr>
            </w:pPr>
          </w:p>
        </w:tc>
        <w:tc>
          <w:tcPr>
            <w:tcW w:w="880" w:type="pct"/>
            <w:shd w:val="clear" w:color="auto" w:fill="auto"/>
            <w:vAlign w:val="center"/>
          </w:tcPr>
          <w:p w:rsidR="005A3DC9" w:rsidRPr="008B53A9" w:rsidRDefault="005A3DC9" w:rsidP="005646B0">
            <w:pPr>
              <w:pStyle w:val="Tabulka"/>
              <w:jc w:val="right"/>
              <w:rPr>
                <w:rFonts w:cs="Calibri"/>
                <w:lang w:val="cs-CZ" w:eastAsia="cs-CZ"/>
              </w:rPr>
            </w:pPr>
          </w:p>
        </w:tc>
        <w:tc>
          <w:tcPr>
            <w:tcW w:w="282" w:type="pct"/>
            <w:shd w:val="clear" w:color="auto" w:fill="auto"/>
            <w:vAlign w:val="center"/>
          </w:tcPr>
          <w:p w:rsidR="005A3DC9" w:rsidRPr="008B53A9" w:rsidRDefault="005A3DC9" w:rsidP="005646B0">
            <w:pPr>
              <w:pStyle w:val="Tabulka"/>
              <w:rPr>
                <w:rFonts w:cs="Calibri"/>
                <w:lang w:val="cs-CZ" w:eastAsia="cs-CZ"/>
              </w:rPr>
            </w:pPr>
          </w:p>
        </w:tc>
        <w:tc>
          <w:tcPr>
            <w:tcW w:w="914" w:type="pct"/>
            <w:shd w:val="clear" w:color="auto" w:fill="auto"/>
            <w:vAlign w:val="center"/>
          </w:tcPr>
          <w:p w:rsidR="005A3DC9" w:rsidRPr="008B53A9" w:rsidRDefault="005A3DC9" w:rsidP="005646B0">
            <w:pPr>
              <w:pStyle w:val="Tabulka"/>
              <w:jc w:val="right"/>
              <w:rPr>
                <w:rFonts w:cs="Calibri"/>
                <w:lang w:val="cs-CZ" w:eastAsia="cs-CZ"/>
              </w:rPr>
            </w:pPr>
          </w:p>
        </w:tc>
      </w:tr>
      <w:tr w:rsidR="005A3DC9" w:rsidRPr="008B53A9">
        <w:tc>
          <w:tcPr>
            <w:tcW w:w="524" w:type="pct"/>
            <w:shd w:val="clear" w:color="auto" w:fill="auto"/>
            <w:vAlign w:val="center"/>
          </w:tcPr>
          <w:p w:rsidR="005A3DC9" w:rsidRPr="008B53A9" w:rsidRDefault="005A3DC9" w:rsidP="00DD63AD">
            <w:pPr>
              <w:pStyle w:val="Tabulka"/>
              <w:rPr>
                <w:rFonts w:cs="Calibri"/>
                <w:lang w:val="cs-CZ" w:eastAsia="cs-CZ"/>
              </w:rPr>
            </w:pPr>
            <w:r w:rsidRPr="008B53A9">
              <w:rPr>
                <w:rFonts w:cs="Calibri"/>
                <w:lang w:val="cs-CZ" w:eastAsia="cs-CZ"/>
              </w:rPr>
              <w:t>059</w:t>
            </w:r>
          </w:p>
        </w:tc>
        <w:tc>
          <w:tcPr>
            <w:tcW w:w="888" w:type="pct"/>
            <w:shd w:val="clear" w:color="auto" w:fill="auto"/>
            <w:vAlign w:val="bottom"/>
          </w:tcPr>
          <w:p w:rsidR="005A3DC9" w:rsidRPr="008B53A9" w:rsidRDefault="005A3DC9" w:rsidP="005646B0">
            <w:pPr>
              <w:pStyle w:val="Tabulka"/>
              <w:jc w:val="right"/>
              <w:rPr>
                <w:rFonts w:cs="Calibri"/>
                <w:lang w:val="cs-CZ" w:eastAsia="cs-CZ"/>
              </w:rPr>
            </w:pPr>
            <w:r w:rsidRPr="008B53A9">
              <w:rPr>
                <w:rFonts w:cs="Calibri"/>
                <w:lang w:val="cs-CZ" w:eastAsia="cs-CZ"/>
              </w:rPr>
              <w:t>134 277 503</w:t>
            </w:r>
          </w:p>
        </w:tc>
        <w:tc>
          <w:tcPr>
            <w:tcW w:w="273" w:type="pct"/>
            <w:shd w:val="clear" w:color="auto" w:fill="auto"/>
            <w:vAlign w:val="center"/>
          </w:tcPr>
          <w:p w:rsidR="005A3DC9" w:rsidRPr="008B53A9" w:rsidRDefault="005A3DC9" w:rsidP="005646B0">
            <w:pPr>
              <w:pStyle w:val="Tabulka"/>
              <w:rPr>
                <w:rFonts w:cs="Calibri"/>
                <w:lang w:val="cs-CZ" w:eastAsia="cs-CZ"/>
              </w:rPr>
            </w:pPr>
          </w:p>
        </w:tc>
        <w:tc>
          <w:tcPr>
            <w:tcW w:w="922" w:type="pct"/>
            <w:shd w:val="clear" w:color="auto" w:fill="auto"/>
            <w:vAlign w:val="center"/>
          </w:tcPr>
          <w:p w:rsidR="005A3DC9" w:rsidRPr="008B53A9" w:rsidRDefault="005A3DC9" w:rsidP="005646B0">
            <w:pPr>
              <w:pStyle w:val="Tabulka"/>
              <w:jc w:val="right"/>
              <w:rPr>
                <w:rFonts w:cs="Calibri"/>
                <w:lang w:val="cs-CZ" w:eastAsia="cs-CZ"/>
              </w:rPr>
            </w:pPr>
          </w:p>
        </w:tc>
        <w:tc>
          <w:tcPr>
            <w:tcW w:w="316" w:type="pct"/>
            <w:shd w:val="clear" w:color="auto" w:fill="auto"/>
            <w:vAlign w:val="center"/>
          </w:tcPr>
          <w:p w:rsidR="005A3DC9" w:rsidRPr="008B53A9" w:rsidRDefault="005A3DC9" w:rsidP="005646B0">
            <w:pPr>
              <w:pStyle w:val="Tabulka"/>
              <w:rPr>
                <w:rFonts w:cs="Calibri"/>
                <w:lang w:val="cs-CZ" w:eastAsia="cs-CZ"/>
              </w:rPr>
            </w:pPr>
          </w:p>
        </w:tc>
        <w:tc>
          <w:tcPr>
            <w:tcW w:w="880" w:type="pct"/>
            <w:shd w:val="clear" w:color="auto" w:fill="auto"/>
            <w:vAlign w:val="center"/>
          </w:tcPr>
          <w:p w:rsidR="005A3DC9" w:rsidRPr="008B53A9" w:rsidRDefault="005A3DC9" w:rsidP="005646B0">
            <w:pPr>
              <w:pStyle w:val="Tabulka"/>
              <w:jc w:val="right"/>
              <w:rPr>
                <w:rFonts w:cs="Calibri"/>
                <w:lang w:val="cs-CZ" w:eastAsia="cs-CZ"/>
              </w:rPr>
            </w:pPr>
          </w:p>
        </w:tc>
        <w:tc>
          <w:tcPr>
            <w:tcW w:w="282" w:type="pct"/>
            <w:shd w:val="clear" w:color="auto" w:fill="auto"/>
            <w:vAlign w:val="center"/>
          </w:tcPr>
          <w:p w:rsidR="005A3DC9" w:rsidRPr="008B53A9" w:rsidRDefault="005A3DC9" w:rsidP="005646B0">
            <w:pPr>
              <w:pStyle w:val="Tabulka"/>
              <w:rPr>
                <w:rFonts w:cs="Calibri"/>
                <w:lang w:val="cs-CZ" w:eastAsia="cs-CZ"/>
              </w:rPr>
            </w:pPr>
          </w:p>
        </w:tc>
        <w:tc>
          <w:tcPr>
            <w:tcW w:w="914" w:type="pct"/>
            <w:shd w:val="clear" w:color="auto" w:fill="auto"/>
            <w:vAlign w:val="center"/>
          </w:tcPr>
          <w:p w:rsidR="005A3DC9" w:rsidRPr="008B53A9" w:rsidRDefault="005A3DC9" w:rsidP="005646B0">
            <w:pPr>
              <w:pStyle w:val="Tabulka"/>
              <w:jc w:val="right"/>
              <w:rPr>
                <w:rFonts w:cs="Calibri"/>
                <w:lang w:val="cs-CZ" w:eastAsia="cs-CZ"/>
              </w:rPr>
            </w:pPr>
          </w:p>
        </w:tc>
      </w:tr>
      <w:tr w:rsidR="005A3DC9" w:rsidRPr="008B53A9">
        <w:tc>
          <w:tcPr>
            <w:tcW w:w="524" w:type="pct"/>
            <w:shd w:val="clear" w:color="auto" w:fill="auto"/>
            <w:vAlign w:val="center"/>
          </w:tcPr>
          <w:p w:rsidR="005A3DC9" w:rsidRPr="008B53A9" w:rsidRDefault="005A3DC9" w:rsidP="00DD63AD">
            <w:pPr>
              <w:pStyle w:val="Tabulka"/>
              <w:rPr>
                <w:rFonts w:cs="Calibri"/>
                <w:lang w:val="cs-CZ" w:eastAsia="cs-CZ"/>
              </w:rPr>
            </w:pPr>
            <w:r w:rsidRPr="008B53A9">
              <w:rPr>
                <w:rFonts w:cs="Calibri"/>
                <w:lang w:val="cs-CZ" w:eastAsia="cs-CZ"/>
              </w:rPr>
              <w:t>060</w:t>
            </w:r>
          </w:p>
        </w:tc>
        <w:tc>
          <w:tcPr>
            <w:tcW w:w="888" w:type="pct"/>
            <w:shd w:val="clear" w:color="auto" w:fill="auto"/>
            <w:vAlign w:val="bottom"/>
          </w:tcPr>
          <w:p w:rsidR="005A3DC9" w:rsidRPr="008B53A9" w:rsidRDefault="005A3DC9" w:rsidP="005646B0">
            <w:pPr>
              <w:pStyle w:val="Tabulka"/>
              <w:jc w:val="right"/>
              <w:rPr>
                <w:rFonts w:cs="Calibri"/>
                <w:lang w:val="cs-CZ" w:eastAsia="cs-CZ"/>
              </w:rPr>
            </w:pPr>
            <w:r w:rsidRPr="008B53A9">
              <w:rPr>
                <w:rFonts w:cs="Calibri"/>
                <w:lang w:val="cs-CZ" w:eastAsia="cs-CZ"/>
              </w:rPr>
              <w:t>55 772 868</w:t>
            </w:r>
          </w:p>
        </w:tc>
        <w:tc>
          <w:tcPr>
            <w:tcW w:w="273" w:type="pct"/>
            <w:shd w:val="clear" w:color="auto" w:fill="auto"/>
            <w:vAlign w:val="center"/>
          </w:tcPr>
          <w:p w:rsidR="005A3DC9" w:rsidRPr="008B53A9" w:rsidRDefault="005A3DC9" w:rsidP="005646B0">
            <w:pPr>
              <w:pStyle w:val="Tabulka"/>
              <w:rPr>
                <w:rFonts w:cs="Calibri"/>
                <w:lang w:val="cs-CZ" w:eastAsia="cs-CZ"/>
              </w:rPr>
            </w:pPr>
          </w:p>
        </w:tc>
        <w:tc>
          <w:tcPr>
            <w:tcW w:w="922" w:type="pct"/>
            <w:shd w:val="clear" w:color="auto" w:fill="auto"/>
            <w:vAlign w:val="center"/>
          </w:tcPr>
          <w:p w:rsidR="005A3DC9" w:rsidRPr="008B53A9" w:rsidRDefault="005A3DC9" w:rsidP="005646B0">
            <w:pPr>
              <w:pStyle w:val="Tabulka"/>
              <w:jc w:val="right"/>
              <w:rPr>
                <w:rFonts w:cs="Calibri"/>
                <w:lang w:val="cs-CZ" w:eastAsia="cs-CZ"/>
              </w:rPr>
            </w:pPr>
          </w:p>
        </w:tc>
        <w:tc>
          <w:tcPr>
            <w:tcW w:w="316" w:type="pct"/>
            <w:shd w:val="clear" w:color="auto" w:fill="auto"/>
            <w:vAlign w:val="center"/>
          </w:tcPr>
          <w:p w:rsidR="005A3DC9" w:rsidRPr="008B53A9" w:rsidRDefault="005A3DC9" w:rsidP="005646B0">
            <w:pPr>
              <w:pStyle w:val="Tabulka"/>
              <w:rPr>
                <w:rFonts w:cs="Calibri"/>
                <w:lang w:val="cs-CZ" w:eastAsia="cs-CZ"/>
              </w:rPr>
            </w:pPr>
          </w:p>
        </w:tc>
        <w:tc>
          <w:tcPr>
            <w:tcW w:w="880" w:type="pct"/>
            <w:shd w:val="clear" w:color="auto" w:fill="auto"/>
            <w:vAlign w:val="center"/>
          </w:tcPr>
          <w:p w:rsidR="005A3DC9" w:rsidRPr="008B53A9" w:rsidRDefault="005A3DC9" w:rsidP="005646B0">
            <w:pPr>
              <w:pStyle w:val="Tabulka"/>
              <w:jc w:val="right"/>
              <w:rPr>
                <w:rFonts w:cs="Calibri"/>
                <w:lang w:val="cs-CZ" w:eastAsia="cs-CZ"/>
              </w:rPr>
            </w:pPr>
          </w:p>
        </w:tc>
        <w:tc>
          <w:tcPr>
            <w:tcW w:w="282" w:type="pct"/>
            <w:shd w:val="clear" w:color="auto" w:fill="auto"/>
            <w:vAlign w:val="center"/>
          </w:tcPr>
          <w:p w:rsidR="005A3DC9" w:rsidRPr="008B53A9" w:rsidRDefault="005A3DC9" w:rsidP="005646B0">
            <w:pPr>
              <w:pStyle w:val="Tabulka"/>
              <w:rPr>
                <w:rFonts w:cs="Calibri"/>
                <w:lang w:val="cs-CZ" w:eastAsia="cs-CZ"/>
              </w:rPr>
            </w:pPr>
          </w:p>
        </w:tc>
        <w:tc>
          <w:tcPr>
            <w:tcW w:w="914" w:type="pct"/>
            <w:shd w:val="clear" w:color="auto" w:fill="auto"/>
            <w:vAlign w:val="center"/>
          </w:tcPr>
          <w:p w:rsidR="005A3DC9" w:rsidRPr="008B53A9" w:rsidRDefault="005A3DC9" w:rsidP="005646B0">
            <w:pPr>
              <w:pStyle w:val="Tabulka"/>
              <w:jc w:val="right"/>
              <w:rPr>
                <w:rFonts w:cs="Calibri"/>
                <w:lang w:val="cs-CZ" w:eastAsia="cs-CZ"/>
              </w:rPr>
            </w:pPr>
          </w:p>
        </w:tc>
      </w:tr>
      <w:tr w:rsidR="005A3DC9" w:rsidRPr="008B53A9">
        <w:tc>
          <w:tcPr>
            <w:tcW w:w="524" w:type="pct"/>
            <w:shd w:val="clear" w:color="auto" w:fill="auto"/>
            <w:vAlign w:val="center"/>
          </w:tcPr>
          <w:p w:rsidR="005A3DC9" w:rsidRPr="008B53A9" w:rsidRDefault="005A3DC9" w:rsidP="00DD63AD">
            <w:pPr>
              <w:pStyle w:val="Tabulka"/>
              <w:rPr>
                <w:rFonts w:cs="Calibri"/>
                <w:lang w:val="cs-CZ" w:eastAsia="cs-CZ"/>
              </w:rPr>
            </w:pPr>
            <w:r w:rsidRPr="008B53A9">
              <w:rPr>
                <w:rFonts w:cs="Calibri"/>
                <w:lang w:val="cs-CZ" w:eastAsia="cs-CZ"/>
              </w:rPr>
              <w:t>061</w:t>
            </w:r>
          </w:p>
        </w:tc>
        <w:tc>
          <w:tcPr>
            <w:tcW w:w="888" w:type="pct"/>
            <w:shd w:val="clear" w:color="auto" w:fill="auto"/>
            <w:vAlign w:val="bottom"/>
          </w:tcPr>
          <w:p w:rsidR="005A3DC9" w:rsidRPr="008B53A9" w:rsidRDefault="005A3DC9" w:rsidP="005646B0">
            <w:pPr>
              <w:pStyle w:val="Tabulka"/>
              <w:jc w:val="right"/>
              <w:rPr>
                <w:rFonts w:cs="Calibri"/>
                <w:lang w:val="cs-CZ" w:eastAsia="cs-CZ"/>
              </w:rPr>
            </w:pPr>
            <w:r w:rsidRPr="008B53A9">
              <w:rPr>
                <w:rFonts w:cs="Calibri"/>
                <w:lang w:val="cs-CZ" w:eastAsia="cs-CZ"/>
              </w:rPr>
              <w:t>339 791 623</w:t>
            </w:r>
          </w:p>
        </w:tc>
        <w:tc>
          <w:tcPr>
            <w:tcW w:w="273" w:type="pct"/>
            <w:shd w:val="clear" w:color="auto" w:fill="auto"/>
            <w:vAlign w:val="center"/>
          </w:tcPr>
          <w:p w:rsidR="005A3DC9" w:rsidRPr="008B53A9" w:rsidRDefault="005A3DC9" w:rsidP="005646B0">
            <w:pPr>
              <w:pStyle w:val="Tabulka"/>
              <w:rPr>
                <w:rFonts w:cs="Calibri"/>
                <w:lang w:val="cs-CZ" w:eastAsia="cs-CZ"/>
              </w:rPr>
            </w:pPr>
          </w:p>
        </w:tc>
        <w:tc>
          <w:tcPr>
            <w:tcW w:w="922" w:type="pct"/>
            <w:shd w:val="clear" w:color="auto" w:fill="auto"/>
            <w:vAlign w:val="center"/>
          </w:tcPr>
          <w:p w:rsidR="005A3DC9" w:rsidRPr="008B53A9" w:rsidRDefault="005A3DC9" w:rsidP="005646B0">
            <w:pPr>
              <w:pStyle w:val="Tabulka"/>
              <w:jc w:val="right"/>
              <w:rPr>
                <w:rFonts w:cs="Calibri"/>
                <w:lang w:val="cs-CZ" w:eastAsia="cs-CZ"/>
              </w:rPr>
            </w:pPr>
          </w:p>
        </w:tc>
        <w:tc>
          <w:tcPr>
            <w:tcW w:w="316" w:type="pct"/>
            <w:shd w:val="clear" w:color="auto" w:fill="auto"/>
            <w:vAlign w:val="center"/>
          </w:tcPr>
          <w:p w:rsidR="005A3DC9" w:rsidRPr="008B53A9" w:rsidRDefault="005A3DC9" w:rsidP="005646B0">
            <w:pPr>
              <w:pStyle w:val="Tabulka"/>
              <w:rPr>
                <w:rFonts w:cs="Calibri"/>
                <w:lang w:val="cs-CZ" w:eastAsia="cs-CZ"/>
              </w:rPr>
            </w:pPr>
          </w:p>
        </w:tc>
        <w:tc>
          <w:tcPr>
            <w:tcW w:w="880" w:type="pct"/>
            <w:shd w:val="clear" w:color="auto" w:fill="auto"/>
            <w:vAlign w:val="center"/>
          </w:tcPr>
          <w:p w:rsidR="005A3DC9" w:rsidRPr="008B53A9" w:rsidRDefault="005A3DC9" w:rsidP="005646B0">
            <w:pPr>
              <w:pStyle w:val="Tabulka"/>
              <w:jc w:val="right"/>
              <w:rPr>
                <w:rFonts w:cs="Calibri"/>
                <w:lang w:val="cs-CZ" w:eastAsia="cs-CZ"/>
              </w:rPr>
            </w:pPr>
          </w:p>
        </w:tc>
        <w:tc>
          <w:tcPr>
            <w:tcW w:w="282" w:type="pct"/>
            <w:shd w:val="clear" w:color="auto" w:fill="auto"/>
            <w:vAlign w:val="center"/>
          </w:tcPr>
          <w:p w:rsidR="005A3DC9" w:rsidRPr="008B53A9" w:rsidRDefault="005A3DC9" w:rsidP="005646B0">
            <w:pPr>
              <w:pStyle w:val="Tabulka"/>
              <w:rPr>
                <w:rFonts w:cs="Calibri"/>
                <w:lang w:val="cs-CZ" w:eastAsia="cs-CZ"/>
              </w:rPr>
            </w:pPr>
          </w:p>
        </w:tc>
        <w:tc>
          <w:tcPr>
            <w:tcW w:w="914" w:type="pct"/>
            <w:shd w:val="clear" w:color="auto" w:fill="auto"/>
            <w:vAlign w:val="center"/>
          </w:tcPr>
          <w:p w:rsidR="005A3DC9" w:rsidRPr="008B53A9" w:rsidRDefault="005A3DC9" w:rsidP="005646B0">
            <w:pPr>
              <w:pStyle w:val="Tabulka"/>
              <w:jc w:val="right"/>
              <w:rPr>
                <w:rFonts w:cs="Calibri"/>
                <w:lang w:val="cs-CZ" w:eastAsia="cs-CZ"/>
              </w:rPr>
            </w:pPr>
          </w:p>
        </w:tc>
      </w:tr>
      <w:tr w:rsidR="005A3DC9" w:rsidRPr="008B53A9">
        <w:tc>
          <w:tcPr>
            <w:tcW w:w="524" w:type="pct"/>
            <w:shd w:val="clear" w:color="auto" w:fill="auto"/>
            <w:vAlign w:val="center"/>
          </w:tcPr>
          <w:p w:rsidR="005A3DC9" w:rsidRPr="008B53A9" w:rsidRDefault="005A3DC9" w:rsidP="00DD63AD">
            <w:pPr>
              <w:pStyle w:val="Tabulka"/>
              <w:rPr>
                <w:rFonts w:cs="Calibri"/>
                <w:lang w:val="cs-CZ" w:eastAsia="cs-CZ"/>
              </w:rPr>
            </w:pPr>
            <w:r w:rsidRPr="008B53A9">
              <w:rPr>
                <w:rFonts w:cs="Calibri"/>
                <w:lang w:val="cs-CZ" w:eastAsia="cs-CZ"/>
              </w:rPr>
              <w:t>062</w:t>
            </w:r>
          </w:p>
        </w:tc>
        <w:tc>
          <w:tcPr>
            <w:tcW w:w="888" w:type="pct"/>
            <w:shd w:val="clear" w:color="auto" w:fill="auto"/>
            <w:vAlign w:val="bottom"/>
          </w:tcPr>
          <w:p w:rsidR="005A3DC9" w:rsidRPr="008B53A9" w:rsidRDefault="005A3DC9" w:rsidP="005646B0">
            <w:pPr>
              <w:pStyle w:val="Tabulka"/>
              <w:jc w:val="right"/>
              <w:rPr>
                <w:rFonts w:cs="Calibri"/>
                <w:lang w:val="cs-CZ" w:eastAsia="cs-CZ"/>
              </w:rPr>
            </w:pPr>
            <w:r w:rsidRPr="008B53A9">
              <w:rPr>
                <w:rFonts w:cs="Calibri"/>
                <w:lang w:val="cs-CZ" w:eastAsia="cs-CZ"/>
              </w:rPr>
              <w:t>41 961 720</w:t>
            </w:r>
          </w:p>
        </w:tc>
        <w:tc>
          <w:tcPr>
            <w:tcW w:w="273" w:type="pct"/>
            <w:shd w:val="clear" w:color="auto" w:fill="auto"/>
            <w:vAlign w:val="center"/>
          </w:tcPr>
          <w:p w:rsidR="005A3DC9" w:rsidRPr="008B53A9" w:rsidRDefault="005A3DC9" w:rsidP="005646B0">
            <w:pPr>
              <w:pStyle w:val="Tabulka"/>
              <w:rPr>
                <w:rFonts w:cs="Calibri"/>
                <w:lang w:val="cs-CZ" w:eastAsia="cs-CZ"/>
              </w:rPr>
            </w:pPr>
          </w:p>
        </w:tc>
        <w:tc>
          <w:tcPr>
            <w:tcW w:w="922" w:type="pct"/>
            <w:shd w:val="clear" w:color="auto" w:fill="auto"/>
            <w:vAlign w:val="center"/>
          </w:tcPr>
          <w:p w:rsidR="005A3DC9" w:rsidRPr="008B53A9" w:rsidRDefault="005A3DC9" w:rsidP="005646B0">
            <w:pPr>
              <w:pStyle w:val="Tabulka"/>
              <w:jc w:val="right"/>
              <w:rPr>
                <w:rFonts w:cs="Calibri"/>
                <w:lang w:val="cs-CZ" w:eastAsia="cs-CZ"/>
              </w:rPr>
            </w:pPr>
          </w:p>
        </w:tc>
        <w:tc>
          <w:tcPr>
            <w:tcW w:w="316" w:type="pct"/>
            <w:shd w:val="clear" w:color="auto" w:fill="auto"/>
            <w:vAlign w:val="center"/>
          </w:tcPr>
          <w:p w:rsidR="005A3DC9" w:rsidRPr="008B53A9" w:rsidRDefault="005A3DC9" w:rsidP="005646B0">
            <w:pPr>
              <w:pStyle w:val="Tabulka"/>
              <w:rPr>
                <w:rFonts w:cs="Calibri"/>
                <w:lang w:val="cs-CZ" w:eastAsia="cs-CZ"/>
              </w:rPr>
            </w:pPr>
          </w:p>
        </w:tc>
        <w:tc>
          <w:tcPr>
            <w:tcW w:w="880" w:type="pct"/>
            <w:shd w:val="clear" w:color="auto" w:fill="auto"/>
            <w:vAlign w:val="center"/>
          </w:tcPr>
          <w:p w:rsidR="005A3DC9" w:rsidRPr="008B53A9" w:rsidRDefault="005A3DC9" w:rsidP="005646B0">
            <w:pPr>
              <w:pStyle w:val="Tabulka"/>
              <w:jc w:val="right"/>
              <w:rPr>
                <w:rFonts w:cs="Calibri"/>
                <w:lang w:val="cs-CZ" w:eastAsia="cs-CZ"/>
              </w:rPr>
            </w:pPr>
          </w:p>
        </w:tc>
        <w:tc>
          <w:tcPr>
            <w:tcW w:w="282" w:type="pct"/>
            <w:shd w:val="clear" w:color="auto" w:fill="auto"/>
            <w:vAlign w:val="center"/>
          </w:tcPr>
          <w:p w:rsidR="005A3DC9" w:rsidRPr="008B53A9" w:rsidRDefault="005A3DC9" w:rsidP="005646B0">
            <w:pPr>
              <w:pStyle w:val="Tabulka"/>
              <w:rPr>
                <w:rFonts w:cs="Calibri"/>
                <w:lang w:val="cs-CZ" w:eastAsia="cs-CZ"/>
              </w:rPr>
            </w:pPr>
          </w:p>
        </w:tc>
        <w:tc>
          <w:tcPr>
            <w:tcW w:w="914" w:type="pct"/>
            <w:shd w:val="clear" w:color="auto" w:fill="auto"/>
            <w:vAlign w:val="center"/>
          </w:tcPr>
          <w:p w:rsidR="005A3DC9" w:rsidRPr="008B53A9" w:rsidRDefault="005A3DC9" w:rsidP="005646B0">
            <w:pPr>
              <w:pStyle w:val="Tabulka"/>
              <w:jc w:val="right"/>
              <w:rPr>
                <w:rFonts w:cs="Calibri"/>
                <w:lang w:val="cs-CZ" w:eastAsia="cs-CZ"/>
              </w:rPr>
            </w:pPr>
          </w:p>
        </w:tc>
      </w:tr>
      <w:tr w:rsidR="005A3DC9" w:rsidRPr="008B53A9">
        <w:tc>
          <w:tcPr>
            <w:tcW w:w="524" w:type="pct"/>
            <w:shd w:val="clear" w:color="auto" w:fill="auto"/>
            <w:vAlign w:val="center"/>
          </w:tcPr>
          <w:p w:rsidR="005A3DC9" w:rsidRPr="008B53A9" w:rsidRDefault="005A3DC9" w:rsidP="00DD63AD">
            <w:pPr>
              <w:pStyle w:val="Tabulka"/>
              <w:rPr>
                <w:rFonts w:cs="Calibri"/>
                <w:lang w:val="cs-CZ" w:eastAsia="cs-CZ"/>
              </w:rPr>
            </w:pPr>
            <w:r w:rsidRPr="008B53A9">
              <w:rPr>
                <w:rFonts w:cs="Calibri"/>
                <w:lang w:val="cs-CZ" w:eastAsia="cs-CZ"/>
              </w:rPr>
              <w:t>063</w:t>
            </w:r>
          </w:p>
        </w:tc>
        <w:tc>
          <w:tcPr>
            <w:tcW w:w="888" w:type="pct"/>
            <w:shd w:val="clear" w:color="auto" w:fill="auto"/>
            <w:vAlign w:val="bottom"/>
          </w:tcPr>
          <w:p w:rsidR="005A3DC9" w:rsidRPr="008B53A9" w:rsidRDefault="005A3DC9" w:rsidP="005646B0">
            <w:pPr>
              <w:pStyle w:val="Tabulka"/>
              <w:jc w:val="right"/>
              <w:rPr>
                <w:rFonts w:cs="Calibri"/>
                <w:lang w:val="cs-CZ" w:eastAsia="cs-CZ"/>
              </w:rPr>
            </w:pPr>
            <w:r w:rsidRPr="008B53A9">
              <w:rPr>
                <w:rFonts w:cs="Calibri"/>
                <w:lang w:val="cs-CZ" w:eastAsia="cs-CZ"/>
              </w:rPr>
              <w:t>69 936 200</w:t>
            </w:r>
          </w:p>
        </w:tc>
        <w:tc>
          <w:tcPr>
            <w:tcW w:w="273" w:type="pct"/>
            <w:shd w:val="clear" w:color="auto" w:fill="auto"/>
            <w:vAlign w:val="center"/>
          </w:tcPr>
          <w:p w:rsidR="005A3DC9" w:rsidRPr="008B53A9" w:rsidRDefault="005A3DC9" w:rsidP="005646B0">
            <w:pPr>
              <w:pStyle w:val="Tabulka"/>
              <w:rPr>
                <w:rFonts w:cs="Calibri"/>
                <w:lang w:val="cs-CZ" w:eastAsia="cs-CZ"/>
              </w:rPr>
            </w:pPr>
          </w:p>
        </w:tc>
        <w:tc>
          <w:tcPr>
            <w:tcW w:w="922" w:type="pct"/>
            <w:shd w:val="clear" w:color="auto" w:fill="auto"/>
            <w:vAlign w:val="center"/>
          </w:tcPr>
          <w:p w:rsidR="005A3DC9" w:rsidRPr="008B53A9" w:rsidRDefault="005A3DC9" w:rsidP="005646B0">
            <w:pPr>
              <w:pStyle w:val="Tabulka"/>
              <w:jc w:val="right"/>
              <w:rPr>
                <w:rFonts w:cs="Calibri"/>
                <w:lang w:val="cs-CZ" w:eastAsia="cs-CZ"/>
              </w:rPr>
            </w:pPr>
          </w:p>
        </w:tc>
        <w:tc>
          <w:tcPr>
            <w:tcW w:w="316" w:type="pct"/>
            <w:shd w:val="clear" w:color="auto" w:fill="auto"/>
            <w:vAlign w:val="center"/>
          </w:tcPr>
          <w:p w:rsidR="005A3DC9" w:rsidRPr="008B53A9" w:rsidRDefault="005A3DC9" w:rsidP="005646B0">
            <w:pPr>
              <w:pStyle w:val="Tabulka"/>
              <w:rPr>
                <w:rFonts w:cs="Calibri"/>
                <w:lang w:val="cs-CZ" w:eastAsia="cs-CZ"/>
              </w:rPr>
            </w:pPr>
          </w:p>
        </w:tc>
        <w:tc>
          <w:tcPr>
            <w:tcW w:w="880" w:type="pct"/>
            <w:shd w:val="clear" w:color="auto" w:fill="auto"/>
            <w:vAlign w:val="center"/>
          </w:tcPr>
          <w:p w:rsidR="005A3DC9" w:rsidRPr="008B53A9" w:rsidRDefault="005A3DC9" w:rsidP="005646B0">
            <w:pPr>
              <w:pStyle w:val="Tabulka"/>
              <w:jc w:val="right"/>
              <w:rPr>
                <w:rFonts w:cs="Calibri"/>
                <w:lang w:val="cs-CZ" w:eastAsia="cs-CZ"/>
              </w:rPr>
            </w:pPr>
          </w:p>
        </w:tc>
        <w:tc>
          <w:tcPr>
            <w:tcW w:w="282" w:type="pct"/>
            <w:shd w:val="clear" w:color="auto" w:fill="auto"/>
            <w:vAlign w:val="center"/>
          </w:tcPr>
          <w:p w:rsidR="005A3DC9" w:rsidRPr="008B53A9" w:rsidRDefault="005A3DC9" w:rsidP="005646B0">
            <w:pPr>
              <w:pStyle w:val="Tabulka"/>
              <w:rPr>
                <w:rFonts w:cs="Calibri"/>
                <w:lang w:val="cs-CZ" w:eastAsia="cs-CZ"/>
              </w:rPr>
            </w:pPr>
          </w:p>
        </w:tc>
        <w:tc>
          <w:tcPr>
            <w:tcW w:w="914" w:type="pct"/>
            <w:shd w:val="clear" w:color="auto" w:fill="auto"/>
            <w:vAlign w:val="center"/>
          </w:tcPr>
          <w:p w:rsidR="005A3DC9" w:rsidRPr="008B53A9" w:rsidRDefault="005A3DC9" w:rsidP="005646B0">
            <w:pPr>
              <w:pStyle w:val="Tabulka"/>
              <w:jc w:val="right"/>
              <w:rPr>
                <w:rFonts w:cs="Calibri"/>
                <w:lang w:val="cs-CZ" w:eastAsia="cs-CZ"/>
              </w:rPr>
            </w:pPr>
          </w:p>
        </w:tc>
      </w:tr>
      <w:tr w:rsidR="005A3DC9" w:rsidRPr="008B53A9">
        <w:tc>
          <w:tcPr>
            <w:tcW w:w="524" w:type="pct"/>
            <w:shd w:val="clear" w:color="auto" w:fill="auto"/>
            <w:vAlign w:val="center"/>
          </w:tcPr>
          <w:p w:rsidR="005A3DC9" w:rsidRPr="008B53A9" w:rsidRDefault="005A3DC9" w:rsidP="00DD63AD">
            <w:pPr>
              <w:pStyle w:val="Tabulka"/>
              <w:rPr>
                <w:rFonts w:cs="Calibri"/>
                <w:lang w:val="cs-CZ" w:eastAsia="cs-CZ"/>
              </w:rPr>
            </w:pPr>
            <w:r w:rsidRPr="008B53A9">
              <w:rPr>
                <w:rFonts w:cs="Calibri"/>
                <w:lang w:val="cs-CZ" w:eastAsia="cs-CZ"/>
              </w:rPr>
              <w:t>064</w:t>
            </w:r>
          </w:p>
        </w:tc>
        <w:tc>
          <w:tcPr>
            <w:tcW w:w="888" w:type="pct"/>
            <w:shd w:val="clear" w:color="auto" w:fill="auto"/>
            <w:vAlign w:val="bottom"/>
          </w:tcPr>
          <w:p w:rsidR="005A3DC9" w:rsidRPr="008B53A9" w:rsidRDefault="005A3DC9" w:rsidP="005646B0">
            <w:pPr>
              <w:pStyle w:val="Tabulka"/>
              <w:jc w:val="right"/>
              <w:rPr>
                <w:rFonts w:cs="Calibri"/>
                <w:lang w:val="cs-CZ" w:eastAsia="cs-CZ"/>
              </w:rPr>
            </w:pPr>
            <w:r w:rsidRPr="008B53A9">
              <w:rPr>
                <w:rFonts w:cs="Calibri"/>
                <w:lang w:val="cs-CZ" w:eastAsia="cs-CZ"/>
              </w:rPr>
              <w:t>66 340 289</w:t>
            </w:r>
          </w:p>
        </w:tc>
        <w:tc>
          <w:tcPr>
            <w:tcW w:w="273" w:type="pct"/>
            <w:shd w:val="clear" w:color="auto" w:fill="auto"/>
            <w:vAlign w:val="center"/>
          </w:tcPr>
          <w:p w:rsidR="005A3DC9" w:rsidRPr="008B53A9" w:rsidRDefault="005A3DC9" w:rsidP="005646B0">
            <w:pPr>
              <w:pStyle w:val="Tabulka"/>
              <w:rPr>
                <w:rFonts w:cs="Calibri"/>
                <w:lang w:val="cs-CZ" w:eastAsia="cs-CZ"/>
              </w:rPr>
            </w:pPr>
          </w:p>
        </w:tc>
        <w:tc>
          <w:tcPr>
            <w:tcW w:w="922" w:type="pct"/>
            <w:shd w:val="clear" w:color="auto" w:fill="auto"/>
            <w:vAlign w:val="center"/>
          </w:tcPr>
          <w:p w:rsidR="005A3DC9" w:rsidRPr="008B53A9" w:rsidRDefault="005A3DC9" w:rsidP="005646B0">
            <w:pPr>
              <w:pStyle w:val="Tabulka"/>
              <w:jc w:val="right"/>
              <w:rPr>
                <w:rFonts w:cs="Calibri"/>
                <w:lang w:val="cs-CZ" w:eastAsia="cs-CZ"/>
              </w:rPr>
            </w:pPr>
          </w:p>
        </w:tc>
        <w:tc>
          <w:tcPr>
            <w:tcW w:w="316" w:type="pct"/>
            <w:shd w:val="clear" w:color="auto" w:fill="auto"/>
            <w:vAlign w:val="center"/>
          </w:tcPr>
          <w:p w:rsidR="005A3DC9" w:rsidRPr="008B53A9" w:rsidRDefault="005A3DC9" w:rsidP="005646B0">
            <w:pPr>
              <w:pStyle w:val="Tabulka"/>
              <w:rPr>
                <w:rFonts w:cs="Calibri"/>
                <w:lang w:val="cs-CZ" w:eastAsia="cs-CZ"/>
              </w:rPr>
            </w:pPr>
          </w:p>
        </w:tc>
        <w:tc>
          <w:tcPr>
            <w:tcW w:w="880" w:type="pct"/>
            <w:shd w:val="clear" w:color="auto" w:fill="auto"/>
            <w:vAlign w:val="center"/>
          </w:tcPr>
          <w:p w:rsidR="005A3DC9" w:rsidRPr="008B53A9" w:rsidRDefault="005A3DC9" w:rsidP="005646B0">
            <w:pPr>
              <w:pStyle w:val="Tabulka"/>
              <w:jc w:val="right"/>
              <w:rPr>
                <w:rFonts w:cs="Calibri"/>
                <w:lang w:val="cs-CZ" w:eastAsia="cs-CZ"/>
              </w:rPr>
            </w:pPr>
          </w:p>
        </w:tc>
        <w:tc>
          <w:tcPr>
            <w:tcW w:w="282" w:type="pct"/>
            <w:shd w:val="clear" w:color="auto" w:fill="auto"/>
            <w:vAlign w:val="center"/>
          </w:tcPr>
          <w:p w:rsidR="005A3DC9" w:rsidRPr="008B53A9" w:rsidRDefault="005A3DC9" w:rsidP="005646B0">
            <w:pPr>
              <w:pStyle w:val="Tabulka"/>
              <w:rPr>
                <w:rFonts w:cs="Calibri"/>
                <w:lang w:val="cs-CZ" w:eastAsia="cs-CZ"/>
              </w:rPr>
            </w:pPr>
          </w:p>
        </w:tc>
        <w:tc>
          <w:tcPr>
            <w:tcW w:w="914" w:type="pct"/>
            <w:shd w:val="clear" w:color="auto" w:fill="auto"/>
            <w:vAlign w:val="center"/>
          </w:tcPr>
          <w:p w:rsidR="005A3DC9" w:rsidRPr="008B53A9" w:rsidRDefault="005A3DC9" w:rsidP="005646B0">
            <w:pPr>
              <w:pStyle w:val="Tabulka"/>
              <w:jc w:val="right"/>
              <w:rPr>
                <w:rFonts w:cs="Calibri"/>
                <w:lang w:val="cs-CZ" w:eastAsia="cs-CZ"/>
              </w:rPr>
            </w:pPr>
          </w:p>
        </w:tc>
      </w:tr>
      <w:tr w:rsidR="005A3DC9" w:rsidRPr="008B53A9">
        <w:tc>
          <w:tcPr>
            <w:tcW w:w="524" w:type="pct"/>
            <w:shd w:val="clear" w:color="auto" w:fill="auto"/>
            <w:vAlign w:val="center"/>
          </w:tcPr>
          <w:p w:rsidR="005A3DC9" w:rsidRPr="008B53A9" w:rsidRDefault="005A3DC9" w:rsidP="00DD63AD">
            <w:pPr>
              <w:pStyle w:val="Tabulka"/>
              <w:rPr>
                <w:rFonts w:cs="Calibri"/>
                <w:lang w:val="cs-CZ" w:eastAsia="cs-CZ"/>
              </w:rPr>
            </w:pPr>
            <w:r w:rsidRPr="008B53A9">
              <w:rPr>
                <w:rFonts w:cs="Calibri"/>
                <w:lang w:val="cs-CZ" w:eastAsia="cs-CZ"/>
              </w:rPr>
              <w:t>065</w:t>
            </w:r>
          </w:p>
        </w:tc>
        <w:tc>
          <w:tcPr>
            <w:tcW w:w="888" w:type="pct"/>
            <w:shd w:val="clear" w:color="auto" w:fill="auto"/>
            <w:vAlign w:val="bottom"/>
          </w:tcPr>
          <w:p w:rsidR="005A3DC9" w:rsidRPr="008B53A9" w:rsidRDefault="005A3DC9" w:rsidP="005646B0">
            <w:pPr>
              <w:pStyle w:val="Tabulka"/>
              <w:jc w:val="right"/>
              <w:rPr>
                <w:rFonts w:cs="Calibri"/>
                <w:lang w:val="cs-CZ" w:eastAsia="cs-CZ"/>
              </w:rPr>
            </w:pPr>
            <w:r w:rsidRPr="008B53A9">
              <w:rPr>
                <w:rFonts w:cs="Calibri"/>
                <w:lang w:val="cs-CZ" w:eastAsia="cs-CZ"/>
              </w:rPr>
              <w:t>101 122 110</w:t>
            </w:r>
          </w:p>
        </w:tc>
        <w:tc>
          <w:tcPr>
            <w:tcW w:w="273" w:type="pct"/>
            <w:shd w:val="clear" w:color="auto" w:fill="auto"/>
            <w:vAlign w:val="center"/>
          </w:tcPr>
          <w:p w:rsidR="005A3DC9" w:rsidRPr="008B53A9" w:rsidRDefault="005A3DC9" w:rsidP="005646B0">
            <w:pPr>
              <w:pStyle w:val="Tabulka"/>
              <w:rPr>
                <w:rFonts w:cs="Calibri"/>
                <w:lang w:val="cs-CZ" w:eastAsia="cs-CZ"/>
              </w:rPr>
            </w:pPr>
          </w:p>
        </w:tc>
        <w:tc>
          <w:tcPr>
            <w:tcW w:w="922" w:type="pct"/>
            <w:shd w:val="clear" w:color="auto" w:fill="auto"/>
            <w:vAlign w:val="center"/>
          </w:tcPr>
          <w:p w:rsidR="005A3DC9" w:rsidRPr="008B53A9" w:rsidRDefault="005A3DC9" w:rsidP="005646B0">
            <w:pPr>
              <w:pStyle w:val="Tabulka"/>
              <w:jc w:val="right"/>
              <w:rPr>
                <w:rFonts w:cs="Calibri"/>
                <w:lang w:val="cs-CZ" w:eastAsia="cs-CZ"/>
              </w:rPr>
            </w:pPr>
          </w:p>
        </w:tc>
        <w:tc>
          <w:tcPr>
            <w:tcW w:w="316" w:type="pct"/>
            <w:shd w:val="clear" w:color="auto" w:fill="auto"/>
            <w:vAlign w:val="center"/>
          </w:tcPr>
          <w:p w:rsidR="005A3DC9" w:rsidRPr="008B53A9" w:rsidRDefault="005A3DC9" w:rsidP="005646B0">
            <w:pPr>
              <w:pStyle w:val="Tabulka"/>
              <w:rPr>
                <w:rFonts w:cs="Calibri"/>
                <w:lang w:val="cs-CZ" w:eastAsia="cs-CZ"/>
              </w:rPr>
            </w:pPr>
          </w:p>
        </w:tc>
        <w:tc>
          <w:tcPr>
            <w:tcW w:w="880" w:type="pct"/>
            <w:shd w:val="clear" w:color="auto" w:fill="auto"/>
            <w:vAlign w:val="center"/>
          </w:tcPr>
          <w:p w:rsidR="005A3DC9" w:rsidRPr="008B53A9" w:rsidRDefault="005A3DC9" w:rsidP="005646B0">
            <w:pPr>
              <w:pStyle w:val="Tabulka"/>
              <w:jc w:val="right"/>
              <w:rPr>
                <w:rFonts w:cs="Calibri"/>
                <w:lang w:val="cs-CZ" w:eastAsia="cs-CZ"/>
              </w:rPr>
            </w:pPr>
          </w:p>
        </w:tc>
        <w:tc>
          <w:tcPr>
            <w:tcW w:w="282" w:type="pct"/>
            <w:shd w:val="clear" w:color="auto" w:fill="auto"/>
            <w:vAlign w:val="center"/>
          </w:tcPr>
          <w:p w:rsidR="005A3DC9" w:rsidRPr="008B53A9" w:rsidRDefault="005A3DC9" w:rsidP="005646B0">
            <w:pPr>
              <w:pStyle w:val="Tabulka"/>
              <w:rPr>
                <w:rFonts w:cs="Calibri"/>
                <w:lang w:val="cs-CZ" w:eastAsia="cs-CZ"/>
              </w:rPr>
            </w:pPr>
          </w:p>
        </w:tc>
        <w:tc>
          <w:tcPr>
            <w:tcW w:w="914" w:type="pct"/>
            <w:shd w:val="clear" w:color="auto" w:fill="auto"/>
            <w:vAlign w:val="center"/>
          </w:tcPr>
          <w:p w:rsidR="005A3DC9" w:rsidRPr="008B53A9" w:rsidRDefault="005A3DC9" w:rsidP="005646B0">
            <w:pPr>
              <w:pStyle w:val="Tabulka"/>
              <w:jc w:val="right"/>
              <w:rPr>
                <w:rFonts w:cs="Calibri"/>
                <w:lang w:val="cs-CZ" w:eastAsia="cs-CZ"/>
              </w:rPr>
            </w:pPr>
          </w:p>
        </w:tc>
      </w:tr>
    </w:tbl>
    <w:p w:rsidR="00636BAA" w:rsidRPr="008B53A9" w:rsidRDefault="00DF23DE" w:rsidP="005F43DF">
      <w:pPr>
        <w:pStyle w:val="kapitola2A0"/>
        <w:numPr>
          <w:ilvl w:val="2"/>
          <w:numId w:val="68"/>
        </w:numPr>
      </w:pPr>
      <w:bookmarkStart w:id="36" w:name="_Toc351464369"/>
      <w:bookmarkStart w:id="37" w:name="_Toc391539609"/>
      <w:r w:rsidRPr="008B53A9">
        <w:t>Přehled plánovaného využití technické pomoci, je-li to nutné, včetně opatření na posílení správní kapacity orgánů zapojených do řízení a kontroly programů a příjemců (použije-li se)</w:t>
      </w:r>
      <w:bookmarkEnd w:id="37"/>
    </w:p>
    <w:p w:rsidR="005A765B" w:rsidRPr="008B53A9" w:rsidRDefault="008F72F4" w:rsidP="00133DC7">
      <w:pPr>
        <w:pStyle w:val="Standardntext"/>
        <w:rPr>
          <w:color w:val="FF0000"/>
        </w:rPr>
      </w:pPr>
      <w:r w:rsidRPr="008B53A9">
        <w:t>Není relevantní pro OP PIK.</w:t>
      </w:r>
    </w:p>
    <w:p w:rsidR="00EA3457" w:rsidRPr="008B53A9" w:rsidRDefault="00EA3457" w:rsidP="00133DC7">
      <w:pPr>
        <w:pStyle w:val="Standardntext"/>
        <w:rPr>
          <w:color w:val="FF0000"/>
        </w:rPr>
      </w:pPr>
      <w:r w:rsidRPr="008B53A9">
        <w:rPr>
          <w:color w:val="FF0000"/>
        </w:rPr>
        <w:br w:type="page"/>
      </w:r>
    </w:p>
    <w:p w:rsidR="008C6813" w:rsidRPr="008B53A9" w:rsidRDefault="008C6813" w:rsidP="005F43DF">
      <w:pPr>
        <w:pStyle w:val="kapitola2A0"/>
        <w:numPr>
          <w:ilvl w:val="2"/>
          <w:numId w:val="15"/>
        </w:numPr>
      </w:pPr>
      <w:bookmarkStart w:id="38" w:name="_Toc391539610"/>
      <w:bookmarkEnd w:id="36"/>
      <w:r w:rsidRPr="008B53A9">
        <w:lastRenderedPageBreak/>
        <w:t>PRIORITNÍ OSA 2: Rozvoj podnikání a konkurenceschopnosti malých a středních podniků</w:t>
      </w:r>
      <w:bookmarkEnd w:id="3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8C6813" w:rsidRPr="008B53A9">
        <w:tc>
          <w:tcPr>
            <w:tcW w:w="4736" w:type="pct"/>
            <w:shd w:val="clear" w:color="auto" w:fill="auto"/>
            <w:vAlign w:val="center"/>
          </w:tcPr>
          <w:p w:rsidR="008C6813" w:rsidRPr="008B53A9" w:rsidRDefault="008C6813" w:rsidP="008C6813">
            <w:pPr>
              <w:pStyle w:val="Tabulka"/>
              <w:jc w:val="left"/>
              <w:rPr>
                <w:rFonts w:cs="Calibri"/>
                <w:lang w:val="cs-CZ" w:eastAsia="cs-CZ"/>
              </w:rPr>
            </w:pPr>
            <w:r w:rsidRPr="008B53A9">
              <w:rPr>
                <w:rFonts w:cs="Calibri"/>
                <w:lang w:val="cs-CZ" w:eastAsia="cs-CZ"/>
              </w:rPr>
              <w:t>Celá prioritní osa bude realizována výhradně prostřednictvím finančních nástrojů</w:t>
            </w:r>
          </w:p>
        </w:tc>
        <w:tc>
          <w:tcPr>
            <w:tcW w:w="264" w:type="pct"/>
            <w:shd w:val="clear" w:color="auto" w:fill="auto"/>
            <w:vAlign w:val="center"/>
          </w:tcPr>
          <w:p w:rsidR="008C6813" w:rsidRPr="008B53A9" w:rsidRDefault="008C6813" w:rsidP="008C6813">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r w:rsidR="008C6813" w:rsidRPr="008B53A9">
        <w:tc>
          <w:tcPr>
            <w:tcW w:w="4736" w:type="pct"/>
            <w:shd w:val="clear" w:color="auto" w:fill="auto"/>
            <w:vAlign w:val="center"/>
          </w:tcPr>
          <w:p w:rsidR="008C6813" w:rsidRPr="008B53A9" w:rsidRDefault="008C6813" w:rsidP="008C6813">
            <w:pPr>
              <w:pStyle w:val="Tabulka"/>
              <w:jc w:val="left"/>
              <w:rPr>
                <w:rFonts w:cs="Calibri"/>
                <w:lang w:val="cs-CZ" w:eastAsia="cs-CZ"/>
              </w:rPr>
            </w:pPr>
            <w:r w:rsidRPr="008B53A9">
              <w:rPr>
                <w:rFonts w:cs="Calibri"/>
                <w:lang w:val="cs-CZ" w:eastAsia="cs-CZ"/>
              </w:rPr>
              <w:t>Celá prioritní osa bude realizována výhradně prostřednictvím finančních nástrojů zřízených na úrovni Unie</w:t>
            </w:r>
          </w:p>
        </w:tc>
        <w:tc>
          <w:tcPr>
            <w:tcW w:w="264" w:type="pct"/>
            <w:shd w:val="clear" w:color="auto" w:fill="auto"/>
            <w:vAlign w:val="center"/>
          </w:tcPr>
          <w:p w:rsidR="008C6813" w:rsidRPr="008B53A9" w:rsidRDefault="008C6813" w:rsidP="008C6813">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r w:rsidR="008C6813" w:rsidRPr="008B53A9">
        <w:tc>
          <w:tcPr>
            <w:tcW w:w="4736" w:type="pct"/>
            <w:shd w:val="clear" w:color="auto" w:fill="auto"/>
            <w:vAlign w:val="center"/>
          </w:tcPr>
          <w:p w:rsidR="008C6813" w:rsidRPr="008B53A9" w:rsidRDefault="008C6813" w:rsidP="008C6813">
            <w:pPr>
              <w:pStyle w:val="Tabulka"/>
              <w:jc w:val="left"/>
              <w:rPr>
                <w:rFonts w:cs="Calibri"/>
                <w:lang w:val="cs-CZ" w:eastAsia="cs-CZ"/>
              </w:rPr>
            </w:pPr>
            <w:r w:rsidRPr="008B53A9">
              <w:rPr>
                <w:rFonts w:cs="Calibri"/>
                <w:lang w:val="cs-CZ" w:eastAsia="cs-CZ"/>
              </w:rPr>
              <w:t>Celá prioritní osa bude realizována výhradně prostřednictvím komunitně vedeného místního rozvoje</w:t>
            </w:r>
          </w:p>
        </w:tc>
        <w:tc>
          <w:tcPr>
            <w:tcW w:w="264" w:type="pct"/>
            <w:shd w:val="clear" w:color="auto" w:fill="auto"/>
            <w:vAlign w:val="center"/>
          </w:tcPr>
          <w:p w:rsidR="008C6813" w:rsidRPr="008B53A9" w:rsidRDefault="008C6813" w:rsidP="008C6813">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bl>
    <w:p w:rsidR="008C6813" w:rsidRPr="008B53A9" w:rsidRDefault="008C6813" w:rsidP="005F43DF">
      <w:pPr>
        <w:pStyle w:val="kapitola2A0"/>
        <w:numPr>
          <w:ilvl w:val="2"/>
          <w:numId w:val="15"/>
        </w:numPr>
      </w:pPr>
      <w:bookmarkStart w:id="39" w:name="_Toc391539611"/>
      <w:r w:rsidRPr="008B53A9">
        <w:t>Odůvodnění pro vytvoření prioritní osy, která zahrnuje více než jednu kategorii regionů nebo více než jeden tematický cíl či fond (použije-li se)</w:t>
      </w:r>
      <w:bookmarkEnd w:id="39"/>
    </w:p>
    <w:p w:rsidR="008C6813" w:rsidRPr="008B53A9" w:rsidRDefault="008C6813" w:rsidP="008C6813">
      <w:pPr>
        <w:pStyle w:val="Standardntext"/>
      </w:pPr>
      <w:r w:rsidRPr="008B53A9">
        <w:t>Není relevantní pro OP PIK.</w:t>
      </w:r>
    </w:p>
    <w:p w:rsidR="008C6813" w:rsidRPr="008B53A9" w:rsidRDefault="008C6813" w:rsidP="005F43DF">
      <w:pPr>
        <w:pStyle w:val="kapitola2A0"/>
        <w:numPr>
          <w:ilvl w:val="2"/>
          <w:numId w:val="15"/>
        </w:numPr>
      </w:pPr>
      <w:bookmarkStart w:id="40" w:name="_Toc391539612"/>
      <w:r w:rsidRPr="008B53A9">
        <w:t>Fond, kategorie regionů a základ pro výpočet podpory Unie</w:t>
      </w:r>
      <w:bookmarkEnd w:id="40"/>
    </w:p>
    <w:p w:rsidR="008C6813" w:rsidRPr="008B53A9" w:rsidRDefault="008C6813" w:rsidP="008C6813">
      <w:pPr>
        <w:pStyle w:val="Standardntext"/>
      </w:pPr>
      <w:r w:rsidRPr="008B53A9">
        <w:t>Fond: Evropský fond pro regionální rozvoj</w:t>
      </w:r>
    </w:p>
    <w:p w:rsidR="008C6813" w:rsidRPr="008B53A9" w:rsidRDefault="008C6813" w:rsidP="008C6813">
      <w:pPr>
        <w:pStyle w:val="Standardntext"/>
      </w:pPr>
      <w:r w:rsidRPr="008B53A9">
        <w:t>Kategorie regionů: Méně rozvinuté regiony</w:t>
      </w:r>
    </w:p>
    <w:p w:rsidR="008C6813" w:rsidRPr="008B53A9" w:rsidRDefault="008668C8" w:rsidP="008C6813">
      <w:pPr>
        <w:pStyle w:val="Standardntext"/>
      </w:pPr>
      <w:r w:rsidRPr="008B53A9">
        <w:t>Základ pro výpočet</w:t>
      </w:r>
      <w:r w:rsidRPr="008B53A9">
        <w:rPr>
          <w:lang w:val="cs-CZ"/>
        </w:rPr>
        <w:t xml:space="preserve">: </w:t>
      </w:r>
      <w:r w:rsidRPr="008B53A9">
        <w:t>způsobilé veřejné výdaje</w:t>
      </w:r>
    </w:p>
    <w:p w:rsidR="008C6813" w:rsidRPr="008B53A9" w:rsidRDefault="008C6813" w:rsidP="005F43DF">
      <w:pPr>
        <w:pStyle w:val="kapitola2A0"/>
        <w:numPr>
          <w:ilvl w:val="2"/>
          <w:numId w:val="15"/>
        </w:numPr>
      </w:pPr>
      <w:bookmarkStart w:id="41" w:name="_Toc391539613"/>
      <w:r w:rsidRPr="008B53A9">
        <w:t>INVESTIČNÍ PRIORITA</w:t>
      </w:r>
      <w:r w:rsidR="00AA66A2" w:rsidRPr="008B53A9">
        <w:t xml:space="preserve"> 1 prioritní osy 2</w:t>
      </w:r>
      <w:r w:rsidRPr="008B53A9">
        <w:t xml:space="preserve">: </w:t>
      </w:r>
      <w:r w:rsidR="00F27EC3" w:rsidRPr="008B53A9">
        <w:t>Podpora podnikání, zejména usnadněním hospodářského využívání nových myšlenek a podporou zakládání nových firem</w:t>
      </w:r>
      <w:r w:rsidRPr="008B53A9">
        <w:t>, mimo jiné prostřednictvím podnikatelských inkubátorů</w:t>
      </w:r>
      <w:bookmarkEnd w:id="41"/>
    </w:p>
    <w:p w:rsidR="00EA3457" w:rsidRPr="008B53A9" w:rsidRDefault="008C6813" w:rsidP="005F43DF">
      <w:pPr>
        <w:pStyle w:val="kapitola2A0"/>
        <w:numPr>
          <w:ilvl w:val="2"/>
          <w:numId w:val="15"/>
        </w:numPr>
      </w:pPr>
      <w:bookmarkStart w:id="42" w:name="_Toc391539614"/>
      <w:r w:rsidRPr="008B53A9">
        <w:t>Specifické cíle odpovídající investiční prioritě a očekávané výsledky</w:t>
      </w:r>
      <w:bookmarkEnd w:id="42"/>
    </w:p>
    <w:p w:rsidR="00EA3457" w:rsidRPr="008B53A9" w:rsidRDefault="00EA3457" w:rsidP="00396141">
      <w:pPr>
        <w:pStyle w:val="Modrnadpis"/>
      </w:pPr>
      <w:r w:rsidRPr="008B53A9">
        <w:t xml:space="preserve">SPECIFICKÝ CÍL </w:t>
      </w:r>
      <w:r w:rsidR="00C71E6F" w:rsidRPr="008B53A9">
        <w:t>2.</w:t>
      </w:r>
      <w:r w:rsidRPr="008B53A9">
        <w:t xml:space="preserve">1: </w:t>
      </w:r>
      <w:r w:rsidR="00CE3F25" w:rsidRPr="008B53A9">
        <w:t xml:space="preserve"> Zvýšit konkurenceschopnost začínajících a rozvojových MSP</w:t>
      </w:r>
    </w:p>
    <w:p w:rsidR="00D03396" w:rsidRPr="008B53A9" w:rsidRDefault="00D03396" w:rsidP="00D03396">
      <w:pPr>
        <w:pStyle w:val="Standardntext"/>
      </w:pPr>
      <w:r w:rsidRPr="008B53A9">
        <w:t xml:space="preserve">Malé a střední podniky představují stabilizující prvek prosperity a zaměstnanosti. Generují rozhodující počet nových pracovních míst, svými dodávkami se podílejí na konkurenční schopnosti velkých </w:t>
      </w:r>
      <w:r w:rsidR="00FF3A47" w:rsidRPr="008B53A9">
        <w:t>podniků</w:t>
      </w:r>
      <w:r w:rsidRPr="008B53A9">
        <w:t xml:space="preserve"> a na inovacích měnících dílčí produktové trhy. Hlavním cílem bude zvýšit počet</w:t>
      </w:r>
      <w:r w:rsidR="005B7415" w:rsidRPr="008B53A9">
        <w:t xml:space="preserve"> n</w:t>
      </w:r>
      <w:r w:rsidRPr="008B53A9">
        <w:t>ových podnikatelských subjektů a nových podnikatelských záměrů zejména inovačního charakteru s vysokým potenciálem růstu, ale i na nižších hodnotových řetězcích</w:t>
      </w:r>
      <w:r w:rsidR="009765C2" w:rsidRPr="008B53A9">
        <w:rPr>
          <w:lang w:val="cs-CZ"/>
        </w:rPr>
        <w:t>, a podnikatelů ve službách</w:t>
      </w:r>
      <w:r w:rsidRPr="008B53A9">
        <w:t xml:space="preserve"> s přínosem pro zaměstnanost.</w:t>
      </w:r>
    </w:p>
    <w:p w:rsidR="001A5C2A" w:rsidRPr="008B53A9" w:rsidRDefault="003508A9" w:rsidP="00D03396">
      <w:pPr>
        <w:pStyle w:val="Modrnadpis"/>
      </w:pPr>
      <w:r w:rsidRPr="008B53A9">
        <w:t>Výsledky, kterých chce ČR dosáhnout s podporou Unie</w:t>
      </w:r>
    </w:p>
    <w:p w:rsidR="009D1769" w:rsidRPr="008B53A9" w:rsidRDefault="009D1769" w:rsidP="005F43DF">
      <w:pPr>
        <w:pStyle w:val="Standardntext"/>
        <w:numPr>
          <w:ilvl w:val="0"/>
          <w:numId w:val="58"/>
        </w:numPr>
      </w:pPr>
      <w:r w:rsidRPr="008B53A9">
        <w:t>Rozvoj a posílení endogenního podnikatelského sektoru, vznik nových podniků</w:t>
      </w:r>
      <w:r w:rsidR="00FE0B02" w:rsidRPr="008B53A9">
        <w:rPr>
          <w:lang w:val="cs-CZ"/>
        </w:rPr>
        <w:t>.</w:t>
      </w:r>
    </w:p>
    <w:p w:rsidR="009D1769" w:rsidRPr="008B53A9" w:rsidRDefault="009D1769" w:rsidP="005F43DF">
      <w:pPr>
        <w:pStyle w:val="Standardntext"/>
        <w:numPr>
          <w:ilvl w:val="0"/>
          <w:numId w:val="58"/>
        </w:numPr>
        <w:rPr>
          <w:b/>
        </w:rPr>
      </w:pPr>
      <w:r w:rsidRPr="008B53A9">
        <w:t>Zvýšení dostupnosti vnějšího financování pro začínající podnikatele a inovační podniky (zvýšení nabídky zvýhodněného financování), včetně rizikového kapitálu</w:t>
      </w:r>
      <w:r w:rsidR="006329E9" w:rsidRPr="008B53A9">
        <w:rPr>
          <w:lang w:val="cs-CZ"/>
        </w:rPr>
        <w:t>, pro podnikatele ve službách</w:t>
      </w:r>
      <w:r w:rsidRPr="008B53A9">
        <w:t>.</w:t>
      </w:r>
    </w:p>
    <w:p w:rsidR="009D1769" w:rsidRPr="008B53A9" w:rsidRDefault="009D1769" w:rsidP="005F43DF">
      <w:pPr>
        <w:pStyle w:val="Standardntext"/>
        <w:numPr>
          <w:ilvl w:val="0"/>
          <w:numId w:val="58"/>
        </w:numPr>
        <w:rPr>
          <w:b/>
        </w:rPr>
      </w:pPr>
      <w:r w:rsidRPr="008B53A9">
        <w:t xml:space="preserve">Vytvoření nových pracovních míst realizací podpořených podnikatelských záměrů povede ke stabilizaci </w:t>
      </w:r>
      <w:r w:rsidR="008C1551" w:rsidRPr="008B53A9">
        <w:t xml:space="preserve">trhu práce a souvisejícího </w:t>
      </w:r>
      <w:r w:rsidRPr="008B53A9">
        <w:t>podnikatelského prostředí</w:t>
      </w:r>
      <w:r w:rsidR="008C1551" w:rsidRPr="008B53A9">
        <w:t xml:space="preserve"> MSP</w:t>
      </w:r>
    </w:p>
    <w:p w:rsidR="009D1769" w:rsidRPr="008B53A9" w:rsidRDefault="009D1769" w:rsidP="005F43DF">
      <w:pPr>
        <w:pStyle w:val="Standardntext"/>
        <w:numPr>
          <w:ilvl w:val="0"/>
          <w:numId w:val="58"/>
        </w:numPr>
      </w:pPr>
      <w:r w:rsidRPr="008B53A9">
        <w:t>Rozvoj podnikatelské kultury, podnikavosti a podnikatelství vedoucí k vyšší tvorbě nových podniků.</w:t>
      </w:r>
    </w:p>
    <w:p w:rsidR="00636AE4" w:rsidRPr="008B53A9" w:rsidRDefault="00636AE4" w:rsidP="005F43DF">
      <w:pPr>
        <w:pStyle w:val="Standardntext"/>
        <w:numPr>
          <w:ilvl w:val="0"/>
          <w:numId w:val="58"/>
        </w:numPr>
      </w:pPr>
      <w:r w:rsidRPr="008B53A9">
        <w:lastRenderedPageBreak/>
        <w:t>Rozvoj kreativních odvětví, která jsou rychle rostoucími odvětvími s velkým růstovým potenciálem, a která pozitivně ovlivňují konkurenceschopnost produktů, služeb a rozvoj dalších odvětví (tzv. kreativní či nová ekonomika).</w:t>
      </w:r>
    </w:p>
    <w:p w:rsidR="009D1769" w:rsidRPr="008B53A9" w:rsidRDefault="009D1769" w:rsidP="005F43DF">
      <w:pPr>
        <w:pStyle w:val="Standardntext"/>
        <w:numPr>
          <w:ilvl w:val="0"/>
          <w:numId w:val="58"/>
        </w:numPr>
      </w:pPr>
      <w:r w:rsidRPr="008B53A9">
        <w:t>Vyšší kvalita a dostupnost poradenských služeb podnikatelských inkubátorů pro začínající podnikatele, které napomohou podnikům se lépe orientovat na trhu a využít všechny tržní příležitosti.</w:t>
      </w:r>
    </w:p>
    <w:p w:rsidR="009D1769" w:rsidRPr="008B53A9" w:rsidRDefault="009D1769" w:rsidP="005F43DF">
      <w:pPr>
        <w:pStyle w:val="Standardntext"/>
        <w:numPr>
          <w:ilvl w:val="0"/>
          <w:numId w:val="58"/>
        </w:numPr>
      </w:pPr>
      <w:r w:rsidRPr="008B53A9">
        <w:t>Zlepšení netechnických kompetencí malých a středních podniků (strategické řízení, marketing, inovační management, zahraniční obchod ad.).</w:t>
      </w:r>
    </w:p>
    <w:p w:rsidR="009D1769" w:rsidRPr="008B53A9" w:rsidRDefault="009D1769" w:rsidP="005F43DF">
      <w:pPr>
        <w:pStyle w:val="Standardntext"/>
        <w:numPr>
          <w:ilvl w:val="0"/>
          <w:numId w:val="58"/>
        </w:numPr>
      </w:pPr>
      <w:r w:rsidRPr="008B53A9">
        <w:t>Zlepšení podmínek pro podnikání v nemetropolitních, zejména periferních regionech.</w:t>
      </w:r>
    </w:p>
    <w:p w:rsidR="00D15773" w:rsidRPr="008B53A9" w:rsidRDefault="00D15773" w:rsidP="00D15773">
      <w:pPr>
        <w:pStyle w:val="Titulek"/>
        <w:keepNext/>
        <w:rPr>
          <w:rFonts w:cs="Calibri"/>
        </w:rPr>
      </w:pPr>
      <w:r w:rsidRPr="008B53A9">
        <w:rPr>
          <w:rFonts w:cs="Calibri"/>
        </w:rPr>
        <w:t xml:space="preserve">Tabulka </w:t>
      </w:r>
      <w:r w:rsidR="00505E76" w:rsidRPr="008B53A9">
        <w:rPr>
          <w:rFonts w:cs="Calibri"/>
        </w:rPr>
        <w:fldChar w:fldCharType="begin"/>
      </w:r>
      <w:r w:rsidR="00505E76" w:rsidRPr="008B53A9">
        <w:rPr>
          <w:rFonts w:cs="Calibri"/>
        </w:rPr>
        <w:instrText xml:space="preserve"> SEQ Tabulka \* ARABIC \r3 </w:instrText>
      </w:r>
      <w:r w:rsidR="00505E76" w:rsidRPr="008B53A9">
        <w:rPr>
          <w:rFonts w:cs="Calibri"/>
        </w:rPr>
        <w:fldChar w:fldCharType="separate"/>
      </w:r>
      <w:r w:rsidR="00E54216" w:rsidRPr="008B53A9">
        <w:rPr>
          <w:rFonts w:cs="Calibri"/>
          <w:noProof/>
        </w:rPr>
        <w:t>3</w:t>
      </w:r>
      <w:r w:rsidR="00505E76" w:rsidRPr="008B53A9">
        <w:rPr>
          <w:rFonts w:cs="Calibri"/>
        </w:rPr>
        <w:fldChar w:fldCharType="end"/>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5"/>
        <w:gridCol w:w="1413"/>
        <w:gridCol w:w="946"/>
        <w:gridCol w:w="1433"/>
        <w:gridCol w:w="990"/>
        <w:gridCol w:w="922"/>
        <w:gridCol w:w="1054"/>
        <w:gridCol w:w="743"/>
        <w:gridCol w:w="1160"/>
      </w:tblGrid>
      <w:tr w:rsidR="00CF739D" w:rsidRPr="008B53A9">
        <w:trPr>
          <w:trHeight w:hRule="exact" w:val="125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Měrná</w:t>
            </w:r>
          </w:p>
          <w:p w:rsidR="00CF739D" w:rsidRPr="008B53A9" w:rsidRDefault="00CF739D" w:rsidP="001B2E5C">
            <w:pPr>
              <w:pStyle w:val="Tabulka"/>
              <w:rPr>
                <w:rFonts w:cs="Calibri"/>
                <w:b/>
                <w:bCs/>
                <w:lang w:val="cs-CZ" w:eastAsia="cs-CZ"/>
              </w:rPr>
            </w:pPr>
            <w:r w:rsidRPr="008B53A9">
              <w:rPr>
                <w:rFonts w:cs="Calibri"/>
                <w:b/>
                <w:bCs/>
                <w:lang w:val="cs-CZ" w:eastAsia="cs-CZ"/>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1B2E5C">
            <w:pPr>
              <w:pStyle w:val="Tabulka"/>
              <w:rPr>
                <w:rFonts w:cs="Calibri"/>
                <w:b/>
                <w:bCs/>
                <w:lang w:val="cs-CZ" w:eastAsia="cs-CZ"/>
              </w:rPr>
            </w:pPr>
            <w:r w:rsidRPr="008B53A9">
              <w:rPr>
                <w:rFonts w:cs="Calibri"/>
                <w:b/>
                <w:bCs/>
                <w:lang w:val="cs-CZ" w:eastAsia="cs-CZ"/>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lang w:val="cs-CZ" w:eastAsia="cs-CZ"/>
              </w:rPr>
            </w:pPr>
            <w:r w:rsidRPr="008B53A9">
              <w:rPr>
                <w:rFonts w:cs="Calibri"/>
                <w:b/>
                <w:bCs/>
                <w:lang w:val="cs-CZ" w:eastAsia="cs-CZ"/>
              </w:rPr>
              <w:t>Četnost podávání zpráv</w:t>
            </w:r>
          </w:p>
        </w:tc>
      </w:tr>
      <w:tr w:rsidR="00D15773" w:rsidRPr="008B53A9">
        <w:trPr>
          <w:trHeight w:hRule="exact" w:val="1401"/>
        </w:trPr>
        <w:tc>
          <w:tcPr>
            <w:tcW w:w="0" w:type="auto"/>
            <w:tcBorders>
              <w:top w:val="single" w:sz="4" w:space="0" w:color="000000"/>
              <w:left w:val="single" w:sz="4" w:space="0" w:color="000000"/>
              <w:bottom w:val="single" w:sz="4" w:space="0" w:color="000000"/>
              <w:right w:val="single" w:sz="4" w:space="0" w:color="000000"/>
            </w:tcBorders>
            <w:vAlign w:val="center"/>
          </w:tcPr>
          <w:p w:rsidR="00D15773" w:rsidRPr="008B53A9" w:rsidRDefault="00D6006C" w:rsidP="00F47B67">
            <w:pPr>
              <w:pStyle w:val="Tabulka"/>
              <w:rPr>
                <w:rFonts w:cs="Calibri"/>
                <w:lang w:val="cs-CZ" w:eastAsia="cs-CZ"/>
              </w:rPr>
            </w:pPr>
            <w:r w:rsidRPr="008B53A9">
              <w:rPr>
                <w:rFonts w:cs="Calibri"/>
                <w:lang w:val="cs-CZ" w:eastAsia="cs-CZ"/>
              </w:rPr>
              <w:t>10701</w:t>
            </w:r>
          </w:p>
        </w:tc>
        <w:tc>
          <w:tcPr>
            <w:tcW w:w="0" w:type="auto"/>
            <w:tcBorders>
              <w:top w:val="single" w:sz="4" w:space="0" w:color="000000"/>
              <w:left w:val="single" w:sz="4" w:space="0" w:color="000000"/>
              <w:bottom w:val="single" w:sz="4" w:space="0" w:color="000000"/>
              <w:right w:val="single" w:sz="4" w:space="0" w:color="000000"/>
            </w:tcBorders>
            <w:vAlign w:val="center"/>
          </w:tcPr>
          <w:p w:rsidR="00D15773" w:rsidRPr="008B53A9" w:rsidRDefault="00F6040D" w:rsidP="00AF574A">
            <w:pPr>
              <w:pStyle w:val="Tabulka"/>
              <w:jc w:val="left"/>
              <w:rPr>
                <w:rFonts w:cs="Calibri"/>
                <w:lang w:val="cs-CZ" w:eastAsia="cs-CZ"/>
              </w:rPr>
            </w:pPr>
            <w:r w:rsidRPr="008B53A9">
              <w:rPr>
                <w:rFonts w:cs="Calibri"/>
                <w:lang w:val="cs-CZ" w:eastAsia="cs-CZ"/>
              </w:rPr>
              <w:t>Přidaná hodnota MSP jako % přidané hodnoty ČR</w:t>
            </w:r>
          </w:p>
        </w:tc>
        <w:tc>
          <w:tcPr>
            <w:tcW w:w="0" w:type="auto"/>
            <w:tcBorders>
              <w:top w:val="single" w:sz="4" w:space="0" w:color="000000"/>
              <w:left w:val="single" w:sz="4" w:space="0" w:color="000000"/>
              <w:bottom w:val="single" w:sz="4" w:space="0" w:color="000000"/>
              <w:right w:val="single" w:sz="4" w:space="0" w:color="000000"/>
            </w:tcBorders>
            <w:vAlign w:val="center"/>
          </w:tcPr>
          <w:p w:rsidR="00D15773" w:rsidRPr="008B53A9" w:rsidRDefault="00F6040D" w:rsidP="00F47B67">
            <w:pPr>
              <w:pStyle w:val="Tabulka"/>
              <w:rPr>
                <w:rFonts w:cs="Calibri"/>
                <w:lang w:val="cs-CZ" w:eastAsia="cs-CZ"/>
              </w:rPr>
            </w:pPr>
            <w:r w:rsidRPr="008B53A9">
              <w:rPr>
                <w:rFonts w:cs="Calibri"/>
                <w:lang w:val="cs-CZ"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D15773" w:rsidRPr="008B53A9" w:rsidRDefault="00F6040D" w:rsidP="00F47B67">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D15773" w:rsidRPr="008B53A9" w:rsidRDefault="00E73136" w:rsidP="00F47B67">
            <w:pPr>
              <w:pStyle w:val="Tabulka"/>
              <w:rPr>
                <w:rFonts w:cs="Calibri"/>
                <w:lang w:val="cs-CZ" w:eastAsia="cs-CZ"/>
              </w:rPr>
            </w:pPr>
            <w:r w:rsidRPr="008B53A9">
              <w:rPr>
                <w:rFonts w:cs="Calibri"/>
                <w:lang w:val="cs-CZ" w:eastAsia="cs-CZ"/>
              </w:rPr>
              <w:t>53,81</w:t>
            </w:r>
          </w:p>
        </w:tc>
        <w:tc>
          <w:tcPr>
            <w:tcW w:w="0" w:type="auto"/>
            <w:tcBorders>
              <w:top w:val="single" w:sz="4" w:space="0" w:color="000000"/>
              <w:left w:val="single" w:sz="4" w:space="0" w:color="000000"/>
              <w:bottom w:val="single" w:sz="4" w:space="0" w:color="000000"/>
              <w:right w:val="single" w:sz="4" w:space="0" w:color="000000"/>
            </w:tcBorders>
            <w:vAlign w:val="center"/>
          </w:tcPr>
          <w:p w:rsidR="00D15773" w:rsidRPr="008B53A9" w:rsidRDefault="00E73136" w:rsidP="00F47B67">
            <w:pPr>
              <w:pStyle w:val="Tabulka"/>
              <w:rPr>
                <w:rFonts w:cs="Calibri"/>
                <w:lang w:val="cs-CZ" w:eastAsia="cs-CZ"/>
              </w:rPr>
            </w:pPr>
            <w:r w:rsidRPr="008B53A9">
              <w:rPr>
                <w:rFonts w:cs="Calibri"/>
                <w:lang w:val="cs-CZ" w:eastAsia="cs-CZ"/>
              </w:rPr>
              <w:t>2012</w:t>
            </w:r>
          </w:p>
        </w:tc>
        <w:tc>
          <w:tcPr>
            <w:tcW w:w="0" w:type="auto"/>
            <w:tcBorders>
              <w:top w:val="single" w:sz="4" w:space="0" w:color="000000"/>
              <w:left w:val="single" w:sz="4" w:space="0" w:color="000000"/>
              <w:bottom w:val="single" w:sz="4" w:space="0" w:color="000000"/>
              <w:right w:val="single" w:sz="4" w:space="0" w:color="000000"/>
            </w:tcBorders>
            <w:vAlign w:val="center"/>
          </w:tcPr>
          <w:p w:rsidR="00D15773" w:rsidRPr="008B53A9" w:rsidRDefault="006D0B8B" w:rsidP="00F47B67">
            <w:pPr>
              <w:pStyle w:val="Tabulka"/>
              <w:rPr>
                <w:rFonts w:cs="Calibri"/>
                <w:lang w:val="cs-CZ" w:eastAsia="cs-CZ"/>
              </w:rPr>
            </w:pPr>
            <w:r w:rsidRPr="008B53A9">
              <w:rPr>
                <w:rFonts w:cs="Calibri"/>
                <w:lang w:val="cs-CZ" w:eastAsia="cs-CZ"/>
              </w:rPr>
              <w:t>55 - 57</w:t>
            </w:r>
          </w:p>
        </w:tc>
        <w:tc>
          <w:tcPr>
            <w:tcW w:w="0" w:type="auto"/>
            <w:tcBorders>
              <w:top w:val="single" w:sz="4" w:space="0" w:color="000000"/>
              <w:left w:val="single" w:sz="4" w:space="0" w:color="000000"/>
              <w:bottom w:val="single" w:sz="4" w:space="0" w:color="000000"/>
              <w:right w:val="single" w:sz="4" w:space="0" w:color="000000"/>
            </w:tcBorders>
            <w:vAlign w:val="center"/>
          </w:tcPr>
          <w:p w:rsidR="00D15773" w:rsidRPr="008B53A9" w:rsidRDefault="00F6040D" w:rsidP="006D1774">
            <w:pPr>
              <w:pStyle w:val="Tabulka"/>
              <w:rPr>
                <w:rFonts w:cs="Calibri"/>
                <w:lang w:val="cs-CZ" w:eastAsia="cs-CZ"/>
              </w:rPr>
            </w:pPr>
            <w:r w:rsidRPr="008B53A9">
              <w:rPr>
                <w:rFonts w:cs="Calibri"/>
                <w:lang w:val="cs-CZ" w:eastAsia="cs-CZ"/>
              </w:rPr>
              <w:t>MPO, ČSÚ</w:t>
            </w:r>
          </w:p>
        </w:tc>
        <w:tc>
          <w:tcPr>
            <w:tcW w:w="0" w:type="auto"/>
            <w:tcBorders>
              <w:top w:val="single" w:sz="4" w:space="0" w:color="000000"/>
              <w:left w:val="single" w:sz="4" w:space="0" w:color="000000"/>
              <w:bottom w:val="single" w:sz="4" w:space="0" w:color="000000"/>
              <w:right w:val="single" w:sz="4" w:space="0" w:color="000000"/>
            </w:tcBorders>
            <w:vAlign w:val="center"/>
          </w:tcPr>
          <w:p w:rsidR="00D15773" w:rsidRPr="008B53A9" w:rsidRDefault="00F6040D" w:rsidP="00F47B67">
            <w:pPr>
              <w:pStyle w:val="Tabulka"/>
              <w:rPr>
                <w:rFonts w:cs="Calibri"/>
                <w:lang w:val="cs-CZ" w:eastAsia="cs-CZ"/>
              </w:rPr>
            </w:pPr>
            <w:r w:rsidRPr="008B53A9">
              <w:rPr>
                <w:rFonts w:cs="Calibri"/>
                <w:lang w:val="cs-CZ" w:eastAsia="cs-CZ"/>
              </w:rPr>
              <w:t>ročně</w:t>
            </w:r>
          </w:p>
        </w:tc>
      </w:tr>
    </w:tbl>
    <w:p w:rsidR="00F27129" w:rsidRPr="008B53A9" w:rsidRDefault="001B2E5C" w:rsidP="005F43DF">
      <w:pPr>
        <w:pStyle w:val="kapitola2A0"/>
        <w:numPr>
          <w:ilvl w:val="2"/>
          <w:numId w:val="15"/>
        </w:numPr>
      </w:pPr>
      <w:bookmarkStart w:id="43" w:name="_Toc391539615"/>
      <w:r w:rsidRPr="008B53A9">
        <w:t>Opatření, jež má být podpořeno v rámci investiční priority</w:t>
      </w:r>
      <w:bookmarkEnd w:id="43"/>
    </w:p>
    <w:p w:rsidR="00F27129" w:rsidRPr="008B53A9" w:rsidRDefault="00D479AF" w:rsidP="005F43DF">
      <w:pPr>
        <w:pStyle w:val="Nadpis5"/>
        <w:numPr>
          <w:ilvl w:val="4"/>
          <w:numId w:val="16"/>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C30048" w:rsidRPr="008B53A9" w:rsidRDefault="00177462" w:rsidP="00DF4F92">
      <w:pPr>
        <w:pStyle w:val="Standardntext"/>
        <w:rPr>
          <w:b/>
        </w:rPr>
      </w:pPr>
      <w:r w:rsidRPr="008B53A9">
        <w:rPr>
          <w:b/>
        </w:rPr>
        <w:t>Indikativní výčet podporovaných aktivit:</w:t>
      </w:r>
    </w:p>
    <w:p w:rsidR="00527A16" w:rsidRPr="008B53A9" w:rsidRDefault="004A326E" w:rsidP="005F43DF">
      <w:pPr>
        <w:pStyle w:val="Standardntext"/>
        <w:numPr>
          <w:ilvl w:val="0"/>
          <w:numId w:val="47"/>
        </w:numPr>
      </w:pPr>
      <w:r w:rsidRPr="008B53A9">
        <w:t xml:space="preserve">Realizace podnikatelských záměrů začínajících </w:t>
      </w:r>
      <w:r w:rsidR="00FF3A47" w:rsidRPr="008B53A9">
        <w:t>podniků</w:t>
      </w:r>
      <w:r w:rsidRPr="008B53A9">
        <w:t xml:space="preserve"> (do 5 let) a rozvojových </w:t>
      </w:r>
      <w:r w:rsidR="00FF3A47" w:rsidRPr="008B53A9">
        <w:t>podniků</w:t>
      </w:r>
      <w:r w:rsidRPr="008B53A9">
        <w:t xml:space="preserve"> prostřednictvím vhodných finančních nástrojů (úvěry, záruky za bankovní úvěry, rizikový kapitál) a dotací </w:t>
      </w:r>
      <w:r w:rsidR="00B4602B" w:rsidRPr="008B53A9">
        <w:t xml:space="preserve">MSP zejména pro </w:t>
      </w:r>
      <w:r w:rsidRPr="008B53A9">
        <w:t xml:space="preserve"> mikropodnik</w:t>
      </w:r>
      <w:r w:rsidR="00B4602B" w:rsidRPr="008B53A9">
        <w:t>y</w:t>
      </w:r>
      <w:r w:rsidRPr="008B53A9">
        <w:t>,</w:t>
      </w:r>
    </w:p>
    <w:p w:rsidR="009D1769" w:rsidRPr="008B53A9" w:rsidRDefault="004A326E" w:rsidP="005F43DF">
      <w:pPr>
        <w:pStyle w:val="Standardntext"/>
        <w:numPr>
          <w:ilvl w:val="0"/>
          <w:numId w:val="47"/>
        </w:numPr>
      </w:pPr>
      <w:r w:rsidRPr="008B53A9">
        <w:t xml:space="preserve">poskytování poradenských služeb a služeb pro začínající </w:t>
      </w:r>
      <w:r w:rsidR="00594BD9" w:rsidRPr="008B53A9">
        <w:t>podniky</w:t>
      </w:r>
      <w:r w:rsidRPr="008B53A9">
        <w:t xml:space="preserve"> </w:t>
      </w:r>
      <w:r w:rsidR="00E27FF3" w:rsidRPr="008B53A9">
        <w:t xml:space="preserve">v </w:t>
      </w:r>
      <w:r w:rsidRPr="008B53A9">
        <w:t>nemetropolitních, zejména periferních regionech</w:t>
      </w:r>
      <w:r w:rsidR="00E27FF3" w:rsidRPr="008B53A9">
        <w:t xml:space="preserve"> (např. prostřednictvím podnikatelských </w:t>
      </w:r>
      <w:r w:rsidR="009D1769" w:rsidRPr="008B53A9">
        <w:t>inkubátorů).</w:t>
      </w:r>
    </w:p>
    <w:p w:rsidR="001F0C50" w:rsidRPr="008B53A9" w:rsidRDefault="001F0C50" w:rsidP="009D1769">
      <w:pPr>
        <w:pStyle w:val="Standardntext"/>
      </w:pPr>
      <w:r w:rsidRPr="008B53A9">
        <w:t>V tomto specifickém cíli je počítáno s inovacemi nižších řádů</w:t>
      </w:r>
      <w:r w:rsidRPr="008B53A9">
        <w:rPr>
          <w:rStyle w:val="Znakapoznpodarou"/>
        </w:rPr>
        <w:footnoteReference w:id="39"/>
      </w:r>
      <w:r w:rsidRPr="008B53A9">
        <w:t>, tzn. s podporou modernizačních a rozvojových projektů. Podporovány nebudou výdaje na výzkum a vývoj podporované v prioritní ose 1. Podporované projekty umožní vznik či rozvoj podnikatelů s krátkou historií nebo udržení a posílení konkurenceschopnosti MSP, což formou nových investic přispěje k tvorbě HDP a nárůstu zaměstnanosti. Podpora bude zaměřena zejména do odvětví zpracovatelského průmyslu a služeb.</w:t>
      </w:r>
    </w:p>
    <w:p w:rsidR="00896EDF" w:rsidRPr="008B53A9" w:rsidRDefault="00D17DDE" w:rsidP="009D1769">
      <w:pPr>
        <w:pStyle w:val="Standardntext"/>
        <w:rPr>
          <w:lang w:val="cs-CZ"/>
        </w:rPr>
      </w:pPr>
      <w:r w:rsidRPr="008B53A9">
        <w:lastRenderedPageBreak/>
        <w:t xml:space="preserve">Aktivita tohoto specifického cíle zaměřená na investiční podporu projektů začínajících a rozvojových firem navazuje na poznatky získané zejména z realizace programů </w:t>
      </w:r>
      <w:r w:rsidR="00E6033C" w:rsidRPr="008B53A9">
        <w:t xml:space="preserve">podpory </w:t>
      </w:r>
      <w:r w:rsidRPr="008B53A9">
        <w:t>OPPI</w:t>
      </w:r>
      <w:r w:rsidR="00884FB7" w:rsidRPr="008B53A9">
        <w:t xml:space="preserve"> „</w:t>
      </w:r>
      <w:r w:rsidRPr="008B53A9">
        <w:rPr>
          <w:i/>
        </w:rPr>
        <w:t>Vznik firem</w:t>
      </w:r>
      <w:r w:rsidR="00884FB7" w:rsidRPr="008B53A9">
        <w:rPr>
          <w:i/>
        </w:rPr>
        <w:t>“</w:t>
      </w:r>
      <w:r w:rsidRPr="008B53A9">
        <w:t xml:space="preserve"> a</w:t>
      </w:r>
      <w:r w:rsidR="00835369" w:rsidRPr="008B53A9">
        <w:rPr>
          <w:lang w:val="cs-CZ"/>
        </w:rPr>
        <w:t xml:space="preserve"> </w:t>
      </w:r>
      <w:r w:rsidR="00884FB7" w:rsidRPr="008B53A9">
        <w:t>„</w:t>
      </w:r>
      <w:r w:rsidRPr="008B53A9">
        <w:rPr>
          <w:i/>
        </w:rPr>
        <w:t>Rozvoj firem</w:t>
      </w:r>
      <w:r w:rsidR="00884FB7" w:rsidRPr="008B53A9">
        <w:rPr>
          <w:i/>
        </w:rPr>
        <w:t>“</w:t>
      </w:r>
      <w:r w:rsidRPr="008B53A9">
        <w:t xml:space="preserve">, kde formou podpory byly úvěry, záruky a </w:t>
      </w:r>
      <w:r w:rsidR="009D1769" w:rsidRPr="008B53A9">
        <w:t>dotace.</w:t>
      </w:r>
      <w:r w:rsidRPr="008B53A9">
        <w:t xml:space="preserve"> Cílem aktivity SC 2.1 </w:t>
      </w:r>
      <w:r w:rsidR="00E6033C" w:rsidRPr="008B53A9">
        <w:t xml:space="preserve">OP PIK </w:t>
      </w:r>
      <w:r w:rsidRPr="008B53A9">
        <w:t xml:space="preserve">je </w:t>
      </w:r>
      <w:r w:rsidR="009D1769" w:rsidRPr="008B53A9">
        <w:t>zvýšení počtu nových podnikatelských záměrů</w:t>
      </w:r>
      <w:r w:rsidR="001F0C50" w:rsidRPr="008B53A9">
        <w:t xml:space="preserve"> (investic)</w:t>
      </w:r>
      <w:r w:rsidR="009D1769" w:rsidRPr="008B53A9">
        <w:t xml:space="preserve"> začínajících a rozvojových podniků </w:t>
      </w:r>
      <w:r w:rsidR="001F0C50" w:rsidRPr="008B53A9">
        <w:t>zlepšením přístupu k finančním prostředkům na jejich realizaci a zavádění nových výrobních technologií a služeb. Případná modernizace současných objektů musí být v případě SC 2.1 vždy spojena se zaváděním nových výrobních technologií a služeb.</w:t>
      </w:r>
      <w:r w:rsidRPr="008B53A9">
        <w:t xml:space="preserve"> </w:t>
      </w:r>
      <w:r w:rsidR="00E6033C" w:rsidRPr="008B53A9">
        <w:t>I pro programovací období 2014 – 2020 se uka</w:t>
      </w:r>
      <w:r w:rsidR="001911D7" w:rsidRPr="008B53A9">
        <w:t xml:space="preserve">zuje, že je nadále účelné podporovat </w:t>
      </w:r>
      <w:r w:rsidR="00E6033C" w:rsidRPr="008B53A9">
        <w:t>přístup ke kapitálu pro MSP z veřejných prostředků a umožnit MSP realizaci konkurenceschopných projektů</w:t>
      </w:r>
      <w:r w:rsidR="00835369" w:rsidRPr="008B53A9">
        <w:rPr>
          <w:lang w:val="cs-CZ"/>
        </w:rPr>
        <w:t xml:space="preserve">. </w:t>
      </w:r>
      <w:r w:rsidR="009D1769" w:rsidRPr="008B53A9">
        <w:t xml:space="preserve">Zkušenosti </w:t>
      </w:r>
      <w:r w:rsidR="00D12D06" w:rsidRPr="008B53A9">
        <w:t>z implementace OPPI jsou blíže popsány v příloze č. 1.</w:t>
      </w:r>
    </w:p>
    <w:p w:rsidR="009D1769" w:rsidRPr="008B53A9" w:rsidRDefault="005368EE" w:rsidP="009D1769">
      <w:pPr>
        <w:pStyle w:val="Standardntext"/>
      </w:pPr>
      <w:r w:rsidRPr="008B53A9">
        <w:t>Další a</w:t>
      </w:r>
      <w:r w:rsidR="00D17DDE" w:rsidRPr="008B53A9">
        <w:t>ktivita</w:t>
      </w:r>
      <w:r w:rsidRPr="008B53A9">
        <w:t xml:space="preserve"> SC 2.1</w:t>
      </w:r>
      <w:r w:rsidR="00D17DDE" w:rsidRPr="008B53A9">
        <w:t xml:space="preserve"> zaměřená na podporu poradenských služeb a služeb pro začínající podniky je novou aktivitou pro začínající podniky reagující na nutnost posílení sektoru dynamicky rostoucích MSP pro zlepšení výkonnosti ekonomiky ČR a </w:t>
      </w:r>
      <w:r w:rsidRPr="008B53A9">
        <w:t xml:space="preserve">zvýšení </w:t>
      </w:r>
      <w:r w:rsidR="00D17DDE" w:rsidRPr="008B53A9">
        <w:t>zaměstnanost</w:t>
      </w:r>
      <w:r w:rsidRPr="008B53A9">
        <w:t>i</w:t>
      </w:r>
      <w:r w:rsidR="00D17DDE" w:rsidRPr="008B53A9">
        <w:t>. V programov</w:t>
      </w:r>
      <w:r w:rsidRPr="008B53A9">
        <w:t>acím</w:t>
      </w:r>
      <w:r w:rsidR="00D17DDE" w:rsidRPr="008B53A9">
        <w:t xml:space="preserve"> období 2007 – 2013 byla podpora poradenských služeb v OPPI zaměřena na přípravu inovačních studií MSP na inovace produktu, procesu, organizační a marketingové inovace. </w:t>
      </w:r>
      <w:r w:rsidR="009D1769" w:rsidRPr="008B53A9">
        <w:t>Poznatky z realizace dosavadních podpor poradenských služeb v OPPI, poskytovaných externími poradci MSP, jsou zohledňovány v nastavení podmínek pro přípravu realizace nové aktivity v oblasti poradenských služeb pro začínající podnikatele v nemetropolitních, zejména periferních regionech, a to i prostřednictvím podnikatelských inkubátorů.</w:t>
      </w:r>
    </w:p>
    <w:p w:rsidR="00B37B07" w:rsidRPr="008B53A9" w:rsidRDefault="00D6338B" w:rsidP="00D6338B">
      <w:pPr>
        <w:pStyle w:val="Standardntext"/>
      </w:pPr>
      <w:r w:rsidRPr="008B53A9">
        <w:t>Typovými projekty v oblasti podnikatelských záměrů začínajících a rozvojových podniků, budou takové</w:t>
      </w:r>
      <w:r w:rsidR="00C610B3" w:rsidRPr="008B53A9">
        <w:t xml:space="preserve"> projekty</w:t>
      </w:r>
      <w:r w:rsidRPr="008B53A9">
        <w:t>, které jsou spojené s pořízením či rekonstrukcí budov, strojů a zařízení a získáním pracovního kapitálu pro zahájení či rozšíření podnikatelské činnosti začínajících podnikatelů, se zvyšováním produkční kapacity podnikatelských činností pořízením strojů a zařízení a posílením pracovního</w:t>
      </w:r>
      <w:r w:rsidR="006C272E" w:rsidRPr="008B53A9">
        <w:t xml:space="preserve"> kapitálu rozvojových podniků, </w:t>
      </w:r>
      <w:r w:rsidR="006329E9" w:rsidRPr="008B53A9">
        <w:rPr>
          <w:lang w:val="cs-CZ"/>
        </w:rPr>
        <w:t xml:space="preserve">se zvyšováním kvality a efektivity poskytovaných služeb, </w:t>
      </w:r>
      <w:r w:rsidR="006C272E" w:rsidRPr="008B53A9">
        <w:t xml:space="preserve">se </w:t>
      </w:r>
      <w:r w:rsidRPr="008B53A9">
        <w:t>zavádění</w:t>
      </w:r>
      <w:r w:rsidR="006C272E" w:rsidRPr="008B53A9">
        <w:t>m</w:t>
      </w:r>
      <w:r w:rsidRPr="008B53A9">
        <w:t xml:space="preserve"> moderních technologických procesů u podnikatelských subjektů s využitím technických a užitných vlastností nových strojů a za</w:t>
      </w:r>
      <w:r w:rsidR="006C272E" w:rsidRPr="008B53A9">
        <w:t>řízení, měřidel, hardware a software a s realizací</w:t>
      </w:r>
      <w:r w:rsidRPr="008B53A9">
        <w:t xml:space="preserve"> automatizovaných </w:t>
      </w:r>
      <w:r w:rsidR="006C272E" w:rsidRPr="008B53A9">
        <w:t xml:space="preserve">systémů marketingových činností, </w:t>
      </w:r>
      <w:r w:rsidRPr="008B53A9">
        <w:t>technické přípravy výroby, ř</w:t>
      </w:r>
      <w:r w:rsidR="006C272E" w:rsidRPr="008B53A9">
        <w:t xml:space="preserve">ízení výroby a obchodu pořizováním odpovídajícího </w:t>
      </w:r>
      <w:r w:rsidR="00F93EC1" w:rsidRPr="008B53A9">
        <w:t xml:space="preserve">hardwaru a softwaru. </w:t>
      </w:r>
      <w:r w:rsidR="00152841" w:rsidRPr="008B53A9">
        <w:t>Výstupem tak bud</w:t>
      </w:r>
      <w:r w:rsidR="00FB72D2" w:rsidRPr="008B53A9">
        <w:t>ou jednotlivé podpořené podnikatelské</w:t>
      </w:r>
      <w:r w:rsidR="00152841" w:rsidRPr="008B53A9">
        <w:t xml:space="preserve"> záměr</w:t>
      </w:r>
      <w:r w:rsidR="00FB72D2" w:rsidRPr="008B53A9">
        <w:t>y</w:t>
      </w:r>
      <w:r w:rsidR="00152841" w:rsidRPr="008B53A9">
        <w:t xml:space="preserve">, </w:t>
      </w:r>
      <w:r w:rsidR="009D1769" w:rsidRPr="008B53A9">
        <w:t>jejichž</w:t>
      </w:r>
      <w:r w:rsidR="00152841" w:rsidRPr="008B53A9">
        <w:t xml:space="preserve"> výsledky se promítnou ve střednědobém horizontu </w:t>
      </w:r>
      <w:r w:rsidR="00C610B3" w:rsidRPr="008B53A9">
        <w:t>ekonomickými přínosy a nově vytvořenými pracovními</w:t>
      </w:r>
      <w:r w:rsidR="00152841" w:rsidRPr="008B53A9">
        <w:t xml:space="preserve"> míst</w:t>
      </w:r>
      <w:r w:rsidR="00C610B3" w:rsidRPr="008B53A9">
        <w:t>y</w:t>
      </w:r>
      <w:r w:rsidR="00152841" w:rsidRPr="008B53A9">
        <w:t>.</w:t>
      </w:r>
    </w:p>
    <w:p w:rsidR="00D43022" w:rsidRPr="008B53A9" w:rsidRDefault="0007086E" w:rsidP="009D1769">
      <w:pPr>
        <w:pStyle w:val="Standardntext"/>
        <w:rPr>
          <w:rFonts w:cs="Arial"/>
        </w:rPr>
      </w:pPr>
      <w:r w:rsidRPr="008B53A9">
        <w:t>V oblasti poskytování poradenských služeb a služeb pro začínající podnikatele půjde o služby zaměřené zejména na příprav</w:t>
      </w:r>
      <w:r w:rsidR="00C610B3" w:rsidRPr="008B53A9">
        <w:t>u</w:t>
      </w:r>
      <w:r w:rsidR="00B37B07" w:rsidRPr="008B53A9">
        <w:t xml:space="preserve"> podnikatelského plánu, základy</w:t>
      </w:r>
      <w:r w:rsidRPr="008B53A9">
        <w:t xml:space="preserve"> práva a účetnictví, možnost</w:t>
      </w:r>
      <w:r w:rsidR="00B37B07" w:rsidRPr="008B53A9">
        <w:t>i</w:t>
      </w:r>
      <w:r w:rsidRPr="008B53A9">
        <w:t xml:space="preserve"> získání finančních </w:t>
      </w:r>
      <w:r w:rsidR="00B37B07" w:rsidRPr="008B53A9">
        <w:t>prostředků k podnikání a základy</w:t>
      </w:r>
      <w:r w:rsidRPr="008B53A9">
        <w:t xml:space="preserve"> finančního řízení podniku, finanční analýzy řízení podniku, rozvoj vnitropodnikového řízení, optimalizační systémy rozvoje firem apod.</w:t>
      </w:r>
      <w:r w:rsidR="00B37B07" w:rsidRPr="008B53A9">
        <w:t xml:space="preserve"> </w:t>
      </w:r>
      <w:r w:rsidR="00453006" w:rsidRPr="008B53A9">
        <w:t xml:space="preserve">Na rozdíl od SC 2.2 se bude jednat o základní poradenské služby. </w:t>
      </w:r>
      <w:r w:rsidR="00B37B07" w:rsidRPr="008B53A9">
        <w:rPr>
          <w:rFonts w:cs="Arial"/>
        </w:rPr>
        <w:t xml:space="preserve">Výstupem tak bude počet </w:t>
      </w:r>
      <w:r w:rsidR="00FB72D2" w:rsidRPr="008B53A9">
        <w:rPr>
          <w:rFonts w:cs="Arial"/>
        </w:rPr>
        <w:t xml:space="preserve">jednotlivých </w:t>
      </w:r>
      <w:r w:rsidR="00B37B07" w:rsidRPr="008B53A9">
        <w:rPr>
          <w:rFonts w:cs="Arial"/>
        </w:rPr>
        <w:t xml:space="preserve">podpořených </w:t>
      </w:r>
      <w:r w:rsidR="00464D09" w:rsidRPr="008B53A9">
        <w:rPr>
          <w:rFonts w:cs="Arial"/>
        </w:rPr>
        <w:t>podnikatelských záměrů</w:t>
      </w:r>
      <w:r w:rsidR="00D45051" w:rsidRPr="008B53A9">
        <w:rPr>
          <w:rFonts w:cs="Arial"/>
        </w:rPr>
        <w:t xml:space="preserve"> v oblasti poskytov</w:t>
      </w:r>
      <w:r w:rsidR="009D1769" w:rsidRPr="008B53A9">
        <w:rPr>
          <w:rFonts w:cs="Arial"/>
        </w:rPr>
        <w:t>á</w:t>
      </w:r>
      <w:r w:rsidR="00D45051" w:rsidRPr="008B53A9">
        <w:rPr>
          <w:rFonts w:cs="Arial"/>
        </w:rPr>
        <w:t xml:space="preserve">ní </w:t>
      </w:r>
      <w:r w:rsidR="00D43022" w:rsidRPr="008B53A9">
        <w:rPr>
          <w:rFonts w:cs="Arial"/>
        </w:rPr>
        <w:t>poradenských služeb.</w:t>
      </w:r>
      <w:r w:rsidR="00B37B07" w:rsidRPr="008B53A9">
        <w:rPr>
          <w:rFonts w:cs="Arial"/>
        </w:rPr>
        <w:t xml:space="preserve"> </w:t>
      </w:r>
      <w:r w:rsidR="00D43022" w:rsidRPr="008B53A9">
        <w:rPr>
          <w:rFonts w:cs="Arial"/>
        </w:rPr>
        <w:t xml:space="preserve">Výsledky se </w:t>
      </w:r>
      <w:r w:rsidR="009D1769" w:rsidRPr="008B53A9">
        <w:rPr>
          <w:rFonts w:cs="Arial"/>
        </w:rPr>
        <w:t xml:space="preserve">na úrovni </w:t>
      </w:r>
      <w:r w:rsidR="00D43022" w:rsidRPr="008B53A9">
        <w:rPr>
          <w:rFonts w:cs="Arial"/>
        </w:rPr>
        <w:t>projektů budou</w:t>
      </w:r>
      <w:r w:rsidR="009D1769" w:rsidRPr="008B53A9">
        <w:rPr>
          <w:rFonts w:cs="Arial"/>
        </w:rPr>
        <w:t xml:space="preserve"> promítat </w:t>
      </w:r>
      <w:r w:rsidR="00D43022" w:rsidRPr="008B53A9">
        <w:rPr>
          <w:rFonts w:cs="Arial"/>
        </w:rPr>
        <w:t xml:space="preserve">do </w:t>
      </w:r>
      <w:r w:rsidR="009D1769" w:rsidRPr="008B53A9">
        <w:rPr>
          <w:rFonts w:cs="Arial"/>
        </w:rPr>
        <w:t>počtu podniků využívajících podpůrné služby inovační infrastruktury</w:t>
      </w:r>
      <w:r w:rsidR="00D43022" w:rsidRPr="008B53A9">
        <w:rPr>
          <w:rFonts w:cs="Arial"/>
        </w:rPr>
        <w:t>.</w:t>
      </w:r>
      <w:r w:rsidR="009D1769" w:rsidRPr="008B53A9">
        <w:rPr>
          <w:rFonts w:cs="Arial"/>
        </w:rPr>
        <w:t xml:space="preserve"> </w:t>
      </w:r>
    </w:p>
    <w:p w:rsidR="005C1834" w:rsidRPr="008B53A9" w:rsidRDefault="005C1834" w:rsidP="009D1769">
      <w:pPr>
        <w:pStyle w:val="Standardntext"/>
        <w:rPr>
          <w:rFonts w:cs="Arial"/>
        </w:rPr>
      </w:pPr>
      <w:r w:rsidRPr="008B53A9">
        <w:t xml:space="preserve">V SC 2.1 bude využito obou nástrojů podpory, tzn. finančních nástrojů (úvěry, záruky za bankovní úvěry, rizikový kapitál) i dotací. Rizikový kapitál je nová podpora projektů začínajících a rozvojových projektů MSP. </w:t>
      </w:r>
      <w:r w:rsidR="003D6734" w:rsidRPr="008B53A9">
        <w:t xml:space="preserve">Základní rámec režimu rizikového kapitálu je již navržen na základě zkušeností z období 2007-2013 a bude dále diskutován s partnery, zejména soukromými investory, zástupci inovační infrastruktury, sdruženími malých a středních </w:t>
      </w:r>
      <w:r w:rsidR="003D6734" w:rsidRPr="008B53A9">
        <w:lastRenderedPageBreak/>
        <w:t xml:space="preserve">podniků a zpracovatelem předběžného posouzení finančních nástrojů. Hlavní riziko, které je třeba zvážit na základě </w:t>
      </w:r>
      <w:r w:rsidR="00D12D06" w:rsidRPr="008B53A9">
        <w:t xml:space="preserve">dosavadních </w:t>
      </w:r>
      <w:r w:rsidR="003D6734" w:rsidRPr="008B53A9">
        <w:t>zkušenost</w:t>
      </w:r>
      <w:r w:rsidR="00D12D06" w:rsidRPr="008B53A9">
        <w:t>í</w:t>
      </w:r>
      <w:r w:rsidR="003D6734" w:rsidRPr="008B53A9">
        <w:t xml:space="preserve">, je časový rámec pro přípravu projektu. Mohou nastat neočekávaná zpoždění jako zdlouhavá správní řízení atd. </w:t>
      </w:r>
      <w:r w:rsidRPr="008B53A9">
        <w:t xml:space="preserve">Pro podporu realizace podnikatelských záměrů začínajících podniků a rozvojových podniků je počítáno s využitím finančních nástrojů a dotací </w:t>
      </w:r>
      <w:r w:rsidR="00514FEC" w:rsidRPr="008B53A9">
        <w:t>MSP zejména</w:t>
      </w:r>
      <w:r w:rsidRPr="008B53A9">
        <w:t xml:space="preserve"> pro mikropodniky, zatímco pro poskytování poradenských služeb pro začínající podniky je počítáno s využitím pouze dotací.</w:t>
      </w:r>
    </w:p>
    <w:p w:rsidR="00F01494" w:rsidRPr="008B53A9" w:rsidRDefault="00F01494" w:rsidP="0007086E">
      <w:pPr>
        <w:pStyle w:val="Standardntext"/>
      </w:pPr>
      <w:r w:rsidRPr="008B53A9">
        <w:t xml:space="preserve">Aktivity </w:t>
      </w:r>
      <w:r w:rsidR="009B5D47" w:rsidRPr="008B53A9">
        <w:t>SC 2.1 mají přímou vazbu na tento strategický cíl</w:t>
      </w:r>
      <w:r w:rsidRPr="008B53A9">
        <w:t xml:space="preserve"> Národní </w:t>
      </w:r>
      <w:r w:rsidR="002B0AB0" w:rsidRPr="008B53A9">
        <w:t>RI</w:t>
      </w:r>
      <w:r w:rsidRPr="008B53A9">
        <w:t>S3 strategie: „Zvýšit míru podnikání ve společnosti s důrazem na zakládání nových rychle rostoucích firem“.</w:t>
      </w:r>
      <w:r w:rsidR="000C7B9A" w:rsidRPr="008B53A9">
        <w:t xml:space="preserve"> Jde především o vzájemnou provázanost s typovými aktivitami/projekty/operacemi specifických cílů A2.1 „Zvýšit počet nových firem usilujících o inovace, zejména vyšších řádů</w:t>
      </w:r>
      <w:r w:rsidR="00044470" w:rsidRPr="008B53A9">
        <w:t>“ a</w:t>
      </w:r>
      <w:r w:rsidR="000C7B9A" w:rsidRPr="008B53A9">
        <w:t xml:space="preserve"> A2.2 „Zlepšit dostupnost vnějšího financování pro začínající podnikatele a firmy s krátkou historií“ Národní </w:t>
      </w:r>
      <w:r w:rsidR="002B0AB0" w:rsidRPr="008B53A9">
        <w:t>RI</w:t>
      </w:r>
      <w:r w:rsidR="000C7B9A" w:rsidRPr="008B53A9">
        <w:t>S3 strategie.</w:t>
      </w:r>
    </w:p>
    <w:p w:rsidR="00527A16" w:rsidRPr="008B53A9" w:rsidRDefault="00527A16" w:rsidP="00757916">
      <w:pPr>
        <w:pStyle w:val="Standardntext"/>
      </w:pPr>
      <w:r w:rsidRPr="008B53A9">
        <w:rPr>
          <w:b/>
        </w:rPr>
        <w:t xml:space="preserve">Hlavní cílová skupina: </w:t>
      </w:r>
      <w:r w:rsidR="00E512C6" w:rsidRPr="008B53A9">
        <w:t>Podnikatelské subjekty (malé a střední podniky).</w:t>
      </w:r>
    </w:p>
    <w:p w:rsidR="00835369" w:rsidRPr="008B53A9" w:rsidRDefault="00527A16" w:rsidP="00757916">
      <w:pPr>
        <w:pStyle w:val="Standardntext"/>
        <w:rPr>
          <w:lang w:val="cs-CZ"/>
        </w:rPr>
      </w:pPr>
      <w:r w:rsidRPr="008B53A9">
        <w:rPr>
          <w:b/>
        </w:rPr>
        <w:t xml:space="preserve">Cílové území: </w:t>
      </w:r>
      <w:r w:rsidRPr="008B53A9">
        <w:t>Území České republiky, mimo území hl. města Prahy</w:t>
      </w:r>
      <w:r w:rsidR="0066347A" w:rsidRPr="008B53A9">
        <w:rPr>
          <w:lang w:val="cs-CZ"/>
        </w:rPr>
        <w:t xml:space="preserve">, v případě finančních nástrojů rizikového kapitálu i Praha za využití čl. 70 obecného nařízení. </w:t>
      </w:r>
      <w:r w:rsidR="008819EE" w:rsidRPr="008B53A9">
        <w:t xml:space="preserve">Z hlediska územní dimenze </w:t>
      </w:r>
      <w:r w:rsidR="00A46CD6" w:rsidRPr="008B53A9">
        <w:t>bude tento specifický cíl zaměřen na hospodářsky problémová území a území s vysokou mírou nezaměstnaností a dále urbánní území, kde se předpokládá zapojení do integrovaného nástroje ITI. Z tohoto pohledu je vhodné odlišit územní přístupy rovněž dle formy podpory; zatímco v případě finančních nástrojů se předpokládá plošné směřování intervencí, v případě dotací MSP zejména pro mikropodniky se předpokládá orientace na hospodářsky problémová území a území s vysokou mírou nezaměstnanost</w:t>
      </w:r>
      <w:r w:rsidR="00D12D06" w:rsidRPr="008B53A9">
        <w:t xml:space="preserve">i. </w:t>
      </w:r>
      <w:r w:rsidR="00806FCA" w:rsidRPr="008B53A9">
        <w:t xml:space="preserve">V rámci tohoto specifického cíle </w:t>
      </w:r>
      <w:r w:rsidR="00A46CD6" w:rsidRPr="008B53A9">
        <w:t>se rovněž počítá s</w:t>
      </w:r>
      <w:r w:rsidR="0066347A" w:rsidRPr="008B53A9">
        <w:rPr>
          <w:lang w:val="cs-CZ"/>
        </w:rPr>
        <w:t xml:space="preserve">e zapojením </w:t>
      </w:r>
      <w:r w:rsidR="00A46CD6" w:rsidRPr="008B53A9">
        <w:t>Místních akčních skupin</w:t>
      </w:r>
      <w:r w:rsidR="0066347A" w:rsidRPr="008B53A9">
        <w:rPr>
          <w:lang w:val="cs-CZ"/>
        </w:rPr>
        <w:t xml:space="preserve"> na přípravě projektů mikropodniků v subregionálních/venkovských oblastech.</w:t>
      </w:r>
    </w:p>
    <w:p w:rsidR="00527A16" w:rsidRPr="008B53A9" w:rsidRDefault="00527A16" w:rsidP="00757916">
      <w:pPr>
        <w:pStyle w:val="Standardntext"/>
      </w:pPr>
      <w:r w:rsidRPr="008B53A9">
        <w:rPr>
          <w:b/>
        </w:rPr>
        <w:t xml:space="preserve">Typy příjemců: </w:t>
      </w:r>
      <w:r w:rsidR="00E512C6" w:rsidRPr="008B53A9">
        <w:t>Podnikatelské su</w:t>
      </w:r>
      <w:r w:rsidR="006B4793" w:rsidRPr="008B53A9">
        <w:t>bjekty (malé a střední podniky)</w:t>
      </w:r>
      <w:r w:rsidR="0066347A" w:rsidRPr="008B53A9">
        <w:rPr>
          <w:lang w:val="cs-CZ"/>
        </w:rPr>
        <w:t xml:space="preserve"> ve výrobě a službách, včetně služeb souvisejících s cestovním ruchem generujícím nová pracovní místa ve venkovských regionech, </w:t>
      </w:r>
      <w:r w:rsidR="00F94571" w:rsidRPr="008B53A9">
        <w:t>provozovatelé inovační infra</w:t>
      </w:r>
      <w:r w:rsidR="00BC2E13" w:rsidRPr="008B53A9">
        <w:t>struktury</w:t>
      </w:r>
      <w:r w:rsidR="005C1834" w:rsidRPr="008B53A9">
        <w:t xml:space="preserve"> jako jsou podnikatelské inkubátory, vědeckotechnické parky</w:t>
      </w:r>
      <w:r w:rsidR="008B53A9" w:rsidRPr="008B53A9">
        <w:rPr>
          <w:lang w:val="cs-CZ"/>
        </w:rPr>
        <w:t xml:space="preserve"> a inovační centra</w:t>
      </w:r>
      <w:r w:rsidR="00DD1A06" w:rsidRPr="008B53A9">
        <w:t xml:space="preserve"> </w:t>
      </w:r>
      <w:r w:rsidR="006B4793" w:rsidRPr="008B53A9">
        <w:t>(pouze pro aktivity poskytování poradenských služeb a služeb pro začínající podniky)</w:t>
      </w:r>
      <w:r w:rsidR="0066347A" w:rsidRPr="008B53A9">
        <w:rPr>
          <w:lang w:val="cs-CZ"/>
        </w:rPr>
        <w:t xml:space="preserve">; </w:t>
      </w:r>
      <w:r w:rsidR="007459FF" w:rsidRPr="008B53A9">
        <w:t xml:space="preserve">v rámci tohoto specifického cíle budou </w:t>
      </w:r>
      <w:r w:rsidR="0066347A" w:rsidRPr="008B53A9">
        <w:rPr>
          <w:lang w:val="cs-CZ"/>
        </w:rPr>
        <w:t xml:space="preserve">příjemci podpory </w:t>
      </w:r>
      <w:r w:rsidR="007459FF" w:rsidRPr="008B53A9">
        <w:t>nezemědělští podnikatelé s výstupem projektu mimo položky</w:t>
      </w:r>
      <w:r w:rsidR="004038F0" w:rsidRPr="008B53A9">
        <w:t xml:space="preserve"> obsažené v dodatku Smlouvy (o EU)</w:t>
      </w:r>
      <w:r w:rsidR="00112C3A" w:rsidRPr="008B53A9">
        <w:t>, z</w:t>
      </w:r>
      <w:r w:rsidR="007459FF" w:rsidRPr="008B53A9">
        <w:t>ároveň budou podporovány projekty zemědělských podnikatelů zaměřené na podnikatelské poradenství (nikoliv poradenství do zemědělské činnosti)</w:t>
      </w:r>
      <w:r w:rsidR="00112C3A" w:rsidRPr="008B53A9">
        <w:t xml:space="preserve">. </w:t>
      </w:r>
    </w:p>
    <w:p w:rsidR="00F27129" w:rsidRPr="008B53A9" w:rsidRDefault="00BA6461" w:rsidP="005F43DF">
      <w:pPr>
        <w:pStyle w:val="Nadpis5"/>
        <w:numPr>
          <w:ilvl w:val="4"/>
          <w:numId w:val="16"/>
        </w:numPr>
      </w:pPr>
      <w:r w:rsidRPr="008B53A9">
        <w:t>Hlavní zásady pro výběr operací</w:t>
      </w:r>
    </w:p>
    <w:p w:rsidR="001963EC" w:rsidRPr="008B53A9" w:rsidRDefault="005E45B6" w:rsidP="00A3171C">
      <w:pPr>
        <w:pStyle w:val="Standardntext"/>
      </w:pPr>
      <w:r w:rsidRPr="008B53A9">
        <w:t>V rámci této investiční priority budou vyhlašovány výzvy na předkládání individuálních projektů</w:t>
      </w:r>
      <w:r w:rsidR="00C610B3" w:rsidRPr="008B53A9">
        <w:t xml:space="preserve"> na podporu investic a interních projektů v oblasti poradenství</w:t>
      </w:r>
      <w:r w:rsidR="00840AC4" w:rsidRPr="008B53A9">
        <w:t xml:space="preserve"> pro začínající podniky</w:t>
      </w:r>
      <w:r w:rsidRPr="008B53A9">
        <w:t xml:space="preserve">. </w:t>
      </w:r>
      <w:r w:rsidR="00855A0B" w:rsidRPr="008B53A9">
        <w:t xml:space="preserve">Předložené projekty budou  nejdříve posuzovány ze strany řídícího orgánu / zprostředkujícího subjektu z pohledu jejich souladu s podmínkami daného programu podpory. </w:t>
      </w:r>
      <w:r w:rsidRPr="008B53A9">
        <w:t xml:space="preserve">Projektové žádosti, které úspěšně projdou tímto procesem, budou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w:t>
      </w:r>
      <w:r w:rsidR="006B1736" w:rsidRPr="008B53A9">
        <w:t>kritérií odpovídajících charakteru</w:t>
      </w:r>
      <w:r w:rsidRPr="008B53A9">
        <w:t xml:space="preserve"> jednotlivých specifických cílů a v rámci nich podporovaných aktivit. </w:t>
      </w:r>
      <w:r w:rsidR="00952A8B" w:rsidRPr="008B53A9">
        <w:t xml:space="preserve">Ve finální fázi hodnocení </w:t>
      </w:r>
      <w:r w:rsidRPr="008B53A9">
        <w:t>budou projekty posuzovány hodnotitelskou komis</w:t>
      </w:r>
      <w:r w:rsidR="00153F2D" w:rsidRPr="008B53A9">
        <w:t>í, která bude tvořena zástupci Ř</w:t>
      </w:r>
      <w:r w:rsidRPr="008B53A9">
        <w:t>ídícího orgánu a relevantními partnery a experty pro oblast podnikání, včetně zastoupení regionálních partnerů.</w:t>
      </w:r>
      <w:r w:rsidR="0020084D" w:rsidRPr="008B53A9">
        <w:t xml:space="preserve"> Výběr </w:t>
      </w:r>
      <w:r w:rsidR="002730C3" w:rsidRPr="008B53A9">
        <w:t>odborných hodnotitelů</w:t>
      </w:r>
      <w:r w:rsidR="0020084D" w:rsidRPr="008B53A9">
        <w:t xml:space="preserve"> a členů hodnotící komise se bude uskutečňovat z řad odborníků prostřednictvím výběrového řízení zveřejněného na internetových stránkách Operačního programu. Všichni hodnotitelé a členové hodnotící </w:t>
      </w:r>
      <w:r w:rsidR="0020084D" w:rsidRPr="008B53A9">
        <w:lastRenderedPageBreak/>
        <w:t>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20084D" w:rsidRPr="008B53A9">
        <w:rPr>
          <w:rStyle w:val="Znakapoznpodarou"/>
        </w:rPr>
        <w:footnoteReference w:id="40"/>
      </w:r>
      <w:r w:rsidR="0020084D" w:rsidRPr="008B53A9">
        <w:t xml:space="preserve"> Hodnotitelé budou průběžně školeni tak, aby byl zajištěn jejich rovný přístup ke všem projektům.</w:t>
      </w:r>
      <w:r w:rsidRPr="008B53A9">
        <w:t xml:space="preserve"> </w:t>
      </w:r>
      <w:r w:rsidR="00D66446" w:rsidRPr="008B53A9">
        <w:t>Tento systém bude nastaven maximálně transparentně, s cílem zajistit kvalitní a objektivní hodnocení projektů, a realizací schválených projektů dosažení stanovených cílů programu.</w:t>
      </w:r>
    </w:p>
    <w:p w:rsidR="00794BE8" w:rsidRPr="008B53A9" w:rsidRDefault="00794BE8" w:rsidP="00794BE8">
      <w:pPr>
        <w:pStyle w:val="Standardntext"/>
      </w:pPr>
      <w:r w:rsidRPr="008B53A9">
        <w:t>V rámci výběru a hodnocení projektů budou posuzována především následující kritéria:</w:t>
      </w:r>
    </w:p>
    <w:p w:rsidR="00794BE8" w:rsidRPr="008B53A9" w:rsidRDefault="00794BE8" w:rsidP="005F43DF">
      <w:pPr>
        <w:pStyle w:val="Standardntext"/>
        <w:numPr>
          <w:ilvl w:val="0"/>
          <w:numId w:val="44"/>
        </w:numPr>
      </w:pPr>
      <w:r w:rsidRPr="008B53A9">
        <w:t xml:space="preserve">Kvalita a potřebnost projektu </w:t>
      </w:r>
      <w:r w:rsidR="00A438A6" w:rsidRPr="008B53A9">
        <w:t xml:space="preserve">s ohledem na </w:t>
      </w:r>
      <w:r w:rsidR="004E1B49" w:rsidRPr="008B53A9">
        <w:t>jeho</w:t>
      </w:r>
      <w:r w:rsidR="00A438A6" w:rsidRPr="008B53A9">
        <w:t xml:space="preserve"> předpokládaný ekonomický přínos, nově vytvořená pracovní místa apod.</w:t>
      </w:r>
    </w:p>
    <w:p w:rsidR="00A438A6" w:rsidRPr="008B53A9" w:rsidRDefault="00A438A6" w:rsidP="005F43DF">
      <w:pPr>
        <w:pStyle w:val="Standardntext"/>
        <w:numPr>
          <w:ilvl w:val="0"/>
          <w:numId w:val="44"/>
        </w:numPr>
      </w:pPr>
      <w:r w:rsidRPr="008B53A9">
        <w:rPr>
          <w:iCs/>
        </w:rPr>
        <w:t>Projekty, které svou realizací prokáží vytvoření, udržitelnost nových pracovních míst a zaměstnání osob znevýhodněných na trhu práce (osoby se zdravotním postižením, matky s dětmi a další pečující osoby, senioři, příslušníci etnických menšin, včetně romské menšiny, cizinci, atd.) budou bonifikovány.</w:t>
      </w:r>
    </w:p>
    <w:p w:rsidR="00794BE8" w:rsidRPr="008B53A9" w:rsidRDefault="001963EC" w:rsidP="005F43DF">
      <w:pPr>
        <w:pStyle w:val="Standardntext"/>
        <w:numPr>
          <w:ilvl w:val="0"/>
          <w:numId w:val="44"/>
        </w:numPr>
      </w:pPr>
      <w:r w:rsidRPr="008B53A9">
        <w:t xml:space="preserve">Soulad projektu s  územní dimenzí a uplatněním integrovaných </w:t>
      </w:r>
      <w:r w:rsidR="009D1769" w:rsidRPr="008B53A9">
        <w:t>nástrojů</w:t>
      </w:r>
      <w:r w:rsidRPr="008B53A9">
        <w:t xml:space="preserve"> (ITI) v rámci této investiční priority</w:t>
      </w:r>
      <w:r w:rsidR="00D23729" w:rsidRPr="008B53A9">
        <w:t xml:space="preserve"> (viz </w:t>
      </w:r>
      <w:r w:rsidR="00D23729" w:rsidRPr="008B53A9">
        <w:rPr>
          <w:i/>
        </w:rPr>
        <w:t>Cílové území</w:t>
      </w:r>
      <w:r w:rsidR="00D23729" w:rsidRPr="008B53A9">
        <w:t xml:space="preserve"> v</w:t>
      </w:r>
      <w:r w:rsidR="00C63CF5" w:rsidRPr="008B53A9">
        <w:t> oddíle 2.A.6.1 a dále oddíl 4</w:t>
      </w:r>
      <w:r w:rsidR="00D23729" w:rsidRPr="008B53A9">
        <w:t>)</w:t>
      </w:r>
      <w:r w:rsidRPr="008B53A9">
        <w:t>.</w:t>
      </w:r>
      <w:r w:rsidR="00794BE8" w:rsidRPr="008B53A9">
        <w:t> </w:t>
      </w:r>
    </w:p>
    <w:p w:rsidR="00794BE8" w:rsidRPr="008B53A9" w:rsidRDefault="00794BE8"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794BE8" w:rsidRPr="008B53A9" w:rsidRDefault="00794BE8" w:rsidP="005F43DF">
      <w:pPr>
        <w:pStyle w:val="Standardntext"/>
        <w:numPr>
          <w:ilvl w:val="0"/>
          <w:numId w:val="44"/>
        </w:numPr>
      </w:pPr>
      <w:r w:rsidRPr="008B53A9">
        <w:t>Žadatel nesmí mít právní formu akciové společnosti s listinnými akciemi na majitele.</w:t>
      </w:r>
    </w:p>
    <w:p w:rsidR="00794BE8" w:rsidRPr="008B53A9" w:rsidRDefault="00794BE8" w:rsidP="005F43DF">
      <w:pPr>
        <w:pStyle w:val="Standardntext"/>
        <w:numPr>
          <w:ilvl w:val="0"/>
          <w:numId w:val="44"/>
        </w:numPr>
      </w:pPr>
      <w:r w:rsidRPr="008B53A9">
        <w:t>V případě podpory formou finančních nástrojů bude výběr operací proveden podle zásad uvedených v bodě 2.A.6.3.</w:t>
      </w:r>
    </w:p>
    <w:p w:rsidR="00346C12" w:rsidRPr="008B53A9" w:rsidRDefault="00BA6461" w:rsidP="005F43DF">
      <w:pPr>
        <w:pStyle w:val="Nadpis5"/>
        <w:numPr>
          <w:ilvl w:val="4"/>
          <w:numId w:val="16"/>
        </w:numPr>
        <w:rPr>
          <w:rFonts w:cs="Calibri"/>
        </w:rPr>
      </w:pPr>
      <w:r w:rsidRPr="008B53A9">
        <w:t>Plánované využití finančních nástrojů (použije-li se)</w:t>
      </w:r>
    </w:p>
    <w:p w:rsidR="00527A16" w:rsidRPr="008B53A9" w:rsidRDefault="00806FCA" w:rsidP="00AE26A2">
      <w:pPr>
        <w:pStyle w:val="Standardntext"/>
      </w:pPr>
      <w:r w:rsidRPr="008B53A9">
        <w:t>Při provádění této investiční priority budou koneční příjemci podpořeni finančními nástroji ve formě poskytování úvěrů, záruk a rizikového kapitálu. V souladu s čl. 38 odst. 1 písm. b) obecného nařízení půjde o finanční nástroje zřízené na celostátní úrovni. Pro řízení finančních nástrojů ŘO OP PIK využije možnosti investovat do kapitálu stávajících nebo nově vytvořených právnických osob, které se ujmou prováděcích úkolů podle čl. 38 odst. 4 písm. a) nebo prováděcí úkoly svěří podle čl. 38 odst. 4 písm. b)</w:t>
      </w:r>
      <w:r w:rsidR="004B4505" w:rsidRPr="008B53A9">
        <w:t xml:space="preserve"> obecného nařízení</w:t>
      </w:r>
      <w:r w:rsidRPr="008B53A9">
        <w:t>. Implementace finančních nástrojů zahrne fond fondů</w:t>
      </w:r>
      <w:r w:rsidR="00373F94" w:rsidRPr="008B53A9">
        <w:t>, nebo</w:t>
      </w:r>
      <w:r w:rsidRPr="008B53A9">
        <w:t xml:space="preserve"> samostatné finanční nástroje. </w:t>
      </w:r>
      <w:r w:rsidR="00373F94" w:rsidRPr="008B53A9">
        <w:t>V případě, že bude využita struktura fondu fondů, budou f</w:t>
      </w:r>
      <w:r w:rsidRPr="008B53A9">
        <w:t>inanční zprostředkovatelé budou na vlastní odpovědnost příjemce, mana</w:t>
      </w:r>
      <w:r w:rsidR="001F0603" w:rsidRPr="008B53A9">
        <w:t>ž</w:t>
      </w:r>
      <w:r w:rsidRPr="008B53A9">
        <w:t xml:space="preserve">era fondu fondů, splňovat kritéria stanovená v čl. 140 odst. 1, 2 a 4 </w:t>
      </w:r>
      <w:r w:rsidR="00AE03D1" w:rsidRPr="008B53A9">
        <w:t>f</w:t>
      </w:r>
      <w:r w:rsidRPr="008B53A9">
        <w:t>inančního nařízení</w:t>
      </w:r>
      <w:r w:rsidR="00AE03D1" w:rsidRPr="008B53A9">
        <w:rPr>
          <w:rStyle w:val="Znakapoznpodarou"/>
        </w:rPr>
        <w:footnoteReference w:id="41"/>
      </w:r>
      <w:r w:rsidRPr="008B53A9">
        <w:t>. Při výběru finančních zprostředkovatelů a projektů konečných příjemců budou aplikována předem stanovená výběrová kritéria za využití otevřených, transparentních, přiměřených a nediskriminačních postupů. Detaily a případné odchylky stanoví předběžné posouzení finančních nástrojů OP PIK dle čl. 37 odst. 2</w:t>
      </w:r>
      <w:r w:rsidR="004B4505" w:rsidRPr="008B53A9">
        <w:t xml:space="preserve"> </w:t>
      </w:r>
      <w:r w:rsidRPr="008B53A9">
        <w:t xml:space="preserve">obecného nařízení, případně jeho revize podle čl. 37 odst. 2 písm. g) </w:t>
      </w:r>
      <w:r w:rsidR="004B4505" w:rsidRPr="008B53A9">
        <w:t>o</w:t>
      </w:r>
      <w:r w:rsidRPr="008B53A9">
        <w:t xml:space="preserve">becného nařízení. Předběžné posouzení finančních nástrojů </w:t>
      </w:r>
      <w:r w:rsidRPr="008B53A9">
        <w:lastRenderedPageBreak/>
        <w:t>provede ŘO OP PIK a musí být dokončeno před datem, kdy řídicí orgán rozhodne, že fond fondů/finanční nástroj obdrží příspěvek z programu.</w:t>
      </w:r>
    </w:p>
    <w:p w:rsidR="00346C12" w:rsidRPr="008B53A9" w:rsidRDefault="00BA6461" w:rsidP="005F43DF">
      <w:pPr>
        <w:pStyle w:val="Nadpis5"/>
        <w:numPr>
          <w:ilvl w:val="4"/>
          <w:numId w:val="16"/>
        </w:numPr>
      </w:pPr>
      <w:r w:rsidRPr="008B53A9">
        <w:t>Plánované využití velkých projektů (použije-li se)</w:t>
      </w:r>
    </w:p>
    <w:p w:rsidR="008B5752" w:rsidRPr="008B53A9" w:rsidRDefault="008B5752" w:rsidP="008B5752">
      <w:pPr>
        <w:pStyle w:val="Standardntext"/>
      </w:pPr>
      <w:r w:rsidRPr="008B53A9">
        <w:t xml:space="preserve">Velké projekty ve smyslu čl. </w:t>
      </w:r>
      <w:r w:rsidR="006B7890" w:rsidRPr="008B53A9">
        <w:t>10</w:t>
      </w:r>
      <w:r w:rsidRPr="008B53A9">
        <w:t>0 obecného nařízení nejsou plánovány.</w:t>
      </w:r>
    </w:p>
    <w:p w:rsidR="00346C12" w:rsidRPr="008B53A9" w:rsidRDefault="00BA6461" w:rsidP="005F43DF">
      <w:pPr>
        <w:pStyle w:val="Nadpis5"/>
        <w:numPr>
          <w:ilvl w:val="4"/>
          <w:numId w:val="16"/>
        </w:numPr>
      </w:pPr>
      <w:r w:rsidRPr="008B53A9">
        <w:t>Ukazatele výstupů podle investiční priority a případně podle kategorie regionů</w:t>
      </w:r>
    </w:p>
    <w:p w:rsidR="00B40D97" w:rsidRPr="008B53A9" w:rsidRDefault="00B40D97" w:rsidP="00D030DD">
      <w:pPr>
        <w:pStyle w:val="Titulek"/>
        <w:keepNext/>
        <w:keepLines/>
        <w:rPr>
          <w:rFonts w:cs="Calibri"/>
        </w:rPr>
      </w:pPr>
      <w:r w:rsidRPr="008B53A9">
        <w:rPr>
          <w:rFonts w:cs="Calibri"/>
        </w:rPr>
        <w:t>Tabulka</w:t>
      </w:r>
      <w:r w:rsidR="00505E76" w:rsidRPr="008B53A9">
        <w:rPr>
          <w:rFonts w:cs="Calibri"/>
        </w:rPr>
        <w:t xml:space="preserve"> </w:t>
      </w:r>
      <w:r w:rsidR="00505E76" w:rsidRPr="008B53A9">
        <w:rPr>
          <w:rFonts w:cs="Calibri"/>
        </w:rPr>
        <w:fldChar w:fldCharType="begin"/>
      </w:r>
      <w:r w:rsidR="00505E76" w:rsidRPr="008B53A9">
        <w:rPr>
          <w:rFonts w:cs="Calibri"/>
        </w:rPr>
        <w:instrText xml:space="preserve"> SEQ Tabulka \* ARABIC \r5 </w:instrText>
      </w:r>
      <w:r w:rsidR="00505E76" w:rsidRPr="008B53A9">
        <w:rPr>
          <w:rFonts w:cs="Calibri"/>
        </w:rPr>
        <w:fldChar w:fldCharType="separate"/>
      </w:r>
      <w:r w:rsidR="00E54216" w:rsidRPr="008B53A9">
        <w:rPr>
          <w:rFonts w:cs="Calibri"/>
          <w:noProof/>
        </w:rPr>
        <w:t>5</w:t>
      </w:r>
      <w:r w:rsidR="00505E76"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1154"/>
        <w:gridCol w:w="2097"/>
        <w:gridCol w:w="1012"/>
        <w:gridCol w:w="665"/>
        <w:gridCol w:w="1156"/>
        <w:gridCol w:w="1464"/>
        <w:gridCol w:w="665"/>
        <w:gridCol w:w="1113"/>
      </w:tblGrid>
      <w:tr w:rsidR="001B2E5C" w:rsidRPr="008B53A9">
        <w:trPr>
          <w:trHeight w:hRule="exact" w:val="1010"/>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keepNext/>
              <w:keepLines/>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keepNext/>
              <w:keepLines/>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keepNext/>
              <w:keepLines/>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keepNext/>
              <w:keepLines/>
              <w:rPr>
                <w:rFonts w:cs="Calibri"/>
                <w:b/>
                <w:lang w:val="cs-CZ" w:eastAsia="cs-CZ"/>
              </w:rPr>
            </w:pPr>
            <w:r w:rsidRPr="008B53A9">
              <w:rPr>
                <w:rFonts w:cs="Calibri"/>
                <w:b/>
                <w:lang w:val="cs-CZ" w:eastAsia="cs-CZ"/>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keepNext/>
              <w:keepLines/>
              <w:rPr>
                <w:rFonts w:cs="Calibri"/>
                <w:b/>
                <w:lang w:val="cs-CZ" w:eastAsia="cs-CZ"/>
              </w:rPr>
            </w:pPr>
            <w:r w:rsidRPr="008B53A9">
              <w:rPr>
                <w:rFonts w:cs="Calibri"/>
                <w:b/>
                <w:lang w:val="cs-CZ" w:eastAsia="cs-CZ"/>
              </w:rPr>
              <w:t>Kategorie regionu</w:t>
            </w:r>
          </w:p>
        </w:tc>
        <w:tc>
          <w:tcPr>
            <w:tcW w:w="146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956C4F">
            <w:pPr>
              <w:pStyle w:val="Tabulka"/>
              <w:keepNext/>
              <w:keepLines/>
              <w:rPr>
                <w:rFonts w:cs="Calibri"/>
                <w:b/>
                <w:lang w:val="cs-CZ" w:eastAsia="cs-CZ"/>
              </w:rPr>
            </w:pPr>
            <w:r w:rsidRPr="008B53A9">
              <w:rPr>
                <w:rFonts w:cs="Calibri"/>
                <w:b/>
                <w:lang w:val="cs-CZ" w:eastAsia="cs-CZ"/>
              </w:rPr>
              <w:t>Cílová hodnota</w:t>
            </w:r>
            <w:r w:rsidR="00956C4F" w:rsidRPr="008B53A9">
              <w:rPr>
                <w:rFonts w:cs="Calibri"/>
                <w:b/>
                <w:lang w:val="cs-CZ" w:eastAsia="cs-CZ"/>
              </w:rPr>
              <w:t xml:space="preserve"> </w:t>
            </w:r>
            <w:r w:rsidRPr="008B53A9">
              <w:rPr>
                <w:rFonts w:cs="Calibri"/>
                <w:b/>
                <w:lang w:val="cs-CZ" w:eastAsia="cs-CZ"/>
              </w:rPr>
              <w:t>(2023)</w:t>
            </w:r>
          </w:p>
        </w:tc>
        <w:tc>
          <w:tcPr>
            <w:tcW w:w="66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keepNext/>
              <w:keepLines/>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keepNext/>
              <w:keepLines/>
              <w:rPr>
                <w:rFonts w:cs="Calibri"/>
                <w:b/>
                <w:lang w:val="cs-CZ" w:eastAsia="cs-CZ"/>
              </w:rPr>
            </w:pPr>
            <w:r w:rsidRPr="008B53A9">
              <w:rPr>
                <w:rFonts w:cs="Calibri"/>
                <w:b/>
                <w:lang w:val="cs-CZ" w:eastAsia="cs-CZ"/>
              </w:rPr>
              <w:t>Četnost podávání zpráv</w:t>
            </w:r>
          </w:p>
        </w:tc>
      </w:tr>
      <w:tr w:rsidR="00465C6C"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465C6C" w:rsidRPr="008B53A9" w:rsidRDefault="008E174F" w:rsidP="00D030DD">
            <w:pPr>
              <w:pStyle w:val="Tabulka"/>
              <w:keepNext/>
              <w:keepLines/>
              <w:rPr>
                <w:rFonts w:cs="Calibri"/>
                <w:lang w:val="cs-CZ" w:eastAsia="cs-CZ"/>
              </w:rPr>
            </w:pPr>
            <w:r w:rsidRPr="008B53A9">
              <w:rPr>
                <w:rFonts w:cs="Calibri"/>
                <w:lang w:val="cs-CZ" w:eastAsia="cs-CZ"/>
              </w:rPr>
              <w:t>C</w:t>
            </w:r>
            <w:r w:rsidR="00EA7B06" w:rsidRPr="008B53A9">
              <w:rPr>
                <w:rFonts w:cs="Calibri"/>
                <w:lang w:val="cs-CZ" w:eastAsia="cs-CZ"/>
              </w:rPr>
              <w:t>/EFRR/0</w:t>
            </w:r>
            <w:r w:rsidR="00465C6C" w:rsidRPr="008B53A9">
              <w:rPr>
                <w:rFonts w:cs="Calibri"/>
                <w:lang w:val="cs-CZ" w:eastAsia="cs-CZ"/>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465C6C" w:rsidRPr="008B53A9" w:rsidRDefault="007D6298" w:rsidP="00D030DD">
            <w:pPr>
              <w:pStyle w:val="Tabulka"/>
              <w:keepNext/>
              <w:keepLines/>
              <w:jc w:val="left"/>
              <w:rPr>
                <w:rFonts w:cs="Calibri"/>
                <w:lang w:val="cs-CZ" w:eastAsia="cs-CZ"/>
              </w:rPr>
            </w:pPr>
            <w:r w:rsidRPr="008B53A9">
              <w:rPr>
                <w:rFonts w:cs="Calibri"/>
                <w:lang w:val="cs-CZ" w:eastAsia="cs-CZ"/>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465C6C" w:rsidRPr="008B53A9" w:rsidRDefault="00050E1B" w:rsidP="00D030DD">
            <w:pPr>
              <w:pStyle w:val="Tabulka"/>
              <w:keepNext/>
              <w:keepLines/>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465C6C" w:rsidRPr="008B53A9" w:rsidRDefault="000C37B9" w:rsidP="000C37B9">
            <w:pPr>
              <w:pStyle w:val="Tabulka"/>
              <w:keepNext/>
              <w:keepLines/>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465C6C" w:rsidRPr="008B53A9" w:rsidRDefault="009974DF" w:rsidP="00D030DD">
            <w:pPr>
              <w:pStyle w:val="Tabulka"/>
              <w:keepNext/>
              <w:keepLines/>
              <w:rPr>
                <w:rFonts w:cs="Calibri"/>
                <w:lang w:val="cs-CZ" w:eastAsia="cs-CZ"/>
              </w:rPr>
            </w:pPr>
            <w:r w:rsidRPr="008B53A9">
              <w:rPr>
                <w:rFonts w:cs="Calibri"/>
                <w:lang w:val="cs-CZ" w:eastAsia="cs-CZ"/>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rsidR="00465C6C" w:rsidRPr="008B53A9" w:rsidRDefault="00757F45" w:rsidP="003536D2">
            <w:pPr>
              <w:pStyle w:val="Tabulka"/>
              <w:keepNext/>
              <w:keepLines/>
              <w:rPr>
                <w:rFonts w:cs="Calibri"/>
                <w:lang w:val="cs-CZ" w:eastAsia="cs-CZ"/>
              </w:rPr>
            </w:pPr>
            <w:r w:rsidRPr="008B53A9">
              <w:rPr>
                <w:rFonts w:cs="Calibri"/>
                <w:lang w:val="cs-CZ" w:eastAsia="cs-CZ"/>
              </w:rPr>
              <w:t>8 200</w:t>
            </w:r>
          </w:p>
        </w:tc>
        <w:tc>
          <w:tcPr>
            <w:tcW w:w="665" w:type="dxa"/>
            <w:tcBorders>
              <w:top w:val="single" w:sz="4" w:space="0" w:color="000000"/>
              <w:left w:val="single" w:sz="4" w:space="0" w:color="000000"/>
              <w:bottom w:val="single" w:sz="4" w:space="0" w:color="000000"/>
              <w:right w:val="single" w:sz="4" w:space="0" w:color="000000"/>
            </w:tcBorders>
            <w:vAlign w:val="center"/>
          </w:tcPr>
          <w:p w:rsidR="00465C6C" w:rsidRPr="008B53A9" w:rsidRDefault="001B0574" w:rsidP="00D030DD">
            <w:pPr>
              <w:pStyle w:val="Tabulka"/>
              <w:keepNext/>
              <w:keepLines/>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465C6C" w:rsidRPr="008B53A9" w:rsidRDefault="006D1774" w:rsidP="00D030DD">
            <w:pPr>
              <w:pStyle w:val="Tabulka"/>
              <w:keepNext/>
              <w:keepLines/>
              <w:rPr>
                <w:rFonts w:cs="Calibri"/>
                <w:lang w:val="cs-CZ" w:eastAsia="cs-CZ"/>
              </w:rPr>
            </w:pPr>
            <w:r w:rsidRPr="008B53A9">
              <w:rPr>
                <w:rFonts w:cs="Calibri"/>
                <w:lang w:val="cs-CZ" w:eastAsia="cs-CZ"/>
              </w:rPr>
              <w:t>průběžně</w:t>
            </w:r>
          </w:p>
        </w:tc>
      </w:tr>
      <w:tr w:rsidR="006D177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8E174F" w:rsidP="00F47B67">
            <w:pPr>
              <w:pStyle w:val="Tabulka"/>
              <w:rPr>
                <w:rFonts w:cs="Calibri"/>
                <w:lang w:val="cs-CZ" w:eastAsia="cs-CZ"/>
              </w:rPr>
            </w:pPr>
            <w:r w:rsidRPr="008B53A9">
              <w:rPr>
                <w:rFonts w:cs="Calibri"/>
                <w:lang w:val="cs-CZ" w:eastAsia="cs-CZ"/>
              </w:rPr>
              <w:t>C</w:t>
            </w:r>
            <w:r w:rsidR="00EA7B06" w:rsidRPr="008B53A9">
              <w:rPr>
                <w:rFonts w:cs="Calibri"/>
                <w:lang w:val="cs-CZ" w:eastAsia="cs-CZ"/>
              </w:rPr>
              <w:t>/EFRR/0</w:t>
            </w:r>
            <w:r w:rsidR="006D1774" w:rsidRPr="008B53A9">
              <w:rPr>
                <w:rFonts w:cs="Calibri"/>
                <w:lang w:val="cs-CZ" w:eastAsia="cs-CZ"/>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F47B67">
            <w:pPr>
              <w:pStyle w:val="Tabulka"/>
              <w:jc w:val="left"/>
              <w:rPr>
                <w:rFonts w:cs="Calibri"/>
                <w:lang w:val="cs-CZ" w:eastAsia="cs-CZ"/>
              </w:rPr>
            </w:pPr>
            <w:r w:rsidRPr="008B53A9">
              <w:rPr>
                <w:rFonts w:cs="Calibri"/>
                <w:lang w:val="cs-CZ" w:eastAsia="cs-CZ"/>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F47B67">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0C37B9" w:rsidP="00F47B67">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9974DF">
            <w:pPr>
              <w:pStyle w:val="Tabulka"/>
              <w:rPr>
                <w:rFonts w:cs="Calibri"/>
                <w:lang w:val="cs-CZ" w:eastAsia="cs-CZ"/>
              </w:rPr>
            </w:pPr>
            <w:r w:rsidRPr="008B53A9">
              <w:rPr>
                <w:rFonts w:cs="Calibri"/>
                <w:lang w:val="cs-CZ" w:eastAsia="cs-CZ"/>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757F45" w:rsidP="001C51E1">
            <w:pPr>
              <w:pStyle w:val="Tabulka"/>
              <w:rPr>
                <w:rFonts w:cs="Calibri"/>
                <w:lang w:val="cs-CZ" w:eastAsia="cs-CZ"/>
              </w:rPr>
            </w:pPr>
            <w:r w:rsidRPr="008B53A9">
              <w:rPr>
                <w:rFonts w:cs="Calibri"/>
                <w:lang w:val="cs-CZ" w:eastAsia="cs-CZ"/>
              </w:rPr>
              <w:t>1 300</w:t>
            </w:r>
          </w:p>
        </w:tc>
        <w:tc>
          <w:tcPr>
            <w:tcW w:w="665"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1B0574" w:rsidP="006D1774">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6D1774">
            <w:pPr>
              <w:pStyle w:val="Tabulka"/>
              <w:rPr>
                <w:rFonts w:cs="Calibri"/>
                <w:lang w:val="cs-CZ" w:eastAsia="cs-CZ"/>
              </w:rPr>
            </w:pPr>
            <w:r w:rsidRPr="008B53A9">
              <w:rPr>
                <w:rFonts w:cs="Calibri"/>
                <w:lang w:val="cs-CZ" w:eastAsia="cs-CZ"/>
              </w:rPr>
              <w:t>průběžně</w:t>
            </w:r>
          </w:p>
        </w:tc>
      </w:tr>
      <w:tr w:rsidR="006D177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8E174F" w:rsidP="00F47B67">
            <w:pPr>
              <w:pStyle w:val="Tabulka"/>
              <w:rPr>
                <w:rFonts w:cs="Calibri"/>
                <w:lang w:val="cs-CZ" w:eastAsia="cs-CZ"/>
              </w:rPr>
            </w:pPr>
            <w:r w:rsidRPr="008B53A9">
              <w:rPr>
                <w:rFonts w:cs="Calibri"/>
                <w:lang w:val="cs-CZ" w:eastAsia="cs-CZ"/>
              </w:rPr>
              <w:t>C</w:t>
            </w:r>
            <w:r w:rsidR="00EA7B06" w:rsidRPr="008B53A9">
              <w:rPr>
                <w:rFonts w:cs="Calibri"/>
                <w:lang w:val="cs-CZ" w:eastAsia="cs-CZ"/>
              </w:rPr>
              <w:t>/EFRR/0</w:t>
            </w:r>
            <w:r w:rsidR="006D1774" w:rsidRPr="008B53A9">
              <w:rPr>
                <w:rFonts w:cs="Calibri"/>
                <w:lang w:val="cs-CZ" w:eastAsia="cs-CZ"/>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7D6298" w:rsidP="00F47B67">
            <w:pPr>
              <w:pStyle w:val="Tabulka"/>
              <w:jc w:val="left"/>
              <w:rPr>
                <w:rFonts w:cs="Calibri"/>
                <w:lang w:val="cs-CZ" w:eastAsia="cs-CZ"/>
              </w:rPr>
            </w:pPr>
            <w:r w:rsidRPr="008B53A9">
              <w:rPr>
                <w:rFonts w:cs="Calibri"/>
                <w:lang w:val="cs-CZ" w:eastAsia="cs-CZ"/>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F47B67">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0C37B9" w:rsidP="00F47B67">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9974DF">
            <w:pPr>
              <w:pStyle w:val="Tabulka"/>
              <w:rPr>
                <w:rFonts w:cs="Calibri"/>
                <w:lang w:val="cs-CZ" w:eastAsia="cs-CZ"/>
              </w:rPr>
            </w:pPr>
            <w:r w:rsidRPr="008B53A9">
              <w:rPr>
                <w:rFonts w:cs="Calibri"/>
                <w:lang w:val="cs-CZ" w:eastAsia="cs-CZ"/>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757F45" w:rsidP="00F47B67">
            <w:pPr>
              <w:pStyle w:val="Tabulka"/>
              <w:rPr>
                <w:rFonts w:cs="Calibri"/>
                <w:lang w:val="cs-CZ" w:eastAsia="cs-CZ"/>
              </w:rPr>
            </w:pPr>
            <w:r w:rsidRPr="008B53A9">
              <w:rPr>
                <w:rFonts w:cs="Calibri"/>
                <w:lang w:val="cs-CZ" w:eastAsia="cs-CZ"/>
              </w:rPr>
              <w:t>7 000</w:t>
            </w:r>
            <w:r w:rsidR="00F20222" w:rsidRPr="008B53A9">
              <w:rPr>
                <w:rStyle w:val="Znakapoznpodarou"/>
                <w:rFonts w:cs="Calibri"/>
                <w:lang w:val="cs-CZ" w:eastAsia="cs-CZ"/>
              </w:rPr>
              <w:footnoteReference w:id="42"/>
            </w:r>
          </w:p>
        </w:tc>
        <w:tc>
          <w:tcPr>
            <w:tcW w:w="665"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1B0574" w:rsidP="006D1774">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6D1774">
            <w:pPr>
              <w:pStyle w:val="Tabulka"/>
              <w:rPr>
                <w:rFonts w:cs="Calibri"/>
                <w:lang w:val="cs-CZ" w:eastAsia="cs-CZ"/>
              </w:rPr>
            </w:pPr>
            <w:r w:rsidRPr="008B53A9">
              <w:rPr>
                <w:rFonts w:cs="Calibri"/>
                <w:lang w:val="cs-CZ" w:eastAsia="cs-CZ"/>
              </w:rPr>
              <w:t>průběžně</w:t>
            </w:r>
          </w:p>
        </w:tc>
      </w:tr>
      <w:tr w:rsidR="006D1774" w:rsidRPr="008B53A9">
        <w:trPr>
          <w:trHeight w:val="934"/>
        </w:trPr>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8E174F" w:rsidP="00F47B67">
            <w:pPr>
              <w:pStyle w:val="Tabulka"/>
              <w:rPr>
                <w:rFonts w:cs="Calibri"/>
                <w:lang w:val="cs-CZ" w:eastAsia="cs-CZ"/>
              </w:rPr>
            </w:pPr>
            <w:r w:rsidRPr="008B53A9">
              <w:rPr>
                <w:rFonts w:cs="Calibri"/>
                <w:lang w:val="cs-CZ" w:eastAsia="cs-CZ"/>
              </w:rPr>
              <w:t>C</w:t>
            </w:r>
            <w:r w:rsidR="00EA7B06" w:rsidRPr="008B53A9">
              <w:rPr>
                <w:rFonts w:cs="Calibri"/>
                <w:lang w:val="cs-CZ" w:eastAsia="cs-CZ"/>
              </w:rPr>
              <w:t>/EFRR/0</w:t>
            </w:r>
            <w:r w:rsidR="006D1774" w:rsidRPr="008B53A9">
              <w:rPr>
                <w:rFonts w:cs="Calibri"/>
                <w:lang w:val="cs-CZ" w:eastAsia="cs-CZ"/>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FE1B8C" w:rsidP="00F47B67">
            <w:pPr>
              <w:pStyle w:val="Tabulka"/>
              <w:jc w:val="left"/>
              <w:rPr>
                <w:rFonts w:cs="Calibri"/>
                <w:lang w:val="cs-CZ" w:eastAsia="cs-CZ"/>
              </w:rPr>
            </w:pPr>
            <w:r w:rsidRPr="008B53A9">
              <w:rPr>
                <w:rFonts w:cs="Calibri"/>
                <w:lang w:val="cs-CZ" w:eastAsia="cs-CZ"/>
              </w:rPr>
              <w:t>Počet nových podniků, které dostávají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F47B67">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0C37B9" w:rsidP="00F47B67">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9974DF">
            <w:pPr>
              <w:pStyle w:val="Tabulka"/>
              <w:rPr>
                <w:rFonts w:cs="Calibri"/>
                <w:lang w:val="cs-CZ" w:eastAsia="cs-CZ"/>
              </w:rPr>
            </w:pPr>
            <w:r w:rsidRPr="008B53A9">
              <w:rPr>
                <w:rFonts w:cs="Calibri"/>
                <w:lang w:val="cs-CZ" w:eastAsia="cs-CZ"/>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F47B67">
            <w:pPr>
              <w:pStyle w:val="Tabulka"/>
              <w:rPr>
                <w:rFonts w:cs="Calibri"/>
                <w:lang w:val="cs-CZ" w:eastAsia="cs-CZ"/>
              </w:rPr>
            </w:pPr>
            <w:r w:rsidRPr="008B53A9">
              <w:rPr>
                <w:rFonts w:cs="Calibri"/>
                <w:lang w:val="cs-CZ" w:eastAsia="cs-CZ"/>
              </w:rPr>
              <w:t>402</w:t>
            </w:r>
          </w:p>
        </w:tc>
        <w:tc>
          <w:tcPr>
            <w:tcW w:w="665"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1B0574" w:rsidP="006D1774">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6D1774">
            <w:pPr>
              <w:pStyle w:val="Tabulka"/>
              <w:rPr>
                <w:rFonts w:cs="Calibri"/>
                <w:lang w:val="cs-CZ" w:eastAsia="cs-CZ"/>
              </w:rPr>
            </w:pPr>
            <w:r w:rsidRPr="008B53A9">
              <w:rPr>
                <w:rFonts w:cs="Calibri"/>
                <w:lang w:val="cs-CZ" w:eastAsia="cs-CZ"/>
              </w:rPr>
              <w:t>průběžně</w:t>
            </w:r>
          </w:p>
        </w:tc>
      </w:tr>
      <w:tr w:rsidR="006D177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8E174F" w:rsidP="00F47B67">
            <w:pPr>
              <w:pStyle w:val="Tabulka"/>
              <w:rPr>
                <w:rFonts w:cs="Calibri"/>
                <w:lang w:val="cs-CZ" w:eastAsia="cs-CZ"/>
              </w:rPr>
            </w:pPr>
            <w:r w:rsidRPr="008B53A9">
              <w:rPr>
                <w:rFonts w:cs="Calibri"/>
                <w:lang w:val="cs-CZ" w:eastAsia="cs-CZ"/>
              </w:rPr>
              <w:t>C</w:t>
            </w:r>
            <w:r w:rsidR="00EA7B06" w:rsidRPr="008B53A9">
              <w:rPr>
                <w:rFonts w:cs="Calibri"/>
                <w:lang w:val="cs-CZ" w:eastAsia="cs-CZ"/>
              </w:rPr>
              <w:t>/EFRR/0</w:t>
            </w:r>
            <w:r w:rsidR="006D1774" w:rsidRPr="008B53A9">
              <w:rPr>
                <w:rFonts w:cs="Calibri"/>
                <w:lang w:val="cs-CZ" w:eastAsia="cs-CZ"/>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7D6298" w:rsidP="00F47B67">
            <w:pPr>
              <w:pStyle w:val="Tabulka"/>
              <w:jc w:val="left"/>
              <w:rPr>
                <w:rFonts w:cs="Calibri"/>
                <w:lang w:val="cs-CZ" w:eastAsia="cs-CZ"/>
              </w:rPr>
            </w:pPr>
            <w:r w:rsidRPr="008B53A9">
              <w:rPr>
                <w:rFonts w:cs="Calibri"/>
                <w:lang w:val="cs-CZ" w:eastAsia="cs-CZ"/>
              </w:rPr>
              <w:t>Soukromé investice v projektech s veřejnou podporou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F47B67">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0C37B9" w:rsidP="00F47B67">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9974DF">
            <w:pPr>
              <w:pStyle w:val="Tabulka"/>
              <w:rPr>
                <w:rFonts w:cs="Calibri"/>
                <w:lang w:val="cs-CZ" w:eastAsia="cs-CZ"/>
              </w:rPr>
            </w:pPr>
            <w:r w:rsidRPr="008B53A9">
              <w:rPr>
                <w:rFonts w:cs="Calibri"/>
                <w:lang w:val="cs-CZ" w:eastAsia="cs-CZ"/>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757F45" w:rsidP="001C51E1">
            <w:pPr>
              <w:pStyle w:val="Tabulka"/>
              <w:rPr>
                <w:rFonts w:cs="Calibri"/>
                <w:lang w:val="cs-CZ" w:eastAsia="cs-CZ"/>
              </w:rPr>
            </w:pPr>
            <w:r w:rsidRPr="008B53A9">
              <w:rPr>
                <w:rFonts w:cs="Calibri"/>
                <w:lang w:val="cs-CZ" w:eastAsia="cs-CZ"/>
              </w:rPr>
              <w:t>350 0</w:t>
            </w:r>
            <w:r w:rsidR="001C51E1" w:rsidRPr="008B53A9">
              <w:rPr>
                <w:rFonts w:cs="Calibri"/>
                <w:lang w:val="cs-CZ" w:eastAsia="cs-CZ"/>
              </w:rPr>
              <w:t>00 000</w:t>
            </w:r>
          </w:p>
        </w:tc>
        <w:tc>
          <w:tcPr>
            <w:tcW w:w="665"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1B0574" w:rsidP="006D1774">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6D1774">
            <w:pPr>
              <w:pStyle w:val="Tabulka"/>
              <w:rPr>
                <w:rFonts w:cs="Calibri"/>
                <w:lang w:val="cs-CZ" w:eastAsia="cs-CZ"/>
              </w:rPr>
            </w:pPr>
            <w:r w:rsidRPr="008B53A9">
              <w:rPr>
                <w:rFonts w:cs="Calibri"/>
                <w:lang w:val="cs-CZ" w:eastAsia="cs-CZ"/>
              </w:rPr>
              <w:t>průběžně</w:t>
            </w:r>
          </w:p>
        </w:tc>
      </w:tr>
      <w:tr w:rsidR="006D177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8E174F" w:rsidP="00F47B67">
            <w:pPr>
              <w:pStyle w:val="Tabulka"/>
              <w:rPr>
                <w:rFonts w:cs="Calibri"/>
                <w:lang w:val="cs-CZ" w:eastAsia="cs-CZ"/>
              </w:rPr>
            </w:pPr>
            <w:r w:rsidRPr="008B53A9">
              <w:rPr>
                <w:rFonts w:cs="Calibri"/>
                <w:lang w:val="cs-CZ" w:eastAsia="cs-CZ"/>
              </w:rPr>
              <w:t>C</w:t>
            </w:r>
            <w:r w:rsidR="00EA7B06" w:rsidRPr="008B53A9">
              <w:rPr>
                <w:rFonts w:cs="Calibri"/>
                <w:lang w:val="cs-CZ" w:eastAsia="cs-CZ"/>
              </w:rPr>
              <w:t>/EFRR/0</w:t>
            </w:r>
            <w:r w:rsidR="006D1774" w:rsidRPr="008B53A9">
              <w:rPr>
                <w:rFonts w:cs="Calibri"/>
                <w:lang w:val="cs-CZ" w:eastAsia="cs-CZ"/>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7D6298" w:rsidP="00F47B67">
            <w:pPr>
              <w:pStyle w:val="Tabulka"/>
              <w:jc w:val="left"/>
              <w:rPr>
                <w:rFonts w:cs="Calibri"/>
                <w:lang w:val="cs-CZ" w:eastAsia="cs-CZ"/>
              </w:rPr>
            </w:pPr>
            <w:r w:rsidRPr="008B53A9">
              <w:rPr>
                <w:rFonts w:cs="Calibri"/>
                <w:lang w:val="cs-CZ" w:eastAsia="cs-CZ"/>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F47B67">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0C37B9" w:rsidP="00F47B67">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9974DF">
            <w:pPr>
              <w:pStyle w:val="Tabulka"/>
              <w:rPr>
                <w:rFonts w:cs="Calibri"/>
                <w:lang w:val="cs-CZ" w:eastAsia="cs-CZ"/>
              </w:rPr>
            </w:pPr>
            <w:r w:rsidRPr="008B53A9">
              <w:rPr>
                <w:rFonts w:cs="Calibri"/>
                <w:lang w:val="cs-CZ" w:eastAsia="cs-CZ"/>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1C51E1" w:rsidP="00757F45">
            <w:pPr>
              <w:pStyle w:val="Tabulka"/>
              <w:rPr>
                <w:rFonts w:cs="Calibri"/>
                <w:lang w:val="cs-CZ" w:eastAsia="cs-CZ"/>
              </w:rPr>
            </w:pPr>
            <w:r w:rsidRPr="008B53A9">
              <w:rPr>
                <w:rFonts w:cs="Calibri"/>
                <w:lang w:val="cs-CZ" w:eastAsia="cs-CZ"/>
              </w:rPr>
              <w:t>1</w:t>
            </w:r>
            <w:r w:rsidR="00757F45" w:rsidRPr="008B53A9">
              <w:rPr>
                <w:rFonts w:cs="Calibri"/>
                <w:lang w:val="cs-CZ" w:eastAsia="cs-CZ"/>
              </w:rPr>
              <w:t> 600 000 000</w:t>
            </w:r>
            <w:r w:rsidR="00F20222" w:rsidRPr="008B53A9">
              <w:rPr>
                <w:rStyle w:val="Znakapoznpodarou"/>
                <w:rFonts w:cs="Calibri"/>
                <w:lang w:val="cs-CZ" w:eastAsia="cs-CZ"/>
              </w:rPr>
              <w:footnoteReference w:id="43"/>
            </w:r>
          </w:p>
        </w:tc>
        <w:tc>
          <w:tcPr>
            <w:tcW w:w="665"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1B0574" w:rsidP="006D1774">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6D1774">
            <w:pPr>
              <w:pStyle w:val="Tabulka"/>
              <w:rPr>
                <w:rFonts w:cs="Calibri"/>
                <w:lang w:val="cs-CZ" w:eastAsia="cs-CZ"/>
              </w:rPr>
            </w:pPr>
            <w:r w:rsidRPr="008B53A9">
              <w:rPr>
                <w:rFonts w:cs="Calibri"/>
                <w:lang w:val="cs-CZ" w:eastAsia="cs-CZ"/>
              </w:rPr>
              <w:t>průběžně</w:t>
            </w:r>
          </w:p>
        </w:tc>
      </w:tr>
      <w:tr w:rsidR="00F6040D"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F6040D" w:rsidRPr="008B53A9" w:rsidRDefault="00F6040D" w:rsidP="008F41A1">
            <w:pPr>
              <w:pStyle w:val="Tabulka"/>
              <w:rPr>
                <w:rFonts w:cs="Calibri"/>
                <w:lang w:val="cs-CZ" w:eastAsia="cs-CZ"/>
              </w:rPr>
            </w:pPr>
            <w:r w:rsidRPr="008B53A9">
              <w:rPr>
                <w:rFonts w:cs="Calibri"/>
                <w:lang w:val="cs-CZ" w:eastAsia="cs-CZ"/>
              </w:rPr>
              <w:t>C</w:t>
            </w:r>
            <w:r w:rsidR="00EA7B06" w:rsidRPr="008B53A9">
              <w:rPr>
                <w:rFonts w:cs="Calibri"/>
                <w:lang w:val="cs-CZ" w:eastAsia="cs-CZ"/>
              </w:rPr>
              <w:t>/EFRR/0</w:t>
            </w:r>
            <w:r w:rsidRPr="008B53A9">
              <w:rPr>
                <w:rFonts w:cs="Calibri"/>
                <w:lang w:val="cs-CZ" w:eastAsia="cs-CZ"/>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F6040D" w:rsidRPr="008B53A9" w:rsidRDefault="00F6040D" w:rsidP="008F41A1">
            <w:pPr>
              <w:pStyle w:val="Tabulka"/>
              <w:jc w:val="left"/>
              <w:rPr>
                <w:rFonts w:cs="Calibri"/>
                <w:lang w:val="cs-CZ" w:eastAsia="cs-CZ"/>
              </w:rPr>
            </w:pPr>
            <w:r w:rsidRPr="008B53A9">
              <w:rPr>
                <w:rFonts w:cs="Calibri"/>
                <w:lang w:val="cs-CZ" w:eastAsia="cs-CZ"/>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rsidR="00F6040D" w:rsidRPr="008B53A9" w:rsidRDefault="00F6040D" w:rsidP="008F41A1">
            <w:pPr>
              <w:pStyle w:val="Tabulka"/>
              <w:rPr>
                <w:rFonts w:cs="Calibri"/>
                <w:lang w:val="cs-CZ" w:eastAsia="cs-CZ"/>
              </w:rPr>
            </w:pPr>
            <w:r w:rsidRPr="008B53A9">
              <w:rPr>
                <w:rFonts w:cs="Calibri"/>
                <w:lang w:val="cs-CZ" w:eastAsia="cs-CZ"/>
              </w:rPr>
              <w:t>FTE</w:t>
            </w:r>
          </w:p>
        </w:tc>
        <w:tc>
          <w:tcPr>
            <w:tcW w:w="0" w:type="auto"/>
            <w:tcBorders>
              <w:top w:val="single" w:sz="4" w:space="0" w:color="000000"/>
              <w:left w:val="single" w:sz="4" w:space="0" w:color="000000"/>
              <w:bottom w:val="single" w:sz="4" w:space="0" w:color="000000"/>
              <w:right w:val="single" w:sz="4" w:space="0" w:color="000000"/>
            </w:tcBorders>
            <w:vAlign w:val="center"/>
          </w:tcPr>
          <w:p w:rsidR="00F6040D" w:rsidRPr="008B53A9" w:rsidRDefault="000C37B9" w:rsidP="00F47B67">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F6040D" w:rsidRPr="008B53A9" w:rsidRDefault="00F6040D" w:rsidP="009974DF">
            <w:pPr>
              <w:pStyle w:val="Tabulka"/>
              <w:rPr>
                <w:rFonts w:cs="Calibri"/>
                <w:lang w:val="cs-CZ" w:eastAsia="cs-CZ"/>
              </w:rPr>
            </w:pPr>
            <w:r w:rsidRPr="008B53A9">
              <w:rPr>
                <w:rFonts w:cs="Calibri"/>
                <w:lang w:val="cs-CZ" w:eastAsia="cs-CZ"/>
              </w:rPr>
              <w:t>Méně rozvinuté regiony</w:t>
            </w:r>
          </w:p>
        </w:tc>
        <w:tc>
          <w:tcPr>
            <w:tcW w:w="1464" w:type="dxa"/>
            <w:tcBorders>
              <w:top w:val="single" w:sz="4" w:space="0" w:color="000000"/>
              <w:left w:val="single" w:sz="4" w:space="0" w:color="000000"/>
              <w:bottom w:val="single" w:sz="4" w:space="0" w:color="000000"/>
              <w:right w:val="single" w:sz="4" w:space="0" w:color="000000"/>
            </w:tcBorders>
            <w:vAlign w:val="center"/>
          </w:tcPr>
          <w:p w:rsidR="00F6040D" w:rsidRPr="008B53A9" w:rsidRDefault="006D0B8B" w:rsidP="00757F45">
            <w:pPr>
              <w:pStyle w:val="Tabulka"/>
              <w:rPr>
                <w:rFonts w:cs="Calibri"/>
                <w:lang w:val="cs-CZ" w:eastAsia="cs-CZ"/>
              </w:rPr>
            </w:pPr>
            <w:r w:rsidRPr="008B53A9">
              <w:rPr>
                <w:rFonts w:cs="Calibri"/>
                <w:lang w:val="cs-CZ" w:eastAsia="cs-CZ"/>
              </w:rPr>
              <w:t>1</w:t>
            </w:r>
            <w:r w:rsidR="00757F45" w:rsidRPr="008B53A9">
              <w:rPr>
                <w:rFonts w:cs="Calibri"/>
                <w:lang w:val="cs-CZ" w:eastAsia="cs-CZ"/>
              </w:rPr>
              <w:t>2</w:t>
            </w:r>
            <w:r w:rsidRPr="008B53A9">
              <w:rPr>
                <w:rFonts w:cs="Calibri"/>
                <w:lang w:val="cs-CZ" w:eastAsia="cs-CZ"/>
              </w:rPr>
              <w:t xml:space="preserve"> 000</w:t>
            </w:r>
          </w:p>
        </w:tc>
        <w:tc>
          <w:tcPr>
            <w:tcW w:w="665" w:type="dxa"/>
            <w:tcBorders>
              <w:top w:val="single" w:sz="4" w:space="0" w:color="000000"/>
              <w:left w:val="single" w:sz="4" w:space="0" w:color="000000"/>
              <w:bottom w:val="single" w:sz="4" w:space="0" w:color="000000"/>
              <w:right w:val="single" w:sz="4" w:space="0" w:color="000000"/>
            </w:tcBorders>
            <w:vAlign w:val="center"/>
          </w:tcPr>
          <w:p w:rsidR="00F6040D" w:rsidRPr="008B53A9" w:rsidRDefault="00F6040D" w:rsidP="008F41A1">
            <w:pPr>
              <w:pStyle w:val="Tabulka"/>
              <w:rPr>
                <w:rFonts w:cs="Calibri"/>
                <w:lang w:val="cs-CZ" w:eastAsia="cs-CZ"/>
              </w:rPr>
            </w:pPr>
            <w:r w:rsidRPr="008B53A9">
              <w:rPr>
                <w:rFonts w:cs="Calibri"/>
                <w:lang w:val="cs-CZ" w:eastAsia="cs-CZ"/>
              </w:rPr>
              <w:t>Ž/P</w:t>
            </w:r>
          </w:p>
        </w:tc>
        <w:tc>
          <w:tcPr>
            <w:tcW w:w="0" w:type="auto"/>
            <w:tcBorders>
              <w:top w:val="single" w:sz="4" w:space="0" w:color="000000"/>
              <w:left w:val="single" w:sz="4" w:space="0" w:color="000000"/>
              <w:bottom w:val="single" w:sz="4" w:space="0" w:color="000000"/>
              <w:right w:val="single" w:sz="4" w:space="0" w:color="000000"/>
            </w:tcBorders>
            <w:vAlign w:val="center"/>
          </w:tcPr>
          <w:p w:rsidR="00F6040D" w:rsidRPr="008B53A9" w:rsidRDefault="00F6040D" w:rsidP="008F41A1">
            <w:pPr>
              <w:pStyle w:val="Tabulka"/>
              <w:rPr>
                <w:rFonts w:cs="Calibri"/>
                <w:lang w:val="cs-CZ" w:eastAsia="cs-CZ"/>
              </w:rPr>
            </w:pPr>
            <w:r w:rsidRPr="008B53A9">
              <w:rPr>
                <w:rFonts w:cs="Calibri"/>
                <w:lang w:val="cs-CZ" w:eastAsia="cs-CZ"/>
              </w:rPr>
              <w:t>průběžně</w:t>
            </w:r>
          </w:p>
        </w:tc>
      </w:tr>
    </w:tbl>
    <w:p w:rsidR="008C7D72" w:rsidRPr="008B53A9" w:rsidRDefault="008C7D72" w:rsidP="005F43DF">
      <w:pPr>
        <w:pStyle w:val="kapitola2A0"/>
        <w:numPr>
          <w:ilvl w:val="2"/>
          <w:numId w:val="70"/>
        </w:numPr>
      </w:pPr>
      <w:bookmarkStart w:id="44" w:name="_Toc351464373"/>
      <w:bookmarkStart w:id="45" w:name="_Toc391539616"/>
      <w:r w:rsidRPr="008B53A9">
        <w:lastRenderedPageBreak/>
        <w:t>INVESTIČNÍ PRIORITA</w:t>
      </w:r>
      <w:r w:rsidR="00AA66A2" w:rsidRPr="008B53A9">
        <w:t xml:space="preserve"> 2 prioritní osy 2</w:t>
      </w:r>
      <w:r w:rsidRPr="008B53A9">
        <w:t>: Vyvíjení a provádění nových obchodních modelů pro MSP, zejména pro oblast mezinárodního obchodu</w:t>
      </w:r>
      <w:bookmarkEnd w:id="45"/>
    </w:p>
    <w:p w:rsidR="00EB13D9" w:rsidRPr="008B53A9" w:rsidRDefault="008C7D72" w:rsidP="005F43DF">
      <w:pPr>
        <w:pStyle w:val="kapitola2A0"/>
        <w:numPr>
          <w:ilvl w:val="2"/>
          <w:numId w:val="70"/>
        </w:numPr>
      </w:pPr>
      <w:bookmarkStart w:id="46" w:name="_Toc391539617"/>
      <w:r w:rsidRPr="008B53A9">
        <w:t>Specifické cíle odpovídající investiční prioritě a očekávané výsledky</w:t>
      </w:r>
      <w:bookmarkEnd w:id="46"/>
    </w:p>
    <w:p w:rsidR="00EB13D9" w:rsidRPr="008B53A9" w:rsidRDefault="00EB13D9" w:rsidP="00396141">
      <w:pPr>
        <w:pStyle w:val="Modrnadpis"/>
      </w:pPr>
      <w:r w:rsidRPr="008B53A9">
        <w:t xml:space="preserve">SPECIFICKÝ CÍL </w:t>
      </w:r>
      <w:r w:rsidR="00C71E6F" w:rsidRPr="008B53A9">
        <w:t>2.</w:t>
      </w:r>
      <w:r w:rsidRPr="008B53A9">
        <w:t xml:space="preserve">2: </w:t>
      </w:r>
      <w:r w:rsidR="00FF3A47" w:rsidRPr="008B53A9">
        <w:t>Zvýšit internacionalizaci malých a středních podniků</w:t>
      </w:r>
    </w:p>
    <w:bookmarkEnd w:id="44"/>
    <w:p w:rsidR="001A5C2A" w:rsidRPr="008B53A9" w:rsidRDefault="005E45B6" w:rsidP="00666B70">
      <w:pPr>
        <w:pStyle w:val="Standardntext"/>
      </w:pPr>
      <w:r w:rsidRPr="008B53A9">
        <w:t>Konkurenceschopnost MSP a jejich růst jsou zásadním způsobem závislé na schopnosti MSP pronikat na nové a perspektivní zahraniční trhy. Expanze na nové trhy v zahraničí představuje možnost pro MSP dosáhnout posunu v těchto pozicích a orientovat se na výrobu pro koncové zákazníky. Hlavním cílem je zaměřit se na rozvoj internacionalizace podnikání v oblasti sofistikovaných služeb a poradenství a na MSP orientující se na nové zdroje růstu na zahraničních trzích.</w:t>
      </w:r>
    </w:p>
    <w:p w:rsidR="001A5C2A" w:rsidRPr="008B53A9" w:rsidRDefault="003508A9" w:rsidP="001A5C2A">
      <w:pPr>
        <w:pStyle w:val="Modrnadpis"/>
      </w:pPr>
      <w:r w:rsidRPr="008B53A9">
        <w:t>Výsledky, kterých chce ČR dosáhnout s podporou Unie</w:t>
      </w:r>
    </w:p>
    <w:p w:rsidR="005E45B6" w:rsidRPr="008B53A9" w:rsidRDefault="005E45B6" w:rsidP="005F43DF">
      <w:pPr>
        <w:pStyle w:val="Odstavecseseznamem1"/>
        <w:numPr>
          <w:ilvl w:val="0"/>
          <w:numId w:val="55"/>
        </w:numPr>
        <w:jc w:val="both"/>
        <w:rPr>
          <w:rFonts w:cs="Calibri"/>
          <w:sz w:val="24"/>
          <w:szCs w:val="24"/>
        </w:rPr>
      </w:pPr>
      <w:r w:rsidRPr="008B53A9">
        <w:rPr>
          <w:rFonts w:cs="Calibri"/>
          <w:sz w:val="24"/>
          <w:szCs w:val="24"/>
        </w:rPr>
        <w:t>Zlepšení dostupnosti kvalitních poradenských služeb za účelem napomoci malým a středním podnikům k vyššímu využití tržních příležitostí.</w:t>
      </w:r>
    </w:p>
    <w:p w:rsidR="005E45B6" w:rsidRPr="008B53A9" w:rsidRDefault="005E45B6" w:rsidP="005F43DF">
      <w:pPr>
        <w:pStyle w:val="Odstavecseseznamem1"/>
        <w:numPr>
          <w:ilvl w:val="0"/>
          <w:numId w:val="55"/>
        </w:numPr>
        <w:jc w:val="both"/>
        <w:rPr>
          <w:rFonts w:cs="Calibri"/>
          <w:sz w:val="24"/>
          <w:szCs w:val="24"/>
        </w:rPr>
      </w:pPr>
      <w:r w:rsidRPr="008B53A9">
        <w:rPr>
          <w:rFonts w:cs="Calibri"/>
          <w:sz w:val="24"/>
          <w:szCs w:val="24"/>
        </w:rPr>
        <w:t xml:space="preserve">Posílení schopnosti a marketinkové připravenosti malých a středních </w:t>
      </w:r>
      <w:r w:rsidR="00594BD9" w:rsidRPr="008B53A9">
        <w:rPr>
          <w:rFonts w:cs="Calibri"/>
          <w:sz w:val="24"/>
          <w:szCs w:val="24"/>
        </w:rPr>
        <w:t>podniků</w:t>
      </w:r>
      <w:r w:rsidRPr="008B53A9">
        <w:rPr>
          <w:rFonts w:cs="Calibri"/>
          <w:sz w:val="24"/>
          <w:szCs w:val="24"/>
        </w:rPr>
        <w:t xml:space="preserve"> nacházet nové trhy (územně i produktově) a vstupovat a udržet se na nich. S tím souvisí zvýšená schopnost mezinárodní expanze, rozšiřování exportní působnosti, výrobních a prodejních aktivit. </w:t>
      </w:r>
    </w:p>
    <w:p w:rsidR="005E45B6" w:rsidRPr="008B53A9" w:rsidRDefault="005E45B6" w:rsidP="005F43DF">
      <w:pPr>
        <w:pStyle w:val="Odstavecseseznamem1"/>
        <w:numPr>
          <w:ilvl w:val="0"/>
          <w:numId w:val="55"/>
        </w:numPr>
        <w:jc w:val="both"/>
        <w:rPr>
          <w:rFonts w:cs="Calibri"/>
          <w:sz w:val="24"/>
          <w:szCs w:val="24"/>
        </w:rPr>
      </w:pPr>
      <w:r w:rsidRPr="008B53A9">
        <w:rPr>
          <w:rFonts w:cs="Calibri"/>
          <w:sz w:val="24"/>
          <w:szCs w:val="24"/>
        </w:rPr>
        <w:t xml:space="preserve">Zlepšení strategického plánování a řízení MSP povede k posílení schopnosti identifikovat nové příležitosti na zahraničních trzích, zvýšení účinnosti řízení klíčových </w:t>
      </w:r>
      <w:r w:rsidR="00594BD9" w:rsidRPr="008B53A9">
        <w:rPr>
          <w:rFonts w:cs="Calibri"/>
          <w:sz w:val="24"/>
          <w:szCs w:val="24"/>
        </w:rPr>
        <w:t>podnikových</w:t>
      </w:r>
      <w:r w:rsidRPr="008B53A9">
        <w:rPr>
          <w:rFonts w:cs="Calibri"/>
          <w:sz w:val="24"/>
          <w:szCs w:val="24"/>
        </w:rPr>
        <w:t xml:space="preserve"> procesů a celkovému posílení aktivního přístupu k řízení budoucí konkurenční výhody MSP (princip řízení z budoucnosti).</w:t>
      </w:r>
    </w:p>
    <w:p w:rsidR="001A5C2A" w:rsidRPr="008B53A9" w:rsidRDefault="005E45B6" w:rsidP="005F43DF">
      <w:pPr>
        <w:pStyle w:val="Standardntext"/>
        <w:numPr>
          <w:ilvl w:val="0"/>
          <w:numId w:val="55"/>
        </w:numPr>
      </w:pPr>
      <w:r w:rsidRPr="008B53A9">
        <w:t>Zlepšení ekonomických výsledků endogenního podnikatelského sektoru v podobě růstu pod</w:t>
      </w:r>
      <w:r w:rsidR="000A3436" w:rsidRPr="008B53A9">
        <w:t>ílu exportu na celkových výkonech</w:t>
      </w:r>
      <w:r w:rsidRPr="008B53A9">
        <w:t xml:space="preserve"> povede ke stabilizaci podnikatelského prostředí a vytvoří tak prostor pro další rozvoj klíčových </w:t>
      </w:r>
      <w:r w:rsidR="009D1769" w:rsidRPr="008B53A9">
        <w:t>kompetencí</w:t>
      </w:r>
      <w:r w:rsidR="000A3436" w:rsidRPr="008B53A9">
        <w:t xml:space="preserve"> a vyšší diversifikaci exportu.</w:t>
      </w:r>
    </w:p>
    <w:p w:rsidR="00EB13D9" w:rsidRPr="008B53A9" w:rsidRDefault="00EB13D9" w:rsidP="007B391E">
      <w:pPr>
        <w:pStyle w:val="Titulek"/>
        <w:keepNext/>
        <w:keepLines/>
        <w:rPr>
          <w:rFonts w:cs="Calibri"/>
        </w:rPr>
      </w:pPr>
      <w:r w:rsidRPr="008B53A9">
        <w:rPr>
          <w:rFonts w:cs="Calibri"/>
        </w:rPr>
        <w:t>Tabulka</w:t>
      </w:r>
      <w:r w:rsidR="00955F90" w:rsidRPr="008B53A9">
        <w:rPr>
          <w:rFonts w:cs="Calibri"/>
        </w:rPr>
        <w:t xml:space="preserve"> </w:t>
      </w:r>
      <w:r w:rsidR="00955F90" w:rsidRPr="008B53A9">
        <w:rPr>
          <w:rFonts w:cs="Calibri"/>
        </w:rPr>
        <w:fldChar w:fldCharType="begin"/>
      </w:r>
      <w:r w:rsidR="00955F90" w:rsidRPr="008B53A9">
        <w:rPr>
          <w:rFonts w:cs="Calibri"/>
        </w:rPr>
        <w:instrText xml:space="preserve"> SEQ Tabulka \* ARABIC \r3 </w:instrText>
      </w:r>
      <w:r w:rsidR="00955F90" w:rsidRPr="008B53A9">
        <w:rPr>
          <w:rFonts w:cs="Calibri"/>
        </w:rPr>
        <w:fldChar w:fldCharType="separate"/>
      </w:r>
      <w:r w:rsidR="00E54216" w:rsidRPr="008B53A9">
        <w:rPr>
          <w:rFonts w:cs="Calibri"/>
          <w:noProof/>
        </w:rPr>
        <w:t>3</w:t>
      </w:r>
      <w:r w:rsidR="00955F90" w:rsidRPr="008B53A9">
        <w:rPr>
          <w:rFonts w:cs="Calibri"/>
        </w:rPr>
        <w:fldChar w:fldCharType="end"/>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708"/>
        <w:gridCol w:w="946"/>
        <w:gridCol w:w="1334"/>
        <w:gridCol w:w="955"/>
        <w:gridCol w:w="905"/>
        <w:gridCol w:w="997"/>
        <w:gridCol w:w="717"/>
        <w:gridCol w:w="1100"/>
      </w:tblGrid>
      <w:tr w:rsidR="00CF739D" w:rsidRPr="008B53A9">
        <w:trPr>
          <w:trHeight w:hRule="exact" w:val="12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7B391E">
            <w:pPr>
              <w:pStyle w:val="Tabulka"/>
              <w:keepNext/>
              <w:keepLines/>
              <w:rPr>
                <w:rFonts w:cs="Calibri"/>
                <w:b/>
                <w:bCs/>
                <w:lang w:val="cs-CZ" w:eastAsia="cs-CZ"/>
              </w:rPr>
            </w:pPr>
            <w:r w:rsidRPr="008B53A9">
              <w:rPr>
                <w:rFonts w:cs="Calibri"/>
                <w:b/>
                <w:bCs/>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7B391E">
            <w:pPr>
              <w:pStyle w:val="Tabulka"/>
              <w:keepNext/>
              <w:keepLines/>
              <w:rPr>
                <w:rFonts w:cs="Calibri"/>
                <w:b/>
                <w:bCs/>
                <w:lang w:val="cs-CZ" w:eastAsia="cs-CZ"/>
              </w:rPr>
            </w:pPr>
            <w:r w:rsidRPr="008B53A9">
              <w:rPr>
                <w:rFonts w:cs="Calibri"/>
                <w:b/>
                <w:bCs/>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7B391E">
            <w:pPr>
              <w:pStyle w:val="Tabulka"/>
              <w:keepNext/>
              <w:keepLines/>
              <w:rPr>
                <w:rFonts w:cs="Calibri"/>
                <w:b/>
                <w:bCs/>
                <w:lang w:val="cs-CZ" w:eastAsia="cs-CZ"/>
              </w:rPr>
            </w:pPr>
            <w:r w:rsidRPr="008B53A9">
              <w:rPr>
                <w:rFonts w:cs="Calibri"/>
                <w:b/>
                <w:bCs/>
                <w:lang w:val="cs-CZ" w:eastAsia="cs-CZ"/>
              </w:rPr>
              <w:t>Měrná</w:t>
            </w:r>
          </w:p>
          <w:p w:rsidR="00CF739D" w:rsidRPr="008B53A9" w:rsidRDefault="00CF739D" w:rsidP="007B391E">
            <w:pPr>
              <w:pStyle w:val="Tabulka"/>
              <w:keepNext/>
              <w:keepLines/>
              <w:rPr>
                <w:rFonts w:cs="Calibri"/>
                <w:b/>
                <w:bCs/>
                <w:lang w:val="cs-CZ" w:eastAsia="cs-CZ"/>
              </w:rPr>
            </w:pPr>
            <w:r w:rsidRPr="008B53A9">
              <w:rPr>
                <w:rFonts w:cs="Calibri"/>
                <w:b/>
                <w:bCs/>
                <w:lang w:val="cs-CZ" w:eastAsia="cs-CZ"/>
              </w:rPr>
              <w:t>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7B391E">
            <w:pPr>
              <w:pStyle w:val="Tabulka"/>
              <w:keepNext/>
              <w:keepLines/>
              <w:rPr>
                <w:rFonts w:cs="Calibri"/>
                <w:b/>
                <w:bCs/>
                <w:lang w:val="cs-CZ" w:eastAsia="cs-CZ"/>
              </w:rPr>
            </w:pPr>
            <w:r w:rsidRPr="008B53A9">
              <w:rPr>
                <w:rFonts w:cs="Calibri"/>
                <w:b/>
                <w:bCs/>
                <w:lang w:val="cs-CZ" w:eastAsia="cs-CZ"/>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7B391E">
            <w:pPr>
              <w:pStyle w:val="Tabulka"/>
              <w:keepNext/>
              <w:keepLines/>
              <w:rPr>
                <w:rFonts w:cs="Calibri"/>
                <w:b/>
                <w:bCs/>
                <w:lang w:val="cs-CZ" w:eastAsia="cs-CZ"/>
              </w:rPr>
            </w:pPr>
            <w:r w:rsidRPr="008B53A9">
              <w:rPr>
                <w:rFonts w:cs="Calibri"/>
                <w:b/>
                <w:bCs/>
                <w:lang w:val="cs-CZ" w:eastAsia="cs-CZ"/>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7B391E">
            <w:pPr>
              <w:pStyle w:val="Tabulka"/>
              <w:keepNext/>
              <w:keepLines/>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7B391E">
            <w:pPr>
              <w:pStyle w:val="Tabulka"/>
              <w:keepNext/>
              <w:keepLines/>
              <w:rPr>
                <w:rFonts w:cs="Calibri"/>
                <w:b/>
                <w:bCs/>
                <w:lang w:val="cs-CZ" w:eastAsia="cs-CZ"/>
              </w:rPr>
            </w:pPr>
            <w:r w:rsidRPr="008B53A9">
              <w:rPr>
                <w:rFonts w:cs="Calibri"/>
                <w:b/>
                <w:bCs/>
                <w:lang w:val="cs-CZ" w:eastAsia="cs-CZ"/>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7B391E">
            <w:pPr>
              <w:pStyle w:val="Tabulka"/>
              <w:keepNext/>
              <w:keepLines/>
              <w:rPr>
                <w:rFonts w:cs="Calibri"/>
                <w:b/>
                <w:bCs/>
                <w:lang w:val="cs-CZ" w:eastAsia="cs-CZ"/>
              </w:rPr>
            </w:pPr>
            <w:r w:rsidRPr="008B53A9">
              <w:rPr>
                <w:rFonts w:cs="Calibri"/>
                <w:b/>
                <w:bCs/>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7B391E">
            <w:pPr>
              <w:pStyle w:val="Tabulka"/>
              <w:keepNext/>
              <w:keepLines/>
              <w:rPr>
                <w:rFonts w:cs="Calibri"/>
                <w:b/>
                <w:bCs/>
                <w:lang w:val="cs-CZ" w:eastAsia="cs-CZ"/>
              </w:rPr>
            </w:pPr>
            <w:r w:rsidRPr="008B53A9">
              <w:rPr>
                <w:rFonts w:cs="Calibri"/>
                <w:b/>
                <w:bCs/>
                <w:lang w:val="cs-CZ" w:eastAsia="cs-CZ"/>
              </w:rPr>
              <w:t>Četnost podávání zpráv</w:t>
            </w:r>
          </w:p>
        </w:tc>
      </w:tr>
      <w:tr w:rsidR="00EB13D9" w:rsidRPr="008B53A9">
        <w:trPr>
          <w:trHeight w:hRule="exact" w:val="916"/>
        </w:trPr>
        <w:tc>
          <w:tcPr>
            <w:tcW w:w="0" w:type="auto"/>
            <w:tcBorders>
              <w:top w:val="single" w:sz="4" w:space="0" w:color="000000"/>
              <w:left w:val="single" w:sz="4" w:space="0" w:color="000000"/>
              <w:bottom w:val="single" w:sz="4" w:space="0" w:color="000000"/>
              <w:right w:val="single" w:sz="4" w:space="0" w:color="000000"/>
            </w:tcBorders>
            <w:vAlign w:val="center"/>
          </w:tcPr>
          <w:p w:rsidR="00EB13D9" w:rsidRPr="008B53A9" w:rsidRDefault="00D6006C" w:rsidP="00EB13D9">
            <w:pPr>
              <w:pStyle w:val="Tabulka"/>
              <w:rPr>
                <w:rFonts w:cs="Calibri"/>
                <w:lang w:val="cs-CZ" w:eastAsia="cs-CZ"/>
              </w:rPr>
            </w:pPr>
            <w:r w:rsidRPr="008B53A9">
              <w:rPr>
                <w:rFonts w:cs="Calibri"/>
                <w:lang w:val="cs-CZ" w:eastAsia="cs-CZ"/>
              </w:rPr>
              <w:t>10601</w:t>
            </w:r>
          </w:p>
        </w:tc>
        <w:tc>
          <w:tcPr>
            <w:tcW w:w="0" w:type="auto"/>
            <w:tcBorders>
              <w:top w:val="single" w:sz="4" w:space="0" w:color="000000"/>
              <w:left w:val="single" w:sz="4" w:space="0" w:color="000000"/>
              <w:bottom w:val="single" w:sz="4" w:space="0" w:color="000000"/>
              <w:right w:val="single" w:sz="4" w:space="0" w:color="000000"/>
            </w:tcBorders>
            <w:vAlign w:val="center"/>
          </w:tcPr>
          <w:p w:rsidR="00EB13D9" w:rsidRPr="008B53A9" w:rsidRDefault="00AA6101" w:rsidP="00DC58DF">
            <w:pPr>
              <w:pStyle w:val="Tabulka"/>
              <w:jc w:val="left"/>
              <w:rPr>
                <w:rFonts w:cs="Calibri"/>
                <w:lang w:val="cs-CZ" w:eastAsia="cs-CZ"/>
              </w:rPr>
            </w:pPr>
            <w:r w:rsidRPr="008B53A9">
              <w:rPr>
                <w:rFonts w:cs="Calibri"/>
                <w:lang w:val="cs-CZ" w:eastAsia="cs-CZ"/>
              </w:rPr>
              <w:t>Podíl exportu MSP/celkovým výkonům MSP</w:t>
            </w:r>
          </w:p>
        </w:tc>
        <w:tc>
          <w:tcPr>
            <w:tcW w:w="0" w:type="auto"/>
            <w:tcBorders>
              <w:top w:val="single" w:sz="4" w:space="0" w:color="000000"/>
              <w:left w:val="single" w:sz="4" w:space="0" w:color="000000"/>
              <w:bottom w:val="single" w:sz="4" w:space="0" w:color="000000"/>
              <w:right w:val="single" w:sz="4" w:space="0" w:color="000000"/>
            </w:tcBorders>
            <w:vAlign w:val="center"/>
          </w:tcPr>
          <w:p w:rsidR="00EB13D9" w:rsidRPr="008B53A9" w:rsidRDefault="00AA6101" w:rsidP="00EB13D9">
            <w:pPr>
              <w:pStyle w:val="Tabulka"/>
              <w:rPr>
                <w:rFonts w:cs="Calibri"/>
                <w:lang w:val="cs-CZ" w:eastAsia="cs-CZ"/>
              </w:rPr>
            </w:pPr>
            <w:r w:rsidRPr="008B53A9">
              <w:rPr>
                <w:rFonts w:cs="Calibri"/>
                <w:lang w:val="cs-CZ" w:eastAsia="cs-CZ"/>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EB13D9" w:rsidRPr="008B53A9" w:rsidRDefault="00AA6101" w:rsidP="00EB13D9">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EB13D9" w:rsidRPr="008B53A9" w:rsidRDefault="00512B9C" w:rsidP="00EB13D9">
            <w:pPr>
              <w:pStyle w:val="Tabulka"/>
              <w:rPr>
                <w:rFonts w:cs="Calibri"/>
                <w:lang w:val="cs-CZ" w:eastAsia="cs-CZ"/>
              </w:rPr>
            </w:pPr>
            <w:r w:rsidRPr="008B53A9">
              <w:rPr>
                <w:rFonts w:cs="Calibri"/>
                <w:lang w:val="cs-CZ" w:eastAsia="cs-CZ"/>
              </w:rPr>
              <w:t>39</w:t>
            </w:r>
            <w:r w:rsidR="00AA6101" w:rsidRPr="008B53A9">
              <w:rPr>
                <w:rFonts w:cs="Calibri"/>
                <w:lang w:val="cs-CZ" w:eastAsia="cs-CZ"/>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EB13D9" w:rsidRPr="008B53A9" w:rsidRDefault="00512B9C" w:rsidP="00EB13D9">
            <w:pPr>
              <w:pStyle w:val="Tabulka"/>
              <w:rPr>
                <w:rFonts w:cs="Calibri"/>
                <w:lang w:val="cs-CZ" w:eastAsia="cs-CZ"/>
              </w:rPr>
            </w:pPr>
            <w:r w:rsidRPr="008B53A9">
              <w:rPr>
                <w:rFonts w:cs="Calibri"/>
                <w:lang w:val="cs-CZ" w:eastAsia="cs-CZ"/>
              </w:rPr>
              <w:t>2012</w:t>
            </w:r>
          </w:p>
        </w:tc>
        <w:tc>
          <w:tcPr>
            <w:tcW w:w="0" w:type="auto"/>
            <w:tcBorders>
              <w:top w:val="single" w:sz="4" w:space="0" w:color="000000"/>
              <w:left w:val="single" w:sz="4" w:space="0" w:color="000000"/>
              <w:bottom w:val="single" w:sz="4" w:space="0" w:color="000000"/>
              <w:right w:val="single" w:sz="4" w:space="0" w:color="000000"/>
            </w:tcBorders>
            <w:vAlign w:val="center"/>
          </w:tcPr>
          <w:p w:rsidR="00EB13D9" w:rsidRPr="008B53A9" w:rsidRDefault="006A2A56" w:rsidP="00EB13D9">
            <w:pPr>
              <w:pStyle w:val="Tabulka"/>
              <w:rPr>
                <w:rFonts w:cs="Calibri"/>
                <w:lang w:val="cs-CZ" w:eastAsia="cs-CZ"/>
              </w:rPr>
            </w:pPr>
            <w:r w:rsidRPr="008B53A9">
              <w:rPr>
                <w:rFonts w:cs="Calibri"/>
                <w:lang w:val="cs-CZ" w:eastAsia="cs-CZ"/>
              </w:rPr>
              <w:t>40,5 – 42</w:t>
            </w:r>
          </w:p>
        </w:tc>
        <w:tc>
          <w:tcPr>
            <w:tcW w:w="0" w:type="auto"/>
            <w:tcBorders>
              <w:top w:val="single" w:sz="4" w:space="0" w:color="000000"/>
              <w:left w:val="single" w:sz="4" w:space="0" w:color="000000"/>
              <w:bottom w:val="single" w:sz="4" w:space="0" w:color="000000"/>
              <w:right w:val="single" w:sz="4" w:space="0" w:color="000000"/>
            </w:tcBorders>
            <w:vAlign w:val="center"/>
          </w:tcPr>
          <w:p w:rsidR="00EB13D9" w:rsidRPr="008B53A9" w:rsidRDefault="00AA6101" w:rsidP="00D55F1B">
            <w:pPr>
              <w:pStyle w:val="Tabulka"/>
              <w:rPr>
                <w:rFonts w:cs="Calibri"/>
                <w:lang w:val="cs-CZ" w:eastAsia="cs-CZ"/>
              </w:rPr>
            </w:pPr>
            <w:r w:rsidRPr="008B53A9">
              <w:rPr>
                <w:rFonts w:cs="Calibri"/>
                <w:lang w:val="cs-CZ" w:eastAsia="cs-CZ"/>
              </w:rPr>
              <w:t>MPO</w:t>
            </w:r>
            <w:r w:rsidR="00D55F1B" w:rsidRPr="008B53A9">
              <w:rPr>
                <w:rFonts w:cs="Calibri"/>
                <w:lang w:val="cs-CZ" w:eastAsia="cs-CZ"/>
              </w:rPr>
              <w:t>,</w:t>
            </w:r>
            <w:r w:rsidRPr="008B53A9">
              <w:rPr>
                <w:rFonts w:cs="Calibri"/>
                <w:lang w:val="cs-CZ" w:eastAsia="cs-CZ"/>
              </w:rPr>
              <w:t xml:space="preserve"> ČSÚ</w:t>
            </w:r>
          </w:p>
        </w:tc>
        <w:tc>
          <w:tcPr>
            <w:tcW w:w="0" w:type="auto"/>
            <w:tcBorders>
              <w:top w:val="single" w:sz="4" w:space="0" w:color="000000"/>
              <w:left w:val="single" w:sz="4" w:space="0" w:color="000000"/>
              <w:bottom w:val="single" w:sz="4" w:space="0" w:color="000000"/>
              <w:right w:val="single" w:sz="4" w:space="0" w:color="000000"/>
            </w:tcBorders>
            <w:vAlign w:val="center"/>
          </w:tcPr>
          <w:p w:rsidR="00EB13D9" w:rsidRPr="008B53A9" w:rsidRDefault="00AA6101" w:rsidP="00EB13D9">
            <w:pPr>
              <w:pStyle w:val="Tabulka"/>
              <w:rPr>
                <w:rFonts w:cs="Calibri"/>
                <w:lang w:val="cs-CZ" w:eastAsia="cs-CZ"/>
              </w:rPr>
            </w:pPr>
            <w:r w:rsidRPr="008B53A9">
              <w:rPr>
                <w:rFonts w:cs="Calibri"/>
                <w:lang w:val="cs-CZ" w:eastAsia="cs-CZ"/>
              </w:rPr>
              <w:t>ročně</w:t>
            </w:r>
          </w:p>
        </w:tc>
      </w:tr>
    </w:tbl>
    <w:p w:rsidR="00955F90" w:rsidRPr="008B53A9" w:rsidRDefault="001B2E5C" w:rsidP="005F43DF">
      <w:pPr>
        <w:pStyle w:val="kapitola2A0"/>
        <w:numPr>
          <w:ilvl w:val="2"/>
          <w:numId w:val="70"/>
        </w:numPr>
      </w:pPr>
      <w:bookmarkStart w:id="47" w:name="_Toc391539618"/>
      <w:r w:rsidRPr="008B53A9">
        <w:lastRenderedPageBreak/>
        <w:t>Opatření, jež má být podpořeno v rámci investiční priority</w:t>
      </w:r>
      <w:bookmarkEnd w:id="47"/>
    </w:p>
    <w:p w:rsidR="00955F90" w:rsidRPr="008B53A9" w:rsidRDefault="00D479AF" w:rsidP="005F43DF">
      <w:pPr>
        <w:pStyle w:val="Nadpis5"/>
        <w:numPr>
          <w:ilvl w:val="4"/>
          <w:numId w:val="19"/>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955F90" w:rsidRPr="008B53A9" w:rsidRDefault="00177462" w:rsidP="00DF4F92">
      <w:pPr>
        <w:pStyle w:val="Standardntext"/>
        <w:rPr>
          <w:b/>
        </w:rPr>
      </w:pPr>
      <w:r w:rsidRPr="008B53A9">
        <w:rPr>
          <w:b/>
        </w:rPr>
        <w:t>Indikativní výčet podporovaných aktivit:</w:t>
      </w:r>
    </w:p>
    <w:p w:rsidR="00955F90" w:rsidRPr="008B53A9" w:rsidRDefault="004A326E" w:rsidP="005F43DF">
      <w:pPr>
        <w:pStyle w:val="Standardntext"/>
        <w:numPr>
          <w:ilvl w:val="0"/>
          <w:numId w:val="46"/>
        </w:numPr>
      </w:pPr>
      <w:r w:rsidRPr="008B53A9">
        <w:t>Služby pro MSP zaměřené na mezinárodní konkurenceschopnost usnadňující vstup na zahraniční trhy (účast na zahraničních výstavách a veletrzích, včetně organizace seminářů/akcí se zaměřením na konkrétní problematiku týkající se mezinárodní konkurenceschopnosti, např. právní aspekty daného teritoria aj.)</w:t>
      </w:r>
      <w:r w:rsidR="00955F90" w:rsidRPr="008B53A9">
        <w:t>,</w:t>
      </w:r>
    </w:p>
    <w:p w:rsidR="00955F90" w:rsidRPr="008B53A9" w:rsidRDefault="00004CEF" w:rsidP="005F43DF">
      <w:pPr>
        <w:pStyle w:val="Standardntext"/>
        <w:numPr>
          <w:ilvl w:val="0"/>
          <w:numId w:val="46"/>
        </w:numPr>
      </w:pPr>
      <w:r w:rsidRPr="008B53A9">
        <w:t xml:space="preserve">Sofistikované </w:t>
      </w:r>
      <w:r w:rsidR="00FA534B" w:rsidRPr="008B53A9">
        <w:t>p</w:t>
      </w:r>
      <w:r w:rsidR="004A326E" w:rsidRPr="008B53A9">
        <w:t>oradenské služby expertů se znalostí mezinárodního prostředí (se specifickou teritoriální znalostí) a poradenské služby pro strategické řízení a management inovací (mentoring, koučin</w:t>
      </w:r>
      <w:r w:rsidR="001F0603" w:rsidRPr="008B53A9">
        <w:t>g</w:t>
      </w:r>
      <w:r w:rsidR="004A326E" w:rsidRPr="008B53A9">
        <w:t>, foresight ad.)</w:t>
      </w:r>
      <w:r w:rsidR="00955F90" w:rsidRPr="008B53A9">
        <w:t xml:space="preserve">, </w:t>
      </w:r>
    </w:p>
    <w:p w:rsidR="00955F90" w:rsidRPr="008B53A9" w:rsidRDefault="00FA534B" w:rsidP="005F43DF">
      <w:pPr>
        <w:pStyle w:val="Standardntext"/>
        <w:numPr>
          <w:ilvl w:val="0"/>
          <w:numId w:val="46"/>
        </w:numPr>
      </w:pPr>
      <w:r w:rsidRPr="008B53A9">
        <w:t>s</w:t>
      </w:r>
      <w:r w:rsidR="00666B70" w:rsidRPr="008B53A9">
        <w:t xml:space="preserve">lužby </w:t>
      </w:r>
      <w:r w:rsidR="00D659E9" w:rsidRPr="008B53A9">
        <w:t xml:space="preserve">zaměřené na podporu internacionalizace zapojováním MSP do </w:t>
      </w:r>
      <w:r w:rsidR="00E211BC" w:rsidRPr="008B53A9">
        <w:t xml:space="preserve">mezinárodních programů, jako např. v oblasti </w:t>
      </w:r>
      <w:r w:rsidR="00D659E9" w:rsidRPr="008B53A9">
        <w:t>výzkumné spolupráce</w:t>
      </w:r>
      <w:r w:rsidR="00666B70" w:rsidRPr="008B53A9">
        <w:t xml:space="preserve"> (</w:t>
      </w:r>
      <w:r w:rsidR="0087102E" w:rsidRPr="008B53A9">
        <w:t>Horizont 2020</w:t>
      </w:r>
      <w:r w:rsidR="005D4217" w:rsidRPr="008B53A9">
        <w:t>, COSME</w:t>
      </w:r>
      <w:r w:rsidR="00666B70" w:rsidRPr="008B53A9">
        <w:t>)</w:t>
      </w:r>
      <w:r w:rsidR="00D659E9" w:rsidRPr="008B53A9">
        <w:t>.</w:t>
      </w:r>
    </w:p>
    <w:p w:rsidR="005368EE" w:rsidRPr="008B53A9" w:rsidRDefault="005368EE" w:rsidP="0027274C">
      <w:pPr>
        <w:pStyle w:val="Standardntext"/>
      </w:pPr>
      <w:r w:rsidRPr="008B53A9">
        <w:t xml:space="preserve">Aktivity SC 2.2 zaměřené na zvyšování mezinárodní konkurenceschopnosti MSP vycházejí ze zkušeností z realizovaných podpor v programech </w:t>
      </w:r>
      <w:r w:rsidR="00AB0F33" w:rsidRPr="008B53A9">
        <w:t xml:space="preserve">podpory </w:t>
      </w:r>
      <w:r w:rsidRPr="008B53A9">
        <w:t xml:space="preserve">OPPI </w:t>
      </w:r>
      <w:r w:rsidRPr="008B53A9">
        <w:rPr>
          <w:i/>
        </w:rPr>
        <w:t>Poradenství</w:t>
      </w:r>
      <w:r w:rsidRPr="008B53A9">
        <w:t xml:space="preserve"> a </w:t>
      </w:r>
      <w:r w:rsidRPr="008B53A9">
        <w:rPr>
          <w:i/>
        </w:rPr>
        <w:t>Marketing</w:t>
      </w:r>
      <w:r w:rsidRPr="008B53A9">
        <w:t xml:space="preserve"> a specializují se na podpory individuálních a společných účastí MSP na zahraničních výstavách a veletrzích, na poradenské služby se znalostí mezinárodního prostředí a služby na podporu internacionalizace MSP. Dosavadní poznatky z realizace těchto služeb pro MSP, z organizace a přínosů veletržních účastí, </w:t>
      </w:r>
      <w:r w:rsidR="00AB0F33" w:rsidRPr="008B53A9">
        <w:t xml:space="preserve">interních </w:t>
      </w:r>
      <w:r w:rsidRPr="008B53A9">
        <w:t xml:space="preserve">projektů </w:t>
      </w:r>
      <w:r w:rsidRPr="008B53A9">
        <w:rPr>
          <w:i/>
        </w:rPr>
        <w:t>CzechAccelerator</w:t>
      </w:r>
      <w:r w:rsidRPr="008B53A9">
        <w:t xml:space="preserve">, </w:t>
      </w:r>
      <w:r w:rsidRPr="008B53A9">
        <w:rPr>
          <w:i/>
        </w:rPr>
        <w:t>CzechEkoSystem</w:t>
      </w:r>
      <w:r w:rsidRPr="008B53A9">
        <w:t xml:space="preserve">, </w:t>
      </w:r>
      <w:r w:rsidRPr="008B53A9">
        <w:rPr>
          <w:i/>
        </w:rPr>
        <w:t>Design</w:t>
      </w:r>
      <w:r w:rsidRPr="008B53A9">
        <w:t xml:space="preserve"> a </w:t>
      </w:r>
      <w:r w:rsidR="009D1769" w:rsidRPr="008B53A9">
        <w:rPr>
          <w:i/>
        </w:rPr>
        <w:t>Vesmír</w:t>
      </w:r>
      <w:r w:rsidR="009D1769" w:rsidRPr="008B53A9">
        <w:t xml:space="preserve"> jsou využívány v přípravě systému podpory v navržených oblastech SC 2.2 v programovacím období 2014 – 2020. </w:t>
      </w:r>
      <w:r w:rsidR="00023054" w:rsidRPr="008B53A9">
        <w:t xml:space="preserve">Zohledňovány tedy budou zejména </w:t>
      </w:r>
      <w:r w:rsidR="009D1769" w:rsidRPr="008B53A9">
        <w:t xml:space="preserve">zkušenosti </w:t>
      </w:r>
      <w:r w:rsidR="00023054" w:rsidRPr="008B53A9">
        <w:t>a reakce</w:t>
      </w:r>
      <w:r w:rsidR="009D1769" w:rsidRPr="008B53A9">
        <w:t xml:space="preserve"> MSP na poskytované služby a výši podpory, zkušenosti s výběrem dodavatelů, nastavením výběrových kritérií, hodnocením projektů externími hodnotiteli a také s administrací projektů. </w:t>
      </w:r>
      <w:r w:rsidRPr="008B53A9">
        <w:t>Poznatky z pilotního ověření realizace projektů poskytujících služby MSP agenturami CzechInvest a CzechTrade j</w:t>
      </w:r>
      <w:r w:rsidR="009D1769" w:rsidRPr="008B53A9">
        <w:t>sou</w:t>
      </w:r>
      <w:r w:rsidRPr="008B53A9">
        <w:t xml:space="preserve"> dalším potenciálem využitelným v přípravě programů a projektů z této oblasti pro období 2014 – 2020.</w:t>
      </w:r>
    </w:p>
    <w:p w:rsidR="009D1769" w:rsidRPr="008B53A9" w:rsidRDefault="0027274C" w:rsidP="009D1769">
      <w:pPr>
        <w:pStyle w:val="Standardntext"/>
      </w:pPr>
      <w:r w:rsidRPr="008B53A9">
        <w:t>Typový projekt v o</w:t>
      </w:r>
      <w:r w:rsidR="00840AC4" w:rsidRPr="008B53A9">
        <w:t>blasti služeb pro MSP zaměřený</w:t>
      </w:r>
      <w:r w:rsidRPr="008B53A9">
        <w:t xml:space="preserve"> na mezinárodní konkurenceschopnost usnadňující vstup na zahraniční trhy</w:t>
      </w:r>
      <w:r w:rsidR="00840AC4" w:rsidRPr="008B53A9">
        <w:t xml:space="preserve"> bude podporovat</w:t>
      </w:r>
      <w:r w:rsidRPr="008B53A9">
        <w:t xml:space="preserve"> pronájem výstavních ploch, technické návrhy, pronájem a montáž výstavní expozice včetně nezbytného zařízení</w:t>
      </w:r>
      <w:r w:rsidR="00AB0F33" w:rsidRPr="008B53A9">
        <w:t xml:space="preserve">, </w:t>
      </w:r>
      <w:r w:rsidRPr="008B53A9">
        <w:t>základní služby související s provozem výstavní expozice</w:t>
      </w:r>
      <w:r w:rsidR="00AB0F33" w:rsidRPr="008B53A9">
        <w:t xml:space="preserve">, </w:t>
      </w:r>
      <w:r w:rsidRPr="008B53A9">
        <w:t>propagaci a dopravu.</w:t>
      </w:r>
      <w:r w:rsidR="005A40EE" w:rsidRPr="008B53A9">
        <w:t xml:space="preserve"> Dále se budou poskytovat specializované poradenské služby, které budou rozvíjet internacionalizační know-how podpořených MSP. </w:t>
      </w:r>
      <w:r w:rsidR="00803C8E" w:rsidRPr="008B53A9">
        <w:t>Na rozdíl od SC 2.1 se bude jednat o sofistikované poradenské služby z oblasti mezinárodního prostředí a strategického řízení a managementu inovací</w:t>
      </w:r>
      <w:r w:rsidR="00004CEF" w:rsidRPr="008B53A9">
        <w:t xml:space="preserve"> (mentoring, koučin</w:t>
      </w:r>
      <w:r w:rsidR="001F0603" w:rsidRPr="008B53A9">
        <w:t>g</w:t>
      </w:r>
      <w:r w:rsidR="00004CEF" w:rsidRPr="008B53A9">
        <w:t>, foresight ad.)</w:t>
      </w:r>
      <w:r w:rsidR="00803C8E" w:rsidRPr="008B53A9">
        <w:t xml:space="preserve">. </w:t>
      </w:r>
      <w:r w:rsidR="005A40EE" w:rsidRPr="008B53A9">
        <w:t>Výs</w:t>
      </w:r>
      <w:r w:rsidR="00231B6C" w:rsidRPr="008B53A9">
        <w:t>tupem těchto aktivit budou realizované podnikatelské záměry v oblasti služeb</w:t>
      </w:r>
      <w:r w:rsidR="005A40EE" w:rsidRPr="008B53A9">
        <w:t xml:space="preserve">, jejichž výsledky se promítnou ve střednědobém horizontu </w:t>
      </w:r>
      <w:r w:rsidR="009D1769" w:rsidRPr="008B53A9">
        <w:t>do vyššího podílu exportu na celkových výkonech podniku</w:t>
      </w:r>
      <w:r w:rsidR="00F34564" w:rsidRPr="008B53A9">
        <w:t xml:space="preserve"> v sektoru MSP</w:t>
      </w:r>
      <w:r w:rsidR="009D1769" w:rsidRPr="008B53A9">
        <w:t>.</w:t>
      </w:r>
    </w:p>
    <w:p w:rsidR="005B495A" w:rsidRPr="008B53A9" w:rsidRDefault="00F01494" w:rsidP="005B495A">
      <w:pPr>
        <w:pStyle w:val="Standardntext"/>
      </w:pPr>
      <w:r w:rsidRPr="008B53A9">
        <w:t xml:space="preserve">Aktivity SC 2.2 mají přímou vazbu na tyto strategické cíle Národní </w:t>
      </w:r>
      <w:r w:rsidR="002B0AB0" w:rsidRPr="008B53A9">
        <w:t>RI</w:t>
      </w:r>
      <w:r w:rsidRPr="008B53A9">
        <w:t>S3 strategie: „</w:t>
      </w:r>
      <w:r w:rsidR="00D6559B" w:rsidRPr="008B53A9">
        <w:t>Zvýšit inovační poptávku ve firmách (i ve veřejném sektoru)</w:t>
      </w:r>
      <w:r w:rsidRPr="008B53A9">
        <w:t>“ a „Zvýšit internacionalizaci MSP“.</w:t>
      </w:r>
      <w:r w:rsidR="005B495A" w:rsidRPr="008B53A9">
        <w:t xml:space="preserve"> Jde především o vzájemnou provázanost s typovými aktivitami/projekty/operacemi specifických cílů A1.2 „Zlepšit strategické řízení v MSP“, A3.1 „Zvýšení dostupnosti strategických informací o cílových trzích místních MSP“ a A3.3 „Snížení nákladů a rizik MSP spojených se vstupem na zahraniční trhy“ Národní </w:t>
      </w:r>
      <w:r w:rsidR="002B0AB0" w:rsidRPr="008B53A9">
        <w:t>RI</w:t>
      </w:r>
      <w:r w:rsidR="005B495A" w:rsidRPr="008B53A9">
        <w:t>S3 strategie.</w:t>
      </w:r>
    </w:p>
    <w:p w:rsidR="00F01494" w:rsidRPr="008B53A9" w:rsidRDefault="00F01494" w:rsidP="0027274C">
      <w:pPr>
        <w:pStyle w:val="Standardntext"/>
      </w:pPr>
    </w:p>
    <w:p w:rsidR="00955F90" w:rsidRPr="008B53A9" w:rsidRDefault="00955F90" w:rsidP="00757916">
      <w:pPr>
        <w:pStyle w:val="Standardntext"/>
      </w:pPr>
      <w:r w:rsidRPr="008B53A9">
        <w:rPr>
          <w:b/>
        </w:rPr>
        <w:t xml:space="preserve">Hlavní cílová skupina: </w:t>
      </w:r>
      <w:r w:rsidRPr="008B53A9">
        <w:t>Podnikatelské subjekty (malé a střední podniky).</w:t>
      </w:r>
    </w:p>
    <w:p w:rsidR="00955F90" w:rsidRPr="008B53A9" w:rsidRDefault="00955F90" w:rsidP="00757916">
      <w:pPr>
        <w:pStyle w:val="Standardntext"/>
      </w:pPr>
      <w:r w:rsidRPr="008B53A9">
        <w:rPr>
          <w:b/>
        </w:rPr>
        <w:t xml:space="preserve">Cílové území: </w:t>
      </w:r>
      <w:r w:rsidRPr="008B53A9">
        <w:t>Území České repu</w:t>
      </w:r>
      <w:r w:rsidR="002B15A3" w:rsidRPr="008B53A9">
        <w:t>bliky, mimo území hl. m. Prah</w:t>
      </w:r>
      <w:r w:rsidR="00835369" w:rsidRPr="008B53A9">
        <w:t>y.</w:t>
      </w:r>
      <w:r w:rsidR="00A46CD6" w:rsidRPr="008B53A9">
        <w:t xml:space="preserve"> Předpokládá se plošné směrování intervencí bez vymezení územní dimenze</w:t>
      </w:r>
      <w:r w:rsidR="00015039" w:rsidRPr="008B53A9">
        <w:t>.</w:t>
      </w:r>
    </w:p>
    <w:p w:rsidR="00955F90" w:rsidRPr="008B53A9" w:rsidRDefault="00955F90" w:rsidP="00757916">
      <w:pPr>
        <w:pStyle w:val="Standardntext"/>
      </w:pPr>
      <w:r w:rsidRPr="008B53A9">
        <w:rPr>
          <w:b/>
        </w:rPr>
        <w:t xml:space="preserve">Typy příjemců: </w:t>
      </w:r>
      <w:r w:rsidRPr="008B53A9">
        <w:t xml:space="preserve">Podnikatelské subjekty (malé a střední podniky), </w:t>
      </w:r>
      <w:r w:rsidR="00271197" w:rsidRPr="008B53A9">
        <w:t>Agentura pro podporu podnikání a investic CzechInvest</w:t>
      </w:r>
      <w:r w:rsidRPr="008B53A9">
        <w:t xml:space="preserve">, </w:t>
      </w:r>
      <w:r w:rsidR="00271197" w:rsidRPr="008B53A9">
        <w:t>Česká agentura na podporu obchodu CzechTrade</w:t>
      </w:r>
      <w:r w:rsidRPr="008B53A9">
        <w:t>.</w:t>
      </w:r>
      <w:r w:rsidR="00112C3A" w:rsidRPr="008B53A9">
        <w:t xml:space="preserve"> V rámci tohoto specifického cíle budou podporováni nezemědělští podnikatelé s výstupem projektu mimo položky</w:t>
      </w:r>
      <w:r w:rsidR="004038F0" w:rsidRPr="008B53A9">
        <w:t xml:space="preserve"> obsažené v dodatku Smlouvy (o EU)</w:t>
      </w:r>
      <w:r w:rsidR="00112C3A" w:rsidRPr="008B53A9">
        <w:t>, v případě zemědělských podnikatelů budou podporovány projekty zaměřené na podnikatelské poradenství (nikoliv poradenství do zemědělské činnosti) související s internacionalizací těchto podniků.</w:t>
      </w:r>
    </w:p>
    <w:p w:rsidR="00DE124D" w:rsidRPr="008B53A9" w:rsidRDefault="00BA6461" w:rsidP="005F43DF">
      <w:pPr>
        <w:pStyle w:val="Nadpis5"/>
        <w:numPr>
          <w:ilvl w:val="4"/>
          <w:numId w:val="19"/>
        </w:numPr>
      </w:pPr>
      <w:r w:rsidRPr="008B53A9">
        <w:t>Hlavní zásady pro výběr operací</w:t>
      </w:r>
    </w:p>
    <w:p w:rsidR="00A438A6" w:rsidRPr="008B53A9" w:rsidRDefault="005E45B6" w:rsidP="005E45B6">
      <w:pPr>
        <w:pStyle w:val="Standardntext"/>
      </w:pPr>
      <w:r w:rsidRPr="008B53A9">
        <w:t>V rámci této investiční priority b</w:t>
      </w:r>
      <w:r w:rsidR="00226516" w:rsidRPr="008B53A9">
        <w:t>udou vyhlašovány výzvy zaměřené</w:t>
      </w:r>
      <w:r w:rsidRPr="008B53A9">
        <w:t xml:space="preserve"> na specializované služby pro podnikání na předkládání individuálních projektů a budou realizovány </w:t>
      </w:r>
      <w:r w:rsidR="00A438A6" w:rsidRPr="008B53A9">
        <w:t xml:space="preserve">tzv. </w:t>
      </w:r>
      <w:r w:rsidRPr="008B53A9">
        <w:t xml:space="preserve">interní projekty. </w:t>
      </w:r>
      <w:r w:rsidR="00855A0B" w:rsidRPr="008B53A9">
        <w:t xml:space="preserve">Předložené projekty budou  nejdříve posuzovány ze strany řídícího orgánu / zprostředkujícího subjektu z pohledu jejich souladu s podmínkami daného programu podpory. </w:t>
      </w:r>
      <w:r w:rsidRPr="008B53A9">
        <w:t xml:space="preserve">Projektové žádosti, které úspěšně projdou tímto procesem, budou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w:t>
      </w:r>
      <w:r w:rsidR="006B1736" w:rsidRPr="008B53A9">
        <w:t>kritérií odpovídajících charakteru</w:t>
      </w:r>
      <w:r w:rsidRPr="008B53A9">
        <w:t xml:space="preserve"> jednotlivých specifických cílů a v rámci nich podporovaných aktivit. </w:t>
      </w:r>
      <w:r w:rsidR="00952A8B" w:rsidRPr="008B53A9">
        <w:t xml:space="preserve">Ve finální fázi hodnocení </w:t>
      </w:r>
      <w:r w:rsidRPr="008B53A9">
        <w:t>budou projekty posuzovány hodnotitelskou komis</w:t>
      </w:r>
      <w:r w:rsidR="00153F2D" w:rsidRPr="008B53A9">
        <w:t>í, která bude tvořena zástupci Ř</w:t>
      </w:r>
      <w:r w:rsidRPr="008B53A9">
        <w:t xml:space="preserve">ídícího orgánu a dalšími relevantními partnery a experty na oblast podnikání, včetně zastoupení regionálních partnerů. </w:t>
      </w:r>
      <w:r w:rsidR="0020084D" w:rsidRPr="008B53A9">
        <w:t xml:space="preserve">Výběr </w:t>
      </w:r>
      <w:r w:rsidR="002730C3" w:rsidRPr="008B53A9">
        <w:t>odborných hodnotitelů</w:t>
      </w:r>
      <w:r w:rsidR="0020084D"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20084D" w:rsidRPr="008B53A9">
        <w:rPr>
          <w:rStyle w:val="Znakapoznpodarou"/>
        </w:rPr>
        <w:footnoteReference w:id="44"/>
      </w:r>
      <w:r w:rsidR="0020084D" w:rsidRPr="008B53A9">
        <w:t xml:space="preserve"> Hodnotitelé budou průběžně školeni tak, aby byl zajištěn jejich rovný přístup ke všem projektům. </w:t>
      </w:r>
      <w:r w:rsidR="00D66446" w:rsidRPr="008B53A9">
        <w:t>Tento systém bude nastaven maximálně transparentně, s cílem zajistit kvalitní a objektivní hodnocení projektů, a realizací schválených projektů dosažení stanovených cílů programu.</w:t>
      </w:r>
    </w:p>
    <w:p w:rsidR="00A438A6" w:rsidRPr="008B53A9" w:rsidRDefault="00A438A6" w:rsidP="00A438A6">
      <w:pPr>
        <w:pStyle w:val="Standardntext"/>
      </w:pPr>
      <w:r w:rsidRPr="008B53A9">
        <w:t>V rámci výběru a hodnocení projektů budou posuzována především následující kritéria:</w:t>
      </w:r>
    </w:p>
    <w:p w:rsidR="00A438A6" w:rsidRPr="008B53A9" w:rsidRDefault="00A438A6" w:rsidP="005F43DF">
      <w:pPr>
        <w:pStyle w:val="Standardntext"/>
        <w:numPr>
          <w:ilvl w:val="0"/>
          <w:numId w:val="44"/>
        </w:numPr>
      </w:pPr>
      <w:r w:rsidRPr="008B53A9">
        <w:t xml:space="preserve">Kvalita a potřebnost projektu s ohledem na zpracovanou obchodní strategii. </w:t>
      </w:r>
      <w:r w:rsidR="009D1769" w:rsidRPr="008B53A9">
        <w:t>U tzv. interních projektů se</w:t>
      </w:r>
      <w:r w:rsidRPr="008B53A9">
        <w:t xml:space="preserve"> bude přihlížet zejména na jejich úspěšnou realizaci v oblastech specializovaných poradenských služeb a internacionalizace.</w:t>
      </w:r>
    </w:p>
    <w:p w:rsidR="00A438A6" w:rsidRPr="008B53A9" w:rsidRDefault="009D1769" w:rsidP="005F43DF">
      <w:pPr>
        <w:pStyle w:val="Standardntext"/>
        <w:numPr>
          <w:ilvl w:val="0"/>
          <w:numId w:val="44"/>
        </w:numPr>
      </w:pPr>
      <w:r w:rsidRPr="008B53A9">
        <w:t>Interní projekty nabízející</w:t>
      </w:r>
      <w:r w:rsidR="00A438A6" w:rsidRPr="008B53A9">
        <w:t xml:space="preserve"> MSP specializované poradenské služby a služby v oblasti internacionalizace budou posuzovány a hodnoceny v rámci specifického režimu hodnocení schváleného monitorovacím výborem, včetně výběrových kritérií. Transparentnost tohoto režimu bude zajištěna a o realizaci takovýchto projektů bude referováno ve Výročních zprávách OP PIK.</w:t>
      </w:r>
    </w:p>
    <w:p w:rsidR="00A438A6" w:rsidRPr="008B53A9" w:rsidRDefault="00A438A6" w:rsidP="005F43DF">
      <w:pPr>
        <w:pStyle w:val="Standardntext"/>
        <w:numPr>
          <w:ilvl w:val="0"/>
          <w:numId w:val="44"/>
        </w:numPr>
      </w:pPr>
      <w:r w:rsidRPr="008B53A9">
        <w:lastRenderedPageBreak/>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A438A6" w:rsidRPr="008B53A9" w:rsidRDefault="00A438A6" w:rsidP="005F43DF">
      <w:pPr>
        <w:pStyle w:val="Standardntext"/>
        <w:numPr>
          <w:ilvl w:val="0"/>
          <w:numId w:val="44"/>
        </w:numPr>
      </w:pPr>
      <w:r w:rsidRPr="008B53A9">
        <w:t>Žadatel nesmí mít právní formu akciové společnosti s listinnými akciemi na majitele.</w:t>
      </w:r>
    </w:p>
    <w:p w:rsidR="00955F90" w:rsidRPr="008B53A9" w:rsidRDefault="00BA6461" w:rsidP="005F43DF">
      <w:pPr>
        <w:pStyle w:val="Nadpis5"/>
        <w:numPr>
          <w:ilvl w:val="4"/>
          <w:numId w:val="19"/>
        </w:numPr>
        <w:rPr>
          <w:rFonts w:cs="Calibri"/>
        </w:rPr>
      </w:pPr>
      <w:r w:rsidRPr="008B53A9">
        <w:t>Plánované využití finančních nástrojů (použije-li se)</w:t>
      </w:r>
    </w:p>
    <w:p w:rsidR="00955F90" w:rsidRPr="008B53A9" w:rsidRDefault="00CB19AE" w:rsidP="002A4D1D">
      <w:pPr>
        <w:pStyle w:val="Standardntext"/>
      </w:pPr>
      <w:r w:rsidRPr="008B53A9">
        <w:t>Řídící orgán nepředpokládá využití finančních nástrojů v této investiční prioritě. Případné odchylky stanoví konečná verze předběžného posouzení finančních nástrojů OP PIK dle čl. 37 odst. 2 obecného nařízení, které provede ŘO OP PIK, případně jeho revize podle čl. 37 odst. 2 písm. g) obecného nařízení.</w:t>
      </w:r>
    </w:p>
    <w:p w:rsidR="00DE124D" w:rsidRPr="008B53A9" w:rsidRDefault="00BA6461" w:rsidP="005F43DF">
      <w:pPr>
        <w:pStyle w:val="Nadpis5"/>
        <w:numPr>
          <w:ilvl w:val="4"/>
          <w:numId w:val="19"/>
        </w:numPr>
      </w:pPr>
      <w:r w:rsidRPr="008B53A9">
        <w:t>Plánované využití velkých projektů (použije-li se)</w:t>
      </w:r>
    </w:p>
    <w:p w:rsidR="002A4D1D" w:rsidRPr="008B53A9" w:rsidRDefault="002A4D1D" w:rsidP="002A4D1D">
      <w:pPr>
        <w:pStyle w:val="Standardntext"/>
      </w:pPr>
      <w:r w:rsidRPr="008B53A9">
        <w:t xml:space="preserve">Velké projekty ve smyslu čl. </w:t>
      </w:r>
      <w:r w:rsidR="00C17C7C" w:rsidRPr="008B53A9">
        <w:t>10</w:t>
      </w:r>
      <w:r w:rsidRPr="008B53A9">
        <w:t>0 obecného nařízení nejsou plánovány.</w:t>
      </w:r>
    </w:p>
    <w:p w:rsidR="00DE124D" w:rsidRPr="008B53A9" w:rsidRDefault="00BA6461" w:rsidP="005F43DF">
      <w:pPr>
        <w:pStyle w:val="Nadpis5"/>
        <w:numPr>
          <w:ilvl w:val="4"/>
          <w:numId w:val="19"/>
        </w:numPr>
      </w:pPr>
      <w:r w:rsidRPr="008B53A9">
        <w:t>Ukazatele výstupů podle investiční priority a případně podle kategorie regionů</w:t>
      </w:r>
    </w:p>
    <w:p w:rsidR="00DE124D" w:rsidRPr="008B53A9" w:rsidRDefault="00DE124D" w:rsidP="00DE124D">
      <w:pPr>
        <w:pStyle w:val="Titulek"/>
        <w:keepNext/>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1155"/>
        <w:gridCol w:w="1969"/>
        <w:gridCol w:w="1070"/>
        <w:gridCol w:w="665"/>
        <w:gridCol w:w="1227"/>
        <w:gridCol w:w="1237"/>
        <w:gridCol w:w="774"/>
        <w:gridCol w:w="1229"/>
      </w:tblGrid>
      <w:tr w:rsidR="001B2E5C" w:rsidRPr="008B53A9">
        <w:trPr>
          <w:trHeight w:hRule="exact" w:val="107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Fond</w:t>
            </w:r>
          </w:p>
        </w:tc>
        <w:tc>
          <w:tcPr>
            <w:tcW w:w="122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Kategorie regionu</w:t>
            </w:r>
          </w:p>
        </w:tc>
        <w:tc>
          <w:tcPr>
            <w:tcW w:w="123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2153F2">
            <w:pPr>
              <w:pStyle w:val="Tabulka"/>
              <w:rPr>
                <w:rFonts w:cs="Calibri"/>
                <w:b/>
                <w:lang w:val="cs-CZ" w:eastAsia="cs-CZ"/>
              </w:rPr>
            </w:pPr>
            <w:r w:rsidRPr="008B53A9">
              <w:rPr>
                <w:rFonts w:cs="Calibri"/>
                <w:b/>
                <w:lang w:val="cs-CZ" w:eastAsia="cs-CZ"/>
              </w:rPr>
              <w:t>Cílová hodnota</w:t>
            </w:r>
            <w:r w:rsidR="002153F2" w:rsidRPr="008B53A9">
              <w:rPr>
                <w:rFonts w:cs="Calibri"/>
                <w:b/>
                <w:lang w:val="cs-CZ" w:eastAsia="cs-CZ"/>
              </w:rPr>
              <w:t xml:space="preserve"> </w:t>
            </w:r>
            <w:r w:rsidRPr="008B53A9">
              <w:rPr>
                <w:rFonts w:cs="Calibri"/>
                <w:b/>
                <w:lang w:val="cs-CZ" w:eastAsia="cs-CZ"/>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Četnost podávání zpráv</w:t>
            </w:r>
          </w:p>
        </w:tc>
      </w:tr>
      <w:tr w:rsidR="009974DF"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9974DF" w:rsidRPr="008B53A9" w:rsidRDefault="008E174F" w:rsidP="005A765B">
            <w:pPr>
              <w:pStyle w:val="Tabulka"/>
              <w:rPr>
                <w:rFonts w:cs="Calibri"/>
                <w:lang w:val="cs-CZ" w:eastAsia="cs-CZ"/>
              </w:rPr>
            </w:pPr>
            <w:r w:rsidRPr="008B53A9">
              <w:rPr>
                <w:rFonts w:cs="Calibri"/>
                <w:lang w:val="cs-CZ" w:eastAsia="cs-CZ"/>
              </w:rPr>
              <w:t>C</w:t>
            </w:r>
            <w:r w:rsidR="00927ADD" w:rsidRPr="008B53A9">
              <w:rPr>
                <w:rFonts w:cs="Calibri"/>
                <w:lang w:val="cs-CZ" w:eastAsia="cs-CZ"/>
              </w:rPr>
              <w:t>/EFRR/0</w:t>
            </w:r>
            <w:r w:rsidR="009974DF" w:rsidRPr="008B53A9">
              <w:rPr>
                <w:rFonts w:cs="Calibri"/>
                <w:lang w:val="cs-CZ" w:eastAsia="cs-CZ"/>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9974DF" w:rsidRPr="008B53A9" w:rsidRDefault="007D6298" w:rsidP="00DE124D">
            <w:pPr>
              <w:pStyle w:val="Tabulka"/>
              <w:jc w:val="left"/>
              <w:rPr>
                <w:rFonts w:cs="Calibri"/>
                <w:lang w:val="cs-CZ" w:eastAsia="cs-CZ"/>
              </w:rPr>
            </w:pPr>
            <w:r w:rsidRPr="008B53A9">
              <w:rPr>
                <w:rFonts w:cs="Calibri"/>
                <w:lang w:val="cs-CZ" w:eastAsia="cs-CZ"/>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9974DF" w:rsidRPr="008B53A9" w:rsidRDefault="009974DF" w:rsidP="00DE124D">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9974DF" w:rsidRPr="008B53A9" w:rsidRDefault="002B3F69" w:rsidP="00DE124D">
            <w:pPr>
              <w:pStyle w:val="Tabulka"/>
              <w:rPr>
                <w:rFonts w:cs="Calibri"/>
                <w:lang w:val="cs-CZ" w:eastAsia="cs-CZ"/>
              </w:rPr>
            </w:pPr>
            <w:r w:rsidRPr="008B53A9">
              <w:rPr>
                <w:rFonts w:cs="Calibri"/>
                <w:lang w:val="cs-CZ" w:eastAsia="cs-CZ"/>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rsidR="009974DF" w:rsidRPr="008B53A9" w:rsidRDefault="009974DF" w:rsidP="00DE124D">
            <w:pPr>
              <w:pStyle w:val="Tabulka"/>
              <w:rPr>
                <w:rFonts w:cs="Calibri"/>
                <w:lang w:val="cs-CZ" w:eastAsia="cs-CZ"/>
              </w:rPr>
            </w:pPr>
            <w:r w:rsidRPr="008B53A9">
              <w:rPr>
                <w:rFonts w:cs="Calibri"/>
                <w:lang w:val="cs-CZ" w:eastAsia="cs-CZ"/>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rsidR="009974DF" w:rsidRPr="008B53A9" w:rsidRDefault="00A82244" w:rsidP="00DE124D">
            <w:pPr>
              <w:pStyle w:val="Tabulka"/>
              <w:rPr>
                <w:rFonts w:cs="Calibri"/>
                <w:lang w:val="cs-CZ" w:eastAsia="cs-CZ"/>
              </w:rPr>
            </w:pPr>
            <w:r w:rsidRPr="008B53A9">
              <w:rPr>
                <w:rFonts w:cs="Calibri"/>
                <w:lang w:val="cs-CZ" w:eastAsia="cs-CZ"/>
              </w:rPr>
              <w:t>5 000</w:t>
            </w:r>
          </w:p>
        </w:tc>
        <w:tc>
          <w:tcPr>
            <w:tcW w:w="0" w:type="auto"/>
            <w:tcBorders>
              <w:top w:val="single" w:sz="4" w:space="0" w:color="000000"/>
              <w:left w:val="single" w:sz="4" w:space="0" w:color="000000"/>
              <w:bottom w:val="single" w:sz="4" w:space="0" w:color="000000"/>
              <w:right w:val="single" w:sz="4" w:space="0" w:color="000000"/>
            </w:tcBorders>
            <w:vAlign w:val="center"/>
          </w:tcPr>
          <w:p w:rsidR="009974DF" w:rsidRPr="008B53A9" w:rsidRDefault="001B0574" w:rsidP="00DE124D">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9974DF" w:rsidRPr="008B53A9" w:rsidRDefault="006D1774" w:rsidP="009974DF">
            <w:pPr>
              <w:pStyle w:val="Tabulka"/>
              <w:rPr>
                <w:rFonts w:cs="Calibri"/>
                <w:lang w:val="cs-CZ" w:eastAsia="cs-CZ"/>
              </w:rPr>
            </w:pPr>
            <w:r w:rsidRPr="008B53A9">
              <w:rPr>
                <w:rFonts w:cs="Calibri"/>
                <w:lang w:val="cs-CZ" w:eastAsia="cs-CZ"/>
              </w:rPr>
              <w:t>průběžně</w:t>
            </w:r>
          </w:p>
        </w:tc>
      </w:tr>
      <w:tr w:rsidR="006D177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8E174F" w:rsidP="005A765B">
            <w:pPr>
              <w:pStyle w:val="Tabulka"/>
              <w:rPr>
                <w:rFonts w:cs="Calibri"/>
                <w:lang w:val="cs-CZ" w:eastAsia="cs-CZ"/>
              </w:rPr>
            </w:pPr>
            <w:r w:rsidRPr="008B53A9">
              <w:rPr>
                <w:rFonts w:cs="Calibri"/>
                <w:lang w:val="cs-CZ" w:eastAsia="cs-CZ"/>
              </w:rPr>
              <w:t>C</w:t>
            </w:r>
            <w:r w:rsidR="00927ADD" w:rsidRPr="008B53A9">
              <w:rPr>
                <w:rFonts w:cs="Calibri"/>
                <w:lang w:val="cs-CZ" w:eastAsia="cs-CZ"/>
              </w:rPr>
              <w:t>/EFRR/0</w:t>
            </w:r>
            <w:r w:rsidR="006D1774" w:rsidRPr="008B53A9">
              <w:rPr>
                <w:rFonts w:cs="Calibri"/>
                <w:lang w:val="cs-CZ" w:eastAsia="cs-CZ"/>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DE124D">
            <w:pPr>
              <w:pStyle w:val="Tabulka"/>
              <w:jc w:val="left"/>
              <w:rPr>
                <w:rFonts w:cs="Calibri"/>
                <w:lang w:val="cs-CZ" w:eastAsia="cs-CZ"/>
              </w:rPr>
            </w:pPr>
            <w:r w:rsidRPr="008B53A9">
              <w:rPr>
                <w:rFonts w:cs="Calibri"/>
                <w:lang w:val="cs-CZ" w:eastAsia="cs-CZ"/>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DE124D">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2B3F69" w:rsidP="002A46AD">
            <w:pPr>
              <w:pStyle w:val="Tabulka"/>
              <w:rPr>
                <w:rFonts w:cs="Calibri"/>
                <w:lang w:val="cs-CZ" w:eastAsia="cs-CZ"/>
              </w:rPr>
            </w:pPr>
            <w:r w:rsidRPr="008B53A9">
              <w:rPr>
                <w:rFonts w:cs="Calibri"/>
                <w:lang w:val="cs-CZ" w:eastAsia="cs-CZ"/>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DE124D">
            <w:pPr>
              <w:pStyle w:val="Tabulka"/>
              <w:rPr>
                <w:rFonts w:cs="Calibri"/>
                <w:lang w:val="cs-CZ" w:eastAsia="cs-CZ"/>
              </w:rPr>
            </w:pPr>
            <w:r w:rsidRPr="008B53A9">
              <w:rPr>
                <w:rFonts w:cs="Calibri"/>
                <w:lang w:val="cs-CZ" w:eastAsia="cs-CZ"/>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084ED8" w:rsidP="00DE124D">
            <w:pPr>
              <w:pStyle w:val="Tabulka"/>
              <w:rPr>
                <w:rFonts w:cs="Calibri"/>
                <w:lang w:val="cs-CZ" w:eastAsia="cs-CZ"/>
              </w:rPr>
            </w:pPr>
            <w:r w:rsidRPr="008B53A9">
              <w:rPr>
                <w:rFonts w:cs="Calibri"/>
                <w:lang w:val="cs-CZ" w:eastAsia="cs-CZ"/>
              </w:rPr>
              <w:t>2</w:t>
            </w:r>
            <w:r w:rsidR="006D1774" w:rsidRPr="008B53A9">
              <w:rPr>
                <w:rFonts w:cs="Calibri"/>
                <w:lang w:val="cs-CZ" w:eastAsia="cs-CZ"/>
              </w:rPr>
              <w:t xml:space="preserve"> 500</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1B0574" w:rsidP="006D1774">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9974DF">
            <w:pPr>
              <w:pStyle w:val="Tabulka"/>
              <w:rPr>
                <w:rFonts w:cs="Calibri"/>
                <w:lang w:val="cs-CZ" w:eastAsia="cs-CZ"/>
              </w:rPr>
            </w:pPr>
            <w:r w:rsidRPr="008B53A9">
              <w:rPr>
                <w:rFonts w:cs="Calibri"/>
                <w:lang w:val="cs-CZ" w:eastAsia="cs-CZ"/>
              </w:rPr>
              <w:t>průběžně</w:t>
            </w:r>
          </w:p>
        </w:tc>
      </w:tr>
      <w:tr w:rsidR="002A46AD"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A46AD" w:rsidRPr="008B53A9" w:rsidRDefault="008E174F" w:rsidP="005A765B">
            <w:pPr>
              <w:pStyle w:val="Tabulka"/>
              <w:rPr>
                <w:rFonts w:cs="Calibri"/>
                <w:lang w:val="cs-CZ" w:eastAsia="cs-CZ"/>
              </w:rPr>
            </w:pPr>
            <w:r w:rsidRPr="008B53A9">
              <w:rPr>
                <w:rFonts w:cs="Calibri"/>
                <w:lang w:val="cs-CZ" w:eastAsia="cs-CZ"/>
              </w:rPr>
              <w:t>C</w:t>
            </w:r>
            <w:r w:rsidR="00927ADD" w:rsidRPr="008B53A9">
              <w:rPr>
                <w:rFonts w:cs="Calibri"/>
                <w:lang w:val="cs-CZ" w:eastAsia="cs-CZ"/>
              </w:rPr>
              <w:t>/EFRR/0</w:t>
            </w:r>
            <w:r w:rsidR="002A46AD" w:rsidRPr="008B53A9">
              <w:rPr>
                <w:rFonts w:cs="Calibri"/>
                <w:lang w:val="cs-CZ" w:eastAsia="cs-CZ"/>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2A46AD" w:rsidRPr="008B53A9" w:rsidRDefault="00FE1B8C" w:rsidP="00DE124D">
            <w:pPr>
              <w:pStyle w:val="Tabulka"/>
              <w:jc w:val="left"/>
              <w:rPr>
                <w:rFonts w:cs="Calibri"/>
                <w:lang w:val="cs-CZ" w:eastAsia="cs-CZ"/>
              </w:rPr>
            </w:pPr>
            <w:r w:rsidRPr="008B53A9">
              <w:rPr>
                <w:rFonts w:cs="Calibri"/>
                <w:lang w:val="cs-CZ" w:eastAsia="cs-CZ"/>
              </w:rPr>
              <w:t>Počet podniků pobírajících nefinanční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2A46AD" w:rsidRPr="008B53A9" w:rsidRDefault="002A46AD" w:rsidP="00DE124D">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2A46AD" w:rsidRPr="008B53A9" w:rsidRDefault="002B3F69" w:rsidP="002A46AD">
            <w:pPr>
              <w:pStyle w:val="Tabulka"/>
              <w:rPr>
                <w:rFonts w:cs="Calibri"/>
                <w:lang w:val="cs-CZ" w:eastAsia="cs-CZ"/>
              </w:rPr>
            </w:pPr>
            <w:r w:rsidRPr="008B53A9">
              <w:rPr>
                <w:rFonts w:cs="Calibri"/>
                <w:lang w:val="cs-CZ" w:eastAsia="cs-CZ"/>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rsidR="002A46AD" w:rsidRPr="008B53A9" w:rsidRDefault="002A46AD" w:rsidP="00DE124D">
            <w:pPr>
              <w:pStyle w:val="Tabulka"/>
              <w:rPr>
                <w:rFonts w:cs="Calibri"/>
                <w:lang w:val="cs-CZ" w:eastAsia="cs-CZ"/>
              </w:rPr>
            </w:pPr>
            <w:r w:rsidRPr="008B53A9">
              <w:rPr>
                <w:rFonts w:cs="Calibri"/>
                <w:lang w:val="cs-CZ" w:eastAsia="cs-CZ"/>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rsidR="002A46AD" w:rsidRPr="008B53A9" w:rsidRDefault="00084ED8" w:rsidP="00DE124D">
            <w:pPr>
              <w:pStyle w:val="Tabulka"/>
              <w:rPr>
                <w:rFonts w:cs="Calibri"/>
                <w:lang w:val="cs-CZ" w:eastAsia="cs-CZ"/>
              </w:rPr>
            </w:pPr>
            <w:r w:rsidRPr="008B53A9">
              <w:rPr>
                <w:rFonts w:cs="Calibri"/>
                <w:lang w:val="cs-CZ" w:eastAsia="cs-CZ"/>
              </w:rPr>
              <w:t>3 000</w:t>
            </w:r>
          </w:p>
        </w:tc>
        <w:tc>
          <w:tcPr>
            <w:tcW w:w="0" w:type="auto"/>
            <w:tcBorders>
              <w:top w:val="single" w:sz="4" w:space="0" w:color="000000"/>
              <w:left w:val="single" w:sz="4" w:space="0" w:color="000000"/>
              <w:bottom w:val="single" w:sz="4" w:space="0" w:color="000000"/>
              <w:right w:val="single" w:sz="4" w:space="0" w:color="000000"/>
            </w:tcBorders>
            <w:vAlign w:val="center"/>
          </w:tcPr>
          <w:p w:rsidR="002A46AD" w:rsidRPr="008B53A9" w:rsidRDefault="002A46AD" w:rsidP="006D1774">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A46AD" w:rsidRPr="008B53A9" w:rsidRDefault="002A46AD" w:rsidP="009974DF">
            <w:pPr>
              <w:pStyle w:val="Tabulka"/>
              <w:rPr>
                <w:rFonts w:cs="Calibri"/>
                <w:lang w:val="cs-CZ" w:eastAsia="cs-CZ"/>
              </w:rPr>
            </w:pPr>
            <w:r w:rsidRPr="008B53A9">
              <w:rPr>
                <w:rFonts w:cs="Calibri"/>
                <w:lang w:val="cs-CZ" w:eastAsia="cs-CZ"/>
              </w:rPr>
              <w:t>čtvrtletně</w:t>
            </w:r>
          </w:p>
        </w:tc>
      </w:tr>
      <w:tr w:rsidR="006D177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8E174F" w:rsidP="005A765B">
            <w:pPr>
              <w:pStyle w:val="Tabulka"/>
              <w:rPr>
                <w:rFonts w:cs="Calibri"/>
                <w:lang w:val="cs-CZ" w:eastAsia="cs-CZ"/>
              </w:rPr>
            </w:pPr>
            <w:r w:rsidRPr="008B53A9">
              <w:rPr>
                <w:rFonts w:cs="Calibri"/>
                <w:lang w:val="cs-CZ" w:eastAsia="cs-CZ"/>
              </w:rPr>
              <w:t>C</w:t>
            </w:r>
            <w:r w:rsidR="00927ADD" w:rsidRPr="008B53A9">
              <w:rPr>
                <w:rFonts w:cs="Calibri"/>
                <w:lang w:val="cs-CZ" w:eastAsia="cs-CZ"/>
              </w:rPr>
              <w:t>/EFRR/0</w:t>
            </w:r>
            <w:r w:rsidR="006D1774" w:rsidRPr="008B53A9">
              <w:rPr>
                <w:rFonts w:cs="Calibri"/>
                <w:lang w:val="cs-CZ" w:eastAsia="cs-CZ"/>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EA2DBD" w:rsidP="00B5004C">
            <w:pPr>
              <w:pStyle w:val="Tabulka"/>
              <w:jc w:val="left"/>
              <w:rPr>
                <w:rFonts w:cs="Calibri"/>
                <w:lang w:val="cs-CZ" w:eastAsia="cs-CZ"/>
              </w:rPr>
            </w:pPr>
            <w:r w:rsidRPr="008B53A9">
              <w:rPr>
                <w:rFonts w:cs="Calibri"/>
                <w:lang w:val="cs-CZ" w:eastAsia="cs-CZ"/>
              </w:rPr>
              <w:t>Soukromé investice v projektech s veřejnou podporou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DE124D">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2B3F69" w:rsidP="002A46AD">
            <w:pPr>
              <w:pStyle w:val="Tabulka"/>
              <w:rPr>
                <w:rFonts w:cs="Calibri"/>
                <w:lang w:val="cs-CZ" w:eastAsia="cs-CZ"/>
              </w:rPr>
            </w:pPr>
            <w:r w:rsidRPr="008B53A9">
              <w:rPr>
                <w:rFonts w:cs="Calibri"/>
                <w:lang w:val="cs-CZ" w:eastAsia="cs-CZ"/>
              </w:rPr>
              <w:t>EFRR</w:t>
            </w:r>
          </w:p>
        </w:tc>
        <w:tc>
          <w:tcPr>
            <w:tcW w:w="1227"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DE124D">
            <w:pPr>
              <w:pStyle w:val="Tabulka"/>
              <w:rPr>
                <w:rFonts w:cs="Calibri"/>
                <w:lang w:val="cs-CZ" w:eastAsia="cs-CZ"/>
              </w:rPr>
            </w:pPr>
            <w:r w:rsidRPr="008B53A9">
              <w:rPr>
                <w:rFonts w:cs="Calibri"/>
                <w:lang w:val="cs-CZ" w:eastAsia="cs-CZ"/>
              </w:rPr>
              <w:t>Méně rozvinuté regiony</w:t>
            </w:r>
          </w:p>
        </w:tc>
        <w:tc>
          <w:tcPr>
            <w:tcW w:w="1237" w:type="dxa"/>
            <w:tcBorders>
              <w:top w:val="single" w:sz="4" w:space="0" w:color="000000"/>
              <w:left w:val="single" w:sz="4" w:space="0" w:color="000000"/>
              <w:bottom w:val="single" w:sz="4" w:space="0" w:color="000000"/>
              <w:right w:val="single" w:sz="4" w:space="0" w:color="000000"/>
            </w:tcBorders>
            <w:vAlign w:val="center"/>
          </w:tcPr>
          <w:p w:rsidR="006D1774" w:rsidRPr="008B53A9" w:rsidRDefault="006A2A56" w:rsidP="00DE124D">
            <w:pPr>
              <w:pStyle w:val="Tabulka"/>
              <w:rPr>
                <w:rFonts w:cs="Calibri"/>
                <w:lang w:val="cs-CZ" w:eastAsia="cs-CZ"/>
              </w:rPr>
            </w:pPr>
            <w:r w:rsidRPr="008B53A9">
              <w:rPr>
                <w:rFonts w:cs="Calibri"/>
                <w:lang w:val="cs-CZ" w:eastAsia="cs-CZ"/>
              </w:rPr>
              <w:t>98 8</w:t>
            </w:r>
            <w:r w:rsidR="00084ED8" w:rsidRPr="008B53A9">
              <w:rPr>
                <w:rFonts w:cs="Calibri"/>
                <w:lang w:val="cs-CZ" w:eastAsia="cs-CZ"/>
              </w:rPr>
              <w:t>00 000</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1B0574" w:rsidP="006D1774">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6D1774" w:rsidRPr="008B53A9" w:rsidRDefault="006D1774" w:rsidP="009974DF">
            <w:pPr>
              <w:pStyle w:val="Tabulka"/>
              <w:rPr>
                <w:rFonts w:cs="Calibri"/>
                <w:lang w:val="cs-CZ" w:eastAsia="cs-CZ"/>
              </w:rPr>
            </w:pPr>
            <w:r w:rsidRPr="008B53A9">
              <w:rPr>
                <w:rFonts w:cs="Calibri"/>
                <w:lang w:val="cs-CZ" w:eastAsia="cs-CZ"/>
              </w:rPr>
              <w:t>průběžně</w:t>
            </w:r>
          </w:p>
        </w:tc>
      </w:tr>
    </w:tbl>
    <w:p w:rsidR="00786F1A" w:rsidRPr="008B53A9" w:rsidRDefault="008C7D72" w:rsidP="005F43DF">
      <w:pPr>
        <w:pStyle w:val="kapitola2A0"/>
        <w:numPr>
          <w:ilvl w:val="2"/>
          <w:numId w:val="69"/>
        </w:numPr>
      </w:pPr>
      <w:bookmarkStart w:id="48" w:name="_Toc391539619"/>
      <w:r w:rsidRPr="008B53A9">
        <w:t>INVESTIČNÍ PRIORITA</w:t>
      </w:r>
      <w:r w:rsidR="00AA66A2" w:rsidRPr="008B53A9">
        <w:t xml:space="preserve"> 3 prioritní osy 2</w:t>
      </w:r>
      <w:r w:rsidRPr="008B53A9">
        <w:t xml:space="preserve">: </w:t>
      </w:r>
      <w:r w:rsidR="002641C7" w:rsidRPr="008B53A9">
        <w:t>Podpora vytváření a rozšiřování vyspělých</w:t>
      </w:r>
      <w:r w:rsidRPr="008B53A9">
        <w:t xml:space="preserve"> kapacit pro rozvoj produktů a služeb</w:t>
      </w:r>
      <w:bookmarkEnd w:id="48"/>
    </w:p>
    <w:p w:rsidR="00EB13D9" w:rsidRPr="008B53A9" w:rsidRDefault="008C7D72" w:rsidP="005F43DF">
      <w:pPr>
        <w:pStyle w:val="kapitola2A0"/>
        <w:numPr>
          <w:ilvl w:val="2"/>
          <w:numId w:val="69"/>
        </w:numPr>
      </w:pPr>
      <w:bookmarkStart w:id="49" w:name="_Toc391539620"/>
      <w:r w:rsidRPr="008B53A9">
        <w:t>Specifické cíle odpovídající investiční prioritě a očekávané výsledky</w:t>
      </w:r>
      <w:bookmarkEnd w:id="49"/>
    </w:p>
    <w:p w:rsidR="00EB13D9" w:rsidRPr="008B53A9" w:rsidRDefault="00EB13D9" w:rsidP="00396141">
      <w:pPr>
        <w:pStyle w:val="Modrnadpis"/>
      </w:pPr>
      <w:r w:rsidRPr="008B53A9">
        <w:t xml:space="preserve">SPECIFICKÝ CÍL </w:t>
      </w:r>
      <w:r w:rsidR="00C71E6F" w:rsidRPr="008B53A9">
        <w:t>2.</w:t>
      </w:r>
      <w:r w:rsidRPr="008B53A9">
        <w:t xml:space="preserve">3: </w:t>
      </w:r>
      <w:r w:rsidR="00C76EE3" w:rsidRPr="008B53A9">
        <w:t>Zvýš</w:t>
      </w:r>
      <w:r w:rsidR="00771951" w:rsidRPr="008B53A9">
        <w:t xml:space="preserve">it </w:t>
      </w:r>
      <w:r w:rsidR="00C76EE3" w:rsidRPr="008B53A9">
        <w:t>využitelnost infrastruktury pro podnikání</w:t>
      </w:r>
    </w:p>
    <w:p w:rsidR="005E45B6" w:rsidRPr="008B53A9" w:rsidRDefault="0097769C" w:rsidP="005E45B6">
      <w:pPr>
        <w:pStyle w:val="Standardntext"/>
      </w:pPr>
      <w:r w:rsidRPr="008B53A9">
        <w:t>Z</w:t>
      </w:r>
      <w:r w:rsidR="009D1769" w:rsidRPr="008B53A9">
        <w:t>astaralá podnikatelská infrastruktura a s ní spojené vysoké režijní náklady</w:t>
      </w:r>
      <w:r w:rsidRPr="008B53A9">
        <w:t xml:space="preserve"> do značné míry ovlivňují investice do rozšiřování stávající a inovativní výroby MSP</w:t>
      </w:r>
      <w:r w:rsidR="009D1769" w:rsidRPr="008B53A9">
        <w:t>.</w:t>
      </w:r>
      <w:r w:rsidRPr="008B53A9">
        <w:t xml:space="preserve"> </w:t>
      </w:r>
      <w:r w:rsidR="005E45B6" w:rsidRPr="008B53A9">
        <w:t xml:space="preserve">Rozvoj nových a inovativních podnikatelských aktivit je tak omezen nevhodnými parametry podnikatelských nemovitostí. Hlavním cílem je zvýšit využitelnost této infrastruktury, včetně využití </w:t>
      </w:r>
      <w:r w:rsidR="005E45B6" w:rsidRPr="008B53A9">
        <w:lastRenderedPageBreak/>
        <w:t>brownfield</w:t>
      </w:r>
      <w:r w:rsidR="00BF7E1C" w:rsidRPr="008B53A9">
        <w:t>ů</w:t>
      </w:r>
      <w:r w:rsidR="005E45B6" w:rsidRPr="008B53A9">
        <w:t>, umožňující přechod od běžné výroby v nízkých hodnotových stupních k inovativní výrobě.</w:t>
      </w:r>
    </w:p>
    <w:p w:rsidR="001A5C2A" w:rsidRPr="008B53A9" w:rsidRDefault="003508A9" w:rsidP="001A5C2A">
      <w:pPr>
        <w:pStyle w:val="Modrnadpis"/>
      </w:pPr>
      <w:r w:rsidRPr="008B53A9">
        <w:t>Výsledky, kterých chce ČR dosáhnout s podporou Unie</w:t>
      </w:r>
    </w:p>
    <w:p w:rsidR="001A5C2A" w:rsidRPr="008B53A9" w:rsidRDefault="005E45B6" w:rsidP="005F43DF">
      <w:pPr>
        <w:pStyle w:val="Standardntext"/>
        <w:numPr>
          <w:ilvl w:val="0"/>
          <w:numId w:val="56"/>
        </w:numPr>
      </w:pPr>
      <w:r w:rsidRPr="008B53A9">
        <w:t>Zvýšení využití prostorově a ekonomicky vyhovující podnikatelské infrastruktury, včetně typu brownfield, umožní MSP přechod od běžné výroby na výrobu s vyšší technickou a technologickou úrovní zajišťující konkurenceschopnost, vysokou přidanou hodnotu, včetně možnosti proniknout s produkcí na zahraniční trhy.</w:t>
      </w:r>
    </w:p>
    <w:p w:rsidR="00EB13D9" w:rsidRPr="008B53A9" w:rsidRDefault="00EB13D9" w:rsidP="00EB13D9">
      <w:pPr>
        <w:pStyle w:val="Titulek"/>
        <w:keepNext/>
        <w:rPr>
          <w:rFonts w:cs="Calibri"/>
        </w:rPr>
      </w:pPr>
      <w:r w:rsidRPr="008B53A9">
        <w:rPr>
          <w:rFonts w:cs="Calibri"/>
        </w:rPr>
        <w:t xml:space="preserve">Tabulka </w:t>
      </w:r>
      <w:r w:rsidR="00955F90" w:rsidRPr="008B53A9">
        <w:rPr>
          <w:rFonts w:cs="Calibri"/>
        </w:rPr>
        <w:fldChar w:fldCharType="begin"/>
      </w:r>
      <w:r w:rsidR="00955F90" w:rsidRPr="008B53A9">
        <w:rPr>
          <w:rFonts w:cs="Calibri"/>
        </w:rPr>
        <w:instrText xml:space="preserve"> SEQ Tabulka \* ARABIC \r3 </w:instrText>
      </w:r>
      <w:r w:rsidR="00955F90" w:rsidRPr="008B53A9">
        <w:rPr>
          <w:rFonts w:cs="Calibri"/>
        </w:rPr>
        <w:fldChar w:fldCharType="separate"/>
      </w:r>
      <w:r w:rsidR="00E54216" w:rsidRPr="008B53A9">
        <w:rPr>
          <w:rFonts w:cs="Calibri"/>
          <w:noProof/>
        </w:rPr>
        <w:t>3</w:t>
      </w:r>
      <w:r w:rsidR="00955F90" w:rsidRPr="008B53A9">
        <w:rPr>
          <w:rFonts w:cs="Calibri"/>
        </w:rPr>
        <w:fldChar w:fldCharType="end"/>
      </w:r>
      <w:r w:rsidR="00955F90" w:rsidRPr="008B53A9">
        <w:rPr>
          <w:rFonts w:cs="Calibri"/>
        </w:rPr>
        <w:t>a</w:t>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5000" w:type="pct"/>
        <w:tblLayout w:type="fixed"/>
        <w:tblCellMar>
          <w:left w:w="57" w:type="dxa"/>
          <w:right w:w="57" w:type="dxa"/>
        </w:tblCellMar>
        <w:tblLook w:val="01E0" w:firstRow="1" w:lastRow="1" w:firstColumn="1" w:lastColumn="1" w:noHBand="0" w:noVBand="0"/>
      </w:tblPr>
      <w:tblGrid>
        <w:gridCol w:w="766"/>
        <w:gridCol w:w="1559"/>
        <w:gridCol w:w="998"/>
        <w:gridCol w:w="1117"/>
        <w:gridCol w:w="862"/>
        <w:gridCol w:w="851"/>
        <w:gridCol w:w="1136"/>
        <w:gridCol w:w="992"/>
        <w:gridCol w:w="1045"/>
      </w:tblGrid>
      <w:tr w:rsidR="006103E6" w:rsidRPr="008B53A9" w:rsidTr="00835369">
        <w:trPr>
          <w:trHeight w:hRule="exact" w:val="1262"/>
        </w:trPr>
        <w:tc>
          <w:tcPr>
            <w:tcW w:w="411"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sz w:val="20"/>
                <w:lang w:val="cs-CZ" w:eastAsia="cs-CZ"/>
              </w:rPr>
            </w:pPr>
            <w:r w:rsidRPr="008B53A9">
              <w:rPr>
                <w:rFonts w:cs="Calibri"/>
                <w:b/>
                <w:bCs/>
                <w:sz w:val="20"/>
                <w:lang w:val="cs-CZ" w:eastAsia="cs-CZ"/>
              </w:rPr>
              <w:t>ID</w:t>
            </w:r>
          </w:p>
        </w:tc>
        <w:tc>
          <w:tcPr>
            <w:tcW w:w="836"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sz w:val="20"/>
                <w:lang w:val="cs-CZ" w:eastAsia="cs-CZ"/>
              </w:rPr>
            </w:pPr>
            <w:r w:rsidRPr="008B53A9">
              <w:rPr>
                <w:rFonts w:cs="Calibri"/>
                <w:b/>
                <w:bCs/>
                <w:sz w:val="20"/>
                <w:lang w:val="cs-CZ" w:eastAsia="cs-CZ"/>
              </w:rPr>
              <w:t>Ukazatel</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sz w:val="20"/>
                <w:lang w:val="cs-CZ" w:eastAsia="cs-CZ"/>
              </w:rPr>
            </w:pPr>
            <w:r w:rsidRPr="008B53A9">
              <w:rPr>
                <w:rFonts w:cs="Calibri"/>
                <w:b/>
                <w:bCs/>
                <w:sz w:val="20"/>
                <w:lang w:val="cs-CZ" w:eastAsia="cs-CZ"/>
              </w:rPr>
              <w:t>Měrná</w:t>
            </w:r>
          </w:p>
          <w:p w:rsidR="00CF739D" w:rsidRPr="008B53A9" w:rsidRDefault="00CF739D" w:rsidP="001B2E5C">
            <w:pPr>
              <w:pStyle w:val="Tabulka"/>
              <w:rPr>
                <w:rFonts w:cs="Calibri"/>
                <w:b/>
                <w:bCs/>
                <w:sz w:val="20"/>
                <w:lang w:val="cs-CZ" w:eastAsia="cs-CZ"/>
              </w:rPr>
            </w:pPr>
            <w:r w:rsidRPr="008B53A9">
              <w:rPr>
                <w:rFonts w:cs="Calibri"/>
                <w:b/>
                <w:bCs/>
                <w:sz w:val="20"/>
                <w:lang w:val="cs-CZ" w:eastAsia="cs-CZ"/>
              </w:rPr>
              <w:t>jednotka</w:t>
            </w:r>
          </w:p>
        </w:tc>
        <w:tc>
          <w:tcPr>
            <w:tcW w:w="599"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sz w:val="20"/>
                <w:lang w:val="cs-CZ" w:eastAsia="cs-CZ"/>
              </w:rPr>
            </w:pPr>
            <w:r w:rsidRPr="008B53A9">
              <w:rPr>
                <w:rFonts w:cs="Calibri"/>
                <w:b/>
                <w:bCs/>
                <w:sz w:val="20"/>
                <w:lang w:val="cs-CZ" w:eastAsia="cs-CZ"/>
              </w:rPr>
              <w:t>Kategorie regionů (je-li relevantní)</w:t>
            </w:r>
          </w:p>
        </w:tc>
        <w:tc>
          <w:tcPr>
            <w:tcW w:w="46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1B2E5C">
            <w:pPr>
              <w:pStyle w:val="Tabulka"/>
              <w:rPr>
                <w:rFonts w:cs="Calibri"/>
                <w:b/>
                <w:bCs/>
                <w:sz w:val="20"/>
                <w:lang w:val="cs-CZ" w:eastAsia="cs-CZ"/>
              </w:rPr>
            </w:pPr>
            <w:r w:rsidRPr="008B53A9">
              <w:rPr>
                <w:rFonts w:cs="Calibri"/>
                <w:b/>
                <w:bCs/>
                <w:sz w:val="20"/>
                <w:lang w:val="cs-CZ" w:eastAsia="cs-CZ"/>
              </w:rPr>
              <w:t>Výchozí hodnota</w:t>
            </w:r>
          </w:p>
        </w:tc>
        <w:tc>
          <w:tcPr>
            <w:tcW w:w="456"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rPr>
                <w:rFonts w:cs="Calibri"/>
                <w:b/>
                <w:bCs/>
                <w:sz w:val="20"/>
                <w:lang w:val="cs-CZ" w:eastAsia="cs-CZ"/>
              </w:rPr>
            </w:pPr>
            <w:r w:rsidRPr="008B53A9">
              <w:rPr>
                <w:rFonts w:cs="Calibri"/>
                <w:b/>
                <w:bCs/>
                <w:sz w:val="20"/>
                <w:lang w:val="cs-CZ" w:eastAsia="cs-CZ"/>
              </w:rPr>
              <w:t xml:space="preserve">Výchozí </w:t>
            </w:r>
            <w:r w:rsidR="00CF739D" w:rsidRPr="008B53A9">
              <w:rPr>
                <w:rFonts w:cs="Calibri"/>
                <w:b/>
                <w:bCs/>
                <w:sz w:val="20"/>
                <w:lang w:val="cs-CZ" w:eastAsia="cs-CZ"/>
              </w:rPr>
              <w:t>rok</w:t>
            </w:r>
          </w:p>
        </w:tc>
        <w:tc>
          <w:tcPr>
            <w:tcW w:w="609"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sz w:val="20"/>
                <w:lang w:val="cs-CZ" w:eastAsia="cs-CZ"/>
              </w:rPr>
            </w:pPr>
            <w:r w:rsidRPr="008B53A9">
              <w:rPr>
                <w:rFonts w:cs="Calibri"/>
                <w:b/>
                <w:bCs/>
                <w:sz w:val="20"/>
                <w:lang w:val="cs-CZ" w:eastAsia="cs-CZ"/>
              </w:rPr>
              <w:t>Cílová hodnota (2023)</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sz w:val="20"/>
                <w:lang w:val="cs-CZ" w:eastAsia="cs-CZ"/>
              </w:rPr>
            </w:pPr>
            <w:r w:rsidRPr="008B53A9">
              <w:rPr>
                <w:rFonts w:cs="Calibri"/>
                <w:b/>
                <w:bCs/>
                <w:sz w:val="20"/>
                <w:lang w:val="cs-CZ" w:eastAsia="cs-CZ"/>
              </w:rPr>
              <w:t>Zdroj údajů</w:t>
            </w:r>
          </w:p>
        </w:tc>
        <w:tc>
          <w:tcPr>
            <w:tcW w:w="560"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1B2E5C">
            <w:pPr>
              <w:pStyle w:val="Tabulka"/>
              <w:rPr>
                <w:rFonts w:cs="Calibri"/>
                <w:b/>
                <w:bCs/>
                <w:sz w:val="20"/>
                <w:lang w:val="cs-CZ" w:eastAsia="cs-CZ"/>
              </w:rPr>
            </w:pPr>
            <w:r w:rsidRPr="008B53A9">
              <w:rPr>
                <w:rFonts w:cs="Calibri"/>
                <w:b/>
                <w:bCs/>
                <w:sz w:val="20"/>
                <w:lang w:val="cs-CZ" w:eastAsia="cs-CZ"/>
              </w:rPr>
              <w:t>Četnost podávání zpráv</w:t>
            </w:r>
          </w:p>
        </w:tc>
      </w:tr>
      <w:tr w:rsidR="006103E6" w:rsidRPr="008B53A9" w:rsidTr="00835369">
        <w:trPr>
          <w:trHeight w:hRule="exact" w:val="2008"/>
        </w:trPr>
        <w:tc>
          <w:tcPr>
            <w:tcW w:w="411"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8367DB" w:rsidP="00EB13D9">
            <w:pPr>
              <w:pStyle w:val="Tabulka"/>
              <w:rPr>
                <w:rFonts w:cs="Calibri"/>
                <w:lang w:val="cs-CZ" w:eastAsia="cs-CZ"/>
              </w:rPr>
            </w:pPr>
            <w:r w:rsidRPr="008B53A9">
              <w:rPr>
                <w:rFonts w:cs="Calibri"/>
                <w:lang w:val="cs-CZ" w:eastAsia="cs-CZ"/>
              </w:rPr>
              <w:t>33300</w:t>
            </w:r>
          </w:p>
        </w:tc>
        <w:tc>
          <w:tcPr>
            <w:tcW w:w="836"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AA6101" w:rsidP="00AF574A">
            <w:pPr>
              <w:pStyle w:val="Tabulka"/>
              <w:jc w:val="left"/>
              <w:rPr>
                <w:rFonts w:cs="Calibri"/>
                <w:lang w:val="cs-CZ" w:eastAsia="cs-CZ"/>
              </w:rPr>
            </w:pPr>
            <w:r w:rsidRPr="008B53A9">
              <w:rPr>
                <w:rFonts w:cs="Calibri"/>
                <w:lang w:val="cs-CZ" w:eastAsia="cs-CZ"/>
              </w:rPr>
              <w:t>Celková rozloha regenerovaných lokalit v Národní databázi brownfieldů</w:t>
            </w:r>
          </w:p>
        </w:tc>
        <w:tc>
          <w:tcPr>
            <w:tcW w:w="535"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AA6101" w:rsidP="00EB13D9">
            <w:pPr>
              <w:pStyle w:val="Tabulka"/>
              <w:rPr>
                <w:rFonts w:ascii="Calibri" w:hAnsi="Calibri" w:cs="Calibri"/>
                <w:vertAlign w:val="superscript"/>
                <w:lang w:val="cs-CZ" w:eastAsia="cs-CZ"/>
              </w:rPr>
            </w:pPr>
            <w:r w:rsidRPr="008B53A9">
              <w:rPr>
                <w:rFonts w:cs="Calibri"/>
                <w:lang w:val="cs-CZ" w:eastAsia="cs-CZ"/>
              </w:rPr>
              <w:t>m</w:t>
            </w:r>
            <w:r w:rsidRPr="008B53A9">
              <w:rPr>
                <w:rFonts w:ascii="Calibri" w:hAnsi="Calibri" w:cs="Calibri"/>
                <w:vertAlign w:val="superscript"/>
                <w:lang w:val="cs-CZ" w:eastAsia="cs-CZ"/>
              </w:rPr>
              <w:t>2</w:t>
            </w:r>
          </w:p>
        </w:tc>
        <w:tc>
          <w:tcPr>
            <w:tcW w:w="599"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6D1774" w:rsidP="00EB13D9">
            <w:pPr>
              <w:pStyle w:val="Tabulka"/>
              <w:rPr>
                <w:rFonts w:cs="Calibri"/>
                <w:lang w:val="cs-CZ" w:eastAsia="cs-CZ"/>
              </w:rPr>
            </w:pPr>
            <w:r w:rsidRPr="008B53A9">
              <w:rPr>
                <w:rFonts w:cs="Calibri"/>
                <w:lang w:val="cs-CZ" w:eastAsia="cs-CZ"/>
              </w:rPr>
              <w:t>Méně rozvinuté regiony</w:t>
            </w:r>
          </w:p>
        </w:tc>
        <w:tc>
          <w:tcPr>
            <w:tcW w:w="462"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1231B7" w:rsidP="00EB13D9">
            <w:pPr>
              <w:pStyle w:val="Tabulka"/>
              <w:rPr>
                <w:rFonts w:cs="Calibri"/>
                <w:lang w:val="cs-CZ" w:eastAsia="cs-CZ"/>
              </w:rPr>
            </w:pPr>
            <w:r w:rsidRPr="008B53A9">
              <w:rPr>
                <w:rFonts w:cs="Calibri"/>
                <w:lang w:val="cs-CZ" w:eastAsia="cs-CZ"/>
              </w:rPr>
              <w:t>258 756 977</w:t>
            </w:r>
          </w:p>
        </w:tc>
        <w:tc>
          <w:tcPr>
            <w:tcW w:w="456"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6D1774" w:rsidP="00EB13D9">
            <w:pPr>
              <w:pStyle w:val="Tabulka"/>
              <w:rPr>
                <w:rFonts w:cs="Calibri"/>
                <w:lang w:val="cs-CZ" w:eastAsia="cs-CZ"/>
              </w:rPr>
            </w:pPr>
            <w:r w:rsidRPr="008B53A9">
              <w:rPr>
                <w:rFonts w:cs="Calibri"/>
                <w:lang w:val="cs-CZ" w:eastAsia="cs-CZ"/>
              </w:rPr>
              <w:t>2014</w:t>
            </w:r>
          </w:p>
        </w:tc>
        <w:tc>
          <w:tcPr>
            <w:tcW w:w="609"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C56354" w:rsidP="00EB13D9">
            <w:pPr>
              <w:pStyle w:val="Tabulka"/>
              <w:rPr>
                <w:rFonts w:cs="Calibri"/>
                <w:lang w:val="cs-CZ" w:eastAsia="cs-CZ"/>
              </w:rPr>
            </w:pPr>
            <w:r w:rsidRPr="008B53A9">
              <w:rPr>
                <w:rFonts w:cs="Calibri"/>
                <w:sz w:val="20"/>
                <w:lang w:val="cs-CZ" w:eastAsia="cs-CZ"/>
              </w:rPr>
              <w:t>259 000 000 – 260 500 000</w:t>
            </w:r>
          </w:p>
        </w:tc>
        <w:tc>
          <w:tcPr>
            <w:tcW w:w="532"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1231B7" w:rsidP="006D1774">
            <w:pPr>
              <w:pStyle w:val="Tabulka"/>
              <w:rPr>
                <w:rFonts w:cs="Calibri"/>
                <w:lang w:val="cs-CZ" w:eastAsia="cs-CZ"/>
              </w:rPr>
            </w:pPr>
            <w:r w:rsidRPr="008B53A9">
              <w:rPr>
                <w:rFonts w:cs="Calibri"/>
                <w:lang w:val="cs-CZ" w:eastAsia="cs-CZ"/>
              </w:rPr>
              <w:t>ŘO na základě dat agentury Czech</w:t>
            </w:r>
            <w:r w:rsidR="007B391E" w:rsidRPr="008B53A9">
              <w:rPr>
                <w:rFonts w:cs="Calibri"/>
                <w:lang w:val="cs-CZ" w:eastAsia="cs-CZ"/>
              </w:rPr>
              <w:t>-</w:t>
            </w:r>
            <w:r w:rsidRPr="008B53A9">
              <w:rPr>
                <w:rFonts w:cs="Calibri"/>
                <w:lang w:val="cs-CZ" w:eastAsia="cs-CZ"/>
              </w:rPr>
              <w:t>Invest</w:t>
            </w:r>
          </w:p>
        </w:tc>
        <w:tc>
          <w:tcPr>
            <w:tcW w:w="560"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6D1774" w:rsidP="00EB13D9">
            <w:pPr>
              <w:pStyle w:val="Tabulka"/>
              <w:rPr>
                <w:rFonts w:cs="Calibri"/>
                <w:lang w:val="cs-CZ" w:eastAsia="cs-CZ"/>
              </w:rPr>
            </w:pPr>
            <w:r w:rsidRPr="008B53A9">
              <w:rPr>
                <w:rFonts w:cs="Calibri"/>
                <w:lang w:val="cs-CZ" w:eastAsia="cs-CZ"/>
              </w:rPr>
              <w:t>průběžně</w:t>
            </w:r>
          </w:p>
        </w:tc>
      </w:tr>
    </w:tbl>
    <w:p w:rsidR="00EB13D9" w:rsidRPr="008B53A9" w:rsidRDefault="00EB13D9" w:rsidP="00396141">
      <w:pPr>
        <w:pStyle w:val="Modrnadpis"/>
      </w:pPr>
      <w:bookmarkStart w:id="50" w:name="_Toc351464374"/>
      <w:r w:rsidRPr="008B53A9">
        <w:t xml:space="preserve">SPECIFICKÝ CÍL </w:t>
      </w:r>
      <w:r w:rsidR="00C71E6F" w:rsidRPr="008B53A9">
        <w:t>2.</w:t>
      </w:r>
      <w:r w:rsidRPr="008B53A9">
        <w:t xml:space="preserve">4: </w:t>
      </w:r>
      <w:r w:rsidR="00AC3ECC" w:rsidRPr="008B53A9">
        <w:t>Zvýšit kapacitu pro odborné vzdělávání v MSP</w:t>
      </w:r>
    </w:p>
    <w:bookmarkEnd w:id="50"/>
    <w:p w:rsidR="009D1769" w:rsidRPr="008B53A9" w:rsidRDefault="009D1769" w:rsidP="009D1769">
      <w:pPr>
        <w:pStyle w:val="Standardntext"/>
      </w:pPr>
      <w:r w:rsidRPr="008B53A9">
        <w:t>MSP se potýkají s nedostatkem kvalifikované pracovní síly v podnikání, včetně inovačních procesů vyžadujících rozvoj odborných znalostí a dovedností. S novými technologiemi souvisí nutnost zaměstnavatelů se s těmito změnami seznámit a proškolit své zaměstnance. V sektoru MSP není dostatek kapacit pro rozvoj zaměstnanců. Hlavním cílem je proto rozvoj nové a využití stávající infrastruktury pro vzdělávání a rozvoj lidských zdrojů v podnikatelském sektoru.</w:t>
      </w:r>
    </w:p>
    <w:p w:rsidR="001A5C2A" w:rsidRPr="008B53A9" w:rsidRDefault="003508A9" w:rsidP="001A5C2A">
      <w:pPr>
        <w:pStyle w:val="Modrnadpis"/>
      </w:pPr>
      <w:r w:rsidRPr="008B53A9">
        <w:t>Výsledky, kterých chce ČR dosáhnout s podporou Unie</w:t>
      </w:r>
    </w:p>
    <w:p w:rsidR="009D1769" w:rsidRPr="008B53A9" w:rsidRDefault="009D1769" w:rsidP="005F43DF">
      <w:pPr>
        <w:pStyle w:val="Standardntext"/>
        <w:numPr>
          <w:ilvl w:val="0"/>
          <w:numId w:val="57"/>
        </w:numPr>
      </w:pPr>
      <w:r w:rsidRPr="008B53A9">
        <w:t xml:space="preserve">Odpovídající zajištění materiálních (moderní stroje a další vybavení či lokace využitelné pro zaškolování) kapacit podniků pro zajištění produktivních činností souvisejících se </w:t>
      </w:r>
      <w:r w:rsidRPr="008B53A9">
        <w:rPr>
          <w:color w:val="000000"/>
        </w:rPr>
        <w:t>vzděláváním a rozvojem lidských zdrojů zaměstnanců i zaměstnavatelů.</w:t>
      </w:r>
    </w:p>
    <w:p w:rsidR="009D1769" w:rsidRPr="008B53A9" w:rsidRDefault="009D1769" w:rsidP="005F43DF">
      <w:pPr>
        <w:pStyle w:val="Standardntext"/>
        <w:numPr>
          <w:ilvl w:val="0"/>
          <w:numId w:val="57"/>
        </w:numPr>
      </w:pPr>
      <w:r w:rsidRPr="008B53A9">
        <w:t>Rozvoj a využití prostorových a te</w:t>
      </w:r>
      <w:r w:rsidR="00D71D1A" w:rsidRPr="008B53A9">
        <w:t>chnických podmínek umožní prohloubit znalosti a dovednosti</w:t>
      </w:r>
      <w:r w:rsidRPr="008B53A9">
        <w:t xml:space="preserve"> v oblasti odborného vzdělávání.</w:t>
      </w:r>
    </w:p>
    <w:p w:rsidR="00114156" w:rsidRPr="008B53A9" w:rsidRDefault="00114156" w:rsidP="005D178C">
      <w:pPr>
        <w:pStyle w:val="Textkomente"/>
        <w:numPr>
          <w:ilvl w:val="0"/>
          <w:numId w:val="85"/>
        </w:numPr>
        <w:rPr>
          <w:rFonts w:ascii="Times New Roman" w:hAnsi="Times New Roman"/>
          <w:sz w:val="24"/>
          <w:szCs w:val="24"/>
        </w:rPr>
      </w:pPr>
      <w:r w:rsidRPr="008B53A9">
        <w:rPr>
          <w:rFonts w:ascii="Times New Roman" w:hAnsi="Times New Roman"/>
          <w:sz w:val="24"/>
          <w:szCs w:val="24"/>
        </w:rPr>
        <w:t>Zvýšení produktivity práce v sektoru MSP, mj. i v důsledku vzdělávání zaměstnanců a zaměstnavatelů a rozvoje lidských zdrojů v podnicích.</w:t>
      </w:r>
    </w:p>
    <w:p w:rsidR="00114156" w:rsidRPr="008B53A9" w:rsidRDefault="00114156" w:rsidP="005D178C">
      <w:pPr>
        <w:pStyle w:val="Textkomente"/>
        <w:numPr>
          <w:ilvl w:val="0"/>
          <w:numId w:val="85"/>
        </w:numPr>
        <w:rPr>
          <w:rFonts w:ascii="Times New Roman" w:hAnsi="Times New Roman"/>
          <w:sz w:val="24"/>
          <w:szCs w:val="24"/>
        </w:rPr>
      </w:pPr>
      <w:r w:rsidRPr="008B53A9">
        <w:rPr>
          <w:rFonts w:ascii="Times New Roman" w:hAnsi="Times New Roman"/>
          <w:sz w:val="24"/>
          <w:szCs w:val="24"/>
        </w:rPr>
        <w:t>Zvýšení podílů osob v produktivním věku účastnících se dalšího vzdělávání</w:t>
      </w:r>
    </w:p>
    <w:p w:rsidR="00114156" w:rsidRPr="008B53A9" w:rsidRDefault="00114156" w:rsidP="005F43DF">
      <w:pPr>
        <w:pStyle w:val="Standardntext"/>
        <w:numPr>
          <w:ilvl w:val="0"/>
          <w:numId w:val="57"/>
        </w:numPr>
      </w:pPr>
      <w:r w:rsidRPr="008B53A9">
        <w:lastRenderedPageBreak/>
        <w:t xml:space="preserve"> Zvýšení inovačních aktivit MSP v důsledku lepší dostupnosti kvalifikovaných lidských zdrojů</w:t>
      </w:r>
    </w:p>
    <w:p w:rsidR="00EB13D9" w:rsidRPr="008B53A9" w:rsidRDefault="00EB13D9" w:rsidP="008000BE">
      <w:pPr>
        <w:pStyle w:val="Titulek"/>
        <w:keepNext/>
        <w:keepLines/>
        <w:rPr>
          <w:rFonts w:cs="Calibri"/>
        </w:rPr>
      </w:pPr>
      <w:r w:rsidRPr="008B53A9">
        <w:rPr>
          <w:rFonts w:cs="Calibri"/>
        </w:rPr>
        <w:t xml:space="preserve">Tabulka </w:t>
      </w:r>
      <w:r w:rsidR="00955F90" w:rsidRPr="008B53A9">
        <w:rPr>
          <w:rFonts w:cs="Calibri"/>
        </w:rPr>
        <w:fldChar w:fldCharType="begin"/>
      </w:r>
      <w:r w:rsidR="00955F90" w:rsidRPr="008B53A9">
        <w:rPr>
          <w:rFonts w:cs="Calibri"/>
        </w:rPr>
        <w:instrText xml:space="preserve"> SEQ Tabulka \* ARABIC \r3 </w:instrText>
      </w:r>
      <w:r w:rsidR="00955F90" w:rsidRPr="008B53A9">
        <w:rPr>
          <w:rFonts w:cs="Calibri"/>
        </w:rPr>
        <w:fldChar w:fldCharType="separate"/>
      </w:r>
      <w:r w:rsidR="00E54216" w:rsidRPr="008B53A9">
        <w:rPr>
          <w:rFonts w:cs="Calibri"/>
          <w:noProof/>
        </w:rPr>
        <w:t>3</w:t>
      </w:r>
      <w:r w:rsidR="00955F90" w:rsidRPr="008B53A9">
        <w:rPr>
          <w:rFonts w:cs="Calibri"/>
        </w:rPr>
        <w:fldChar w:fldCharType="end"/>
      </w:r>
      <w:r w:rsidR="00955F90" w:rsidRPr="008B53A9">
        <w:rPr>
          <w:rFonts w:cs="Calibri"/>
        </w:rPr>
        <w:t>b</w:t>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908"/>
        <w:gridCol w:w="1470"/>
        <w:gridCol w:w="946"/>
        <w:gridCol w:w="1183"/>
        <w:gridCol w:w="885"/>
        <w:gridCol w:w="873"/>
        <w:gridCol w:w="1022"/>
        <w:gridCol w:w="1002"/>
        <w:gridCol w:w="1037"/>
      </w:tblGrid>
      <w:tr w:rsidR="00CF739D" w:rsidRPr="008B53A9" w:rsidTr="00835369">
        <w:trPr>
          <w:trHeight w:hRule="exact" w:val="1221"/>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ID</w:t>
            </w:r>
          </w:p>
        </w:tc>
        <w:tc>
          <w:tcPr>
            <w:tcW w:w="788"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Měrná</w:t>
            </w:r>
          </w:p>
          <w:p w:rsidR="00CF739D" w:rsidRPr="008B53A9" w:rsidRDefault="00CF739D" w:rsidP="008000BE">
            <w:pPr>
              <w:pStyle w:val="Tabulka"/>
              <w:keepNext/>
              <w:keepLines/>
              <w:rPr>
                <w:rFonts w:cs="Calibri"/>
                <w:b/>
                <w:bCs/>
                <w:lang w:val="cs-CZ" w:eastAsia="cs-CZ"/>
              </w:rPr>
            </w:pPr>
            <w:r w:rsidRPr="008B53A9">
              <w:rPr>
                <w:rFonts w:cs="Calibri"/>
                <w:b/>
                <w:bCs/>
                <w:lang w:val="cs-CZ" w:eastAsia="cs-CZ"/>
              </w:rPr>
              <w:t>jednotka</w:t>
            </w:r>
          </w:p>
        </w:tc>
        <w:tc>
          <w:tcPr>
            <w:tcW w:w="634"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8000BE">
            <w:pPr>
              <w:pStyle w:val="Tabulka"/>
              <w:keepNext/>
              <w:keepLines/>
              <w:rPr>
                <w:rFonts w:cs="Calibri"/>
                <w:b/>
                <w:bCs/>
                <w:lang w:val="cs-CZ" w:eastAsia="cs-CZ"/>
              </w:rPr>
            </w:pPr>
            <w:r w:rsidRPr="008B53A9">
              <w:rPr>
                <w:rFonts w:cs="Calibri"/>
                <w:b/>
                <w:bCs/>
                <w:lang w:val="cs-CZ" w:eastAsia="cs-CZ"/>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keepNext/>
              <w:keepLines/>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548"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Cílová hodnota (2023)</w:t>
            </w:r>
          </w:p>
        </w:tc>
        <w:tc>
          <w:tcPr>
            <w:tcW w:w="53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Zdroj údajů</w:t>
            </w:r>
          </w:p>
        </w:tc>
        <w:tc>
          <w:tcPr>
            <w:tcW w:w="556"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Četnost podávání zpráv</w:t>
            </w:r>
          </w:p>
        </w:tc>
      </w:tr>
      <w:tr w:rsidR="00EB13D9" w:rsidRPr="008B53A9" w:rsidTr="00835369">
        <w:trPr>
          <w:trHeight w:hRule="exact" w:val="1211"/>
        </w:trPr>
        <w:tc>
          <w:tcPr>
            <w:tcW w:w="487"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712D3C" w:rsidP="008000BE">
            <w:pPr>
              <w:pStyle w:val="Tabulka"/>
              <w:keepNext/>
              <w:keepLines/>
              <w:rPr>
                <w:rFonts w:cs="Calibri"/>
                <w:lang w:val="cs-CZ" w:eastAsia="cs-CZ"/>
              </w:rPr>
            </w:pPr>
            <w:r w:rsidRPr="008B53A9">
              <w:rPr>
                <w:rFonts w:cs="Calibri"/>
                <w:lang w:val="cs-CZ" w:eastAsia="cs-CZ"/>
              </w:rPr>
              <w:t>50010</w:t>
            </w:r>
          </w:p>
        </w:tc>
        <w:tc>
          <w:tcPr>
            <w:tcW w:w="788"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9D1769" w:rsidP="008000BE">
            <w:pPr>
              <w:pStyle w:val="Tabulka"/>
              <w:keepNext/>
              <w:keepLines/>
              <w:jc w:val="left"/>
              <w:rPr>
                <w:rFonts w:cs="Calibri"/>
                <w:lang w:val="cs-CZ" w:eastAsia="cs-CZ"/>
              </w:rPr>
            </w:pPr>
            <w:r w:rsidRPr="008B53A9">
              <w:rPr>
                <w:rFonts w:cs="Calibri"/>
                <w:lang w:val="cs-CZ" w:eastAsia="cs-CZ"/>
              </w:rPr>
              <w:t>Kapacita školících a vzdělávacích středisek</w:t>
            </w:r>
          </w:p>
        </w:tc>
        <w:tc>
          <w:tcPr>
            <w:tcW w:w="507"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804607" w:rsidP="008000BE">
            <w:pPr>
              <w:pStyle w:val="Tabulka"/>
              <w:keepNext/>
              <w:keepLines/>
              <w:rPr>
                <w:rFonts w:cs="Calibri"/>
                <w:vertAlign w:val="superscript"/>
                <w:lang w:val="cs-CZ" w:eastAsia="cs-CZ"/>
              </w:rPr>
            </w:pPr>
            <w:r w:rsidRPr="008B53A9">
              <w:rPr>
                <w:rFonts w:cs="Calibri"/>
                <w:lang w:val="cs-CZ" w:eastAsia="cs-CZ"/>
              </w:rPr>
              <w:t>osoby</w:t>
            </w:r>
          </w:p>
        </w:tc>
        <w:tc>
          <w:tcPr>
            <w:tcW w:w="634"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8165DC" w:rsidP="008000BE">
            <w:pPr>
              <w:pStyle w:val="Tabulka"/>
              <w:keepNext/>
              <w:keepLines/>
              <w:rPr>
                <w:rFonts w:cs="Calibri"/>
                <w:lang w:val="cs-CZ" w:eastAsia="cs-CZ"/>
              </w:rPr>
            </w:pPr>
            <w:r w:rsidRPr="008B53A9">
              <w:rPr>
                <w:rFonts w:cs="Calibri"/>
                <w:lang w:val="cs-CZ" w:eastAsia="cs-CZ"/>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3E189B" w:rsidP="008000BE">
            <w:pPr>
              <w:pStyle w:val="Tabulka"/>
              <w:keepNext/>
              <w:keepLines/>
              <w:rPr>
                <w:rFonts w:cs="Calibri"/>
                <w:lang w:val="cs-CZ" w:eastAsia="cs-CZ"/>
              </w:rPr>
            </w:pPr>
            <w:r w:rsidRPr="008B53A9">
              <w:rPr>
                <w:rFonts w:cs="Calibri"/>
                <w:lang w:val="cs-CZ" w:eastAsia="cs-CZ"/>
              </w:rPr>
              <w:t>23 749</w:t>
            </w:r>
          </w:p>
        </w:tc>
        <w:tc>
          <w:tcPr>
            <w:tcW w:w="468"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8165DC" w:rsidP="008000BE">
            <w:pPr>
              <w:pStyle w:val="Tabulka"/>
              <w:keepNext/>
              <w:keepLines/>
              <w:rPr>
                <w:rFonts w:cs="Calibri"/>
                <w:lang w:val="cs-CZ" w:eastAsia="cs-CZ"/>
              </w:rPr>
            </w:pPr>
            <w:r w:rsidRPr="008B53A9">
              <w:rPr>
                <w:rFonts w:cs="Calibri"/>
                <w:lang w:val="cs-CZ" w:eastAsia="cs-CZ"/>
              </w:rPr>
              <w:t>2014</w:t>
            </w:r>
          </w:p>
        </w:tc>
        <w:tc>
          <w:tcPr>
            <w:tcW w:w="548"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914490" w:rsidP="008000BE">
            <w:pPr>
              <w:pStyle w:val="Tabulka"/>
              <w:keepNext/>
              <w:keepLines/>
              <w:rPr>
                <w:rFonts w:cs="Calibri"/>
                <w:lang w:val="cs-CZ" w:eastAsia="cs-CZ"/>
              </w:rPr>
            </w:pPr>
            <w:r w:rsidRPr="008B53A9">
              <w:rPr>
                <w:rFonts w:cs="Calibri"/>
                <w:lang w:val="cs-CZ" w:eastAsia="cs-CZ"/>
              </w:rPr>
              <w:t>39 749</w:t>
            </w:r>
          </w:p>
        </w:tc>
        <w:tc>
          <w:tcPr>
            <w:tcW w:w="537"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1C77FE" w:rsidP="008000BE">
            <w:pPr>
              <w:pStyle w:val="Tabulka"/>
              <w:keepNext/>
              <w:keepLines/>
              <w:rPr>
                <w:rFonts w:cs="Calibri"/>
                <w:lang w:val="cs-CZ" w:eastAsia="cs-CZ"/>
              </w:rPr>
            </w:pPr>
            <w:r w:rsidRPr="008B53A9">
              <w:rPr>
                <w:rFonts w:cs="Calibri"/>
                <w:lang w:val="cs-CZ" w:eastAsia="cs-CZ"/>
              </w:rPr>
              <w:t xml:space="preserve">ŘO + </w:t>
            </w:r>
            <w:r w:rsidR="001B0574" w:rsidRPr="008B53A9">
              <w:rPr>
                <w:rFonts w:cs="Calibri"/>
                <w:lang w:val="cs-CZ" w:eastAsia="cs-CZ"/>
              </w:rPr>
              <w:t>Ž/P</w:t>
            </w:r>
          </w:p>
        </w:tc>
        <w:tc>
          <w:tcPr>
            <w:tcW w:w="556" w:type="pct"/>
            <w:tcBorders>
              <w:top w:val="single" w:sz="4" w:space="0" w:color="000000"/>
              <w:left w:val="single" w:sz="4" w:space="0" w:color="000000"/>
              <w:bottom w:val="single" w:sz="4" w:space="0" w:color="000000"/>
              <w:right w:val="single" w:sz="4" w:space="0" w:color="000000"/>
            </w:tcBorders>
            <w:vAlign w:val="center"/>
          </w:tcPr>
          <w:p w:rsidR="00EB13D9" w:rsidRPr="008B53A9" w:rsidRDefault="008165DC" w:rsidP="008000BE">
            <w:pPr>
              <w:pStyle w:val="Tabulka"/>
              <w:keepNext/>
              <w:keepLines/>
              <w:rPr>
                <w:rFonts w:cs="Calibri"/>
                <w:lang w:val="cs-CZ" w:eastAsia="cs-CZ"/>
              </w:rPr>
            </w:pPr>
            <w:r w:rsidRPr="008B53A9">
              <w:rPr>
                <w:rFonts w:cs="Calibri"/>
                <w:lang w:val="cs-CZ" w:eastAsia="cs-CZ"/>
              </w:rPr>
              <w:t>průběžně</w:t>
            </w:r>
          </w:p>
        </w:tc>
      </w:tr>
    </w:tbl>
    <w:p w:rsidR="00F262C8" w:rsidRPr="008B53A9" w:rsidRDefault="001B2E5C" w:rsidP="005F43DF">
      <w:pPr>
        <w:pStyle w:val="kapitola2A0"/>
        <w:numPr>
          <w:ilvl w:val="2"/>
          <w:numId w:val="69"/>
        </w:numPr>
      </w:pPr>
      <w:bookmarkStart w:id="51" w:name="_Toc391539621"/>
      <w:r w:rsidRPr="008B53A9">
        <w:t>Opatření, jež má být podpořeno v rámci investiční priority</w:t>
      </w:r>
      <w:bookmarkEnd w:id="51"/>
    </w:p>
    <w:p w:rsidR="00F262C8" w:rsidRPr="008B53A9" w:rsidRDefault="00D479AF" w:rsidP="005F43DF">
      <w:pPr>
        <w:pStyle w:val="Nadpis5"/>
        <w:numPr>
          <w:ilvl w:val="4"/>
          <w:numId w:val="20"/>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F262C8" w:rsidRPr="008B53A9" w:rsidRDefault="00F262C8" w:rsidP="00396141">
      <w:pPr>
        <w:pStyle w:val="Modrnadpis"/>
      </w:pPr>
      <w:r w:rsidRPr="008B53A9">
        <w:t xml:space="preserve">SPECIFICKÝ CÍL </w:t>
      </w:r>
      <w:r w:rsidR="00C71E6F" w:rsidRPr="008B53A9">
        <w:t>2.</w:t>
      </w:r>
      <w:r w:rsidRPr="008B53A9">
        <w:t>3:</w:t>
      </w:r>
      <w:r w:rsidR="00C76EE3" w:rsidRPr="008B53A9">
        <w:t xml:space="preserve"> Zvýš</w:t>
      </w:r>
      <w:r w:rsidR="00771951" w:rsidRPr="008B53A9">
        <w:t xml:space="preserve">it </w:t>
      </w:r>
      <w:r w:rsidR="00C76EE3" w:rsidRPr="008B53A9">
        <w:t>využitelnost infrastruktury pro podnikání</w:t>
      </w:r>
      <w:r w:rsidRPr="008B53A9">
        <w:t xml:space="preserve"> </w:t>
      </w:r>
    </w:p>
    <w:p w:rsidR="00F262C8" w:rsidRPr="008B53A9" w:rsidRDefault="00177462" w:rsidP="00DF4F92">
      <w:pPr>
        <w:pStyle w:val="Standardntext"/>
        <w:rPr>
          <w:b/>
        </w:rPr>
      </w:pPr>
      <w:r w:rsidRPr="008B53A9">
        <w:rPr>
          <w:b/>
        </w:rPr>
        <w:t>Indikativní výčet podporovaných aktivit:</w:t>
      </w:r>
    </w:p>
    <w:p w:rsidR="00F262C8" w:rsidRPr="008B53A9" w:rsidRDefault="001E5FB8" w:rsidP="005F43DF">
      <w:pPr>
        <w:pStyle w:val="Standardntext"/>
        <w:numPr>
          <w:ilvl w:val="0"/>
          <w:numId w:val="45"/>
        </w:numPr>
      </w:pPr>
      <w:r w:rsidRPr="008B53A9">
        <w:t>M</w:t>
      </w:r>
      <w:r w:rsidR="00F262C8" w:rsidRPr="008B53A9">
        <w:t>odernizace výrobních provozů a rekonstrukce stávající zastaralé infrastruktury,</w:t>
      </w:r>
    </w:p>
    <w:p w:rsidR="00F262C8" w:rsidRPr="008B53A9" w:rsidRDefault="00F262C8" w:rsidP="005F43DF">
      <w:pPr>
        <w:pStyle w:val="Standardntext"/>
        <w:numPr>
          <w:ilvl w:val="0"/>
          <w:numId w:val="45"/>
        </w:numPr>
      </w:pPr>
      <w:r w:rsidRPr="008B53A9">
        <w:t>rekonstrukce brownfield</w:t>
      </w:r>
      <w:r w:rsidR="00BF7E1C" w:rsidRPr="008B53A9">
        <w:t>ů</w:t>
      </w:r>
      <w:r w:rsidRPr="008B53A9">
        <w:t xml:space="preserve"> (bez výdajů na odstranění ekologických zátěží) a jejich přeměna na </w:t>
      </w:r>
      <w:r w:rsidR="005D4217" w:rsidRPr="008B53A9">
        <w:t>moderní výrobní objekty.</w:t>
      </w:r>
    </w:p>
    <w:p w:rsidR="005368EE" w:rsidRPr="008B53A9" w:rsidRDefault="005368EE" w:rsidP="00226516">
      <w:pPr>
        <w:pStyle w:val="Standardntext"/>
      </w:pPr>
      <w:r w:rsidRPr="008B53A9">
        <w:t>Aktivity SC 2.3 jsou orientovány na zvýšení využitelnosti infrastruktury pro podnikání, na modernizaci stávající infrastruktury v oblasti výroby a služeb a na rekonstrukci brownfield</w:t>
      </w:r>
      <w:r w:rsidR="00BF7E1C" w:rsidRPr="008B53A9">
        <w:t>ů</w:t>
      </w:r>
      <w:r w:rsidRPr="008B53A9">
        <w:t xml:space="preserve">. SC 2.3 navazuje na </w:t>
      </w:r>
      <w:r w:rsidR="00292B8D" w:rsidRPr="008B53A9">
        <w:t xml:space="preserve">program </w:t>
      </w:r>
      <w:r w:rsidRPr="008B53A9">
        <w:t xml:space="preserve">podpory OPPI </w:t>
      </w:r>
      <w:r w:rsidR="00292B8D" w:rsidRPr="008B53A9">
        <w:rPr>
          <w:i/>
        </w:rPr>
        <w:t xml:space="preserve">Nemovitosti, </w:t>
      </w:r>
      <w:r w:rsidR="00292B8D" w:rsidRPr="008B53A9">
        <w:t>který byl v letech 2007 - 2013 zaměřen na budování a rozvoj i</w:t>
      </w:r>
      <w:r w:rsidRPr="008B53A9">
        <w:t>nfrastruktur</w:t>
      </w:r>
      <w:r w:rsidR="00292B8D" w:rsidRPr="008B53A9">
        <w:t>y</w:t>
      </w:r>
      <w:r w:rsidRPr="008B53A9">
        <w:t xml:space="preserve"> pro podnikání</w:t>
      </w:r>
      <w:r w:rsidR="00292B8D" w:rsidRPr="008B53A9">
        <w:t xml:space="preserve"> a který </w:t>
      </w:r>
      <w:r w:rsidRPr="008B53A9">
        <w:t>přispěl k částečnému zlepšení nevyhovující podnikatelské infrastruktury</w:t>
      </w:r>
      <w:r w:rsidR="00DD19A9" w:rsidRPr="008B53A9">
        <w:t>. N</w:t>
      </w:r>
      <w:r w:rsidRPr="008B53A9">
        <w:t xml:space="preserve">avrhované aktivity SC 2.3 umožní pokračovat v tomto procesu ve prospěch MSP, a to především rekonstrukcí </w:t>
      </w:r>
      <w:r w:rsidR="00803C8E" w:rsidRPr="008B53A9">
        <w:t>stávajících objektů</w:t>
      </w:r>
      <w:r w:rsidR="00803C8E" w:rsidRPr="008B53A9" w:rsidDel="00803C8E">
        <w:t xml:space="preserve"> </w:t>
      </w:r>
      <w:r w:rsidRPr="008B53A9">
        <w:t xml:space="preserve">pro rozvoj výrobních činností a služeb s přínosem pro zaměstnanost, ekonomiku a životní prostředí. Zkušenosti z dosavadní realizace programu </w:t>
      </w:r>
      <w:r w:rsidR="00292B8D" w:rsidRPr="008B53A9">
        <w:t xml:space="preserve">podpory OPPI </w:t>
      </w:r>
      <w:r w:rsidRPr="008B53A9">
        <w:rPr>
          <w:i/>
        </w:rPr>
        <w:t xml:space="preserve">Nemovitosti </w:t>
      </w:r>
      <w:r w:rsidRPr="008B53A9">
        <w:t xml:space="preserve">především v nastavení programových podmínek, struktury projektu a příloh, výběrových kritérií, externího hodnocení projektů a administrace </w:t>
      </w:r>
      <w:r w:rsidR="009D1769" w:rsidRPr="008B53A9">
        <w:t>projektů jsou využívány pro</w:t>
      </w:r>
      <w:r w:rsidRPr="008B53A9">
        <w:t xml:space="preserve"> přípravu programů </w:t>
      </w:r>
      <w:r w:rsidR="00292B8D" w:rsidRPr="008B53A9">
        <w:t xml:space="preserve">pro období 2014 – 2020 </w:t>
      </w:r>
      <w:r w:rsidRPr="008B53A9">
        <w:t>v rámci aktivit SC 2.3.</w:t>
      </w:r>
    </w:p>
    <w:p w:rsidR="009D1769" w:rsidRPr="008B53A9" w:rsidRDefault="008A41A4" w:rsidP="009D1769">
      <w:pPr>
        <w:pStyle w:val="Standardntext"/>
      </w:pPr>
      <w:r w:rsidRPr="008B53A9">
        <w:t xml:space="preserve">Typovým projektem bude modernizace zastaralých, prostorově a technicky nevyhovujících a energeticky náročných objektů, budov a areálů </w:t>
      </w:r>
      <w:r w:rsidR="00711B4C" w:rsidRPr="008B53A9">
        <w:rPr>
          <w:lang w:val="cs-CZ"/>
        </w:rPr>
        <w:t>malým a středním podnikatelem</w:t>
      </w:r>
      <w:r w:rsidR="00835369" w:rsidRPr="008B53A9">
        <w:rPr>
          <w:lang w:val="cs-CZ"/>
        </w:rPr>
        <w:t>,</w:t>
      </w:r>
      <w:r w:rsidR="00803C8E" w:rsidRPr="008B53A9">
        <w:t xml:space="preserve"> které bude možné znovu využít pro rozvoj </w:t>
      </w:r>
      <w:r w:rsidR="00711B4C" w:rsidRPr="008B53A9">
        <w:rPr>
          <w:lang w:val="cs-CZ"/>
        </w:rPr>
        <w:t xml:space="preserve">jeho </w:t>
      </w:r>
      <w:r w:rsidR="00803C8E" w:rsidRPr="008B53A9">
        <w:t>výrobních činností a služeb</w:t>
      </w:r>
      <w:r w:rsidR="00711B4C" w:rsidRPr="008B53A9">
        <w:rPr>
          <w:lang w:val="cs-CZ"/>
        </w:rPr>
        <w:t xml:space="preserve">. </w:t>
      </w:r>
      <w:r w:rsidR="00803C8E" w:rsidRPr="008B53A9">
        <w:t>Rekonstrukce stávajících objektů není v případě SC 2.3 spojena s pořízením nových technologií.</w:t>
      </w:r>
      <w:r w:rsidRPr="008B53A9">
        <w:t xml:space="preserve"> </w:t>
      </w:r>
      <w:r w:rsidR="00711B4C" w:rsidRPr="008B53A9">
        <w:rPr>
          <w:lang w:val="cs-CZ"/>
        </w:rPr>
        <w:t>Příjemcem podpory v tomto specifickém cíli budou malé a střední podniky a také municipality</w:t>
      </w:r>
      <w:r w:rsidR="006C1F43" w:rsidRPr="008B53A9">
        <w:rPr>
          <w:lang w:val="cs-CZ"/>
        </w:rPr>
        <w:t xml:space="preserve">. V případě, že příjemcem podpory bude municipalita, musí být v projektu jednoznačně prokázáno, že zrekonstruovaný objekt/brownfield bude využit malými a středními podniky, které budou v daném objektu / na daném brownfieldu realizovat své podnikatelské záměry, a bude tak </w:t>
      </w:r>
      <w:r w:rsidR="006C1F43" w:rsidRPr="008B53A9">
        <w:rPr>
          <w:lang w:val="cs-CZ"/>
        </w:rPr>
        <w:lastRenderedPageBreak/>
        <w:t xml:space="preserve">splněna podmínka modernizace objektu/brownfieldu pro následné ekonomické využití. </w:t>
      </w:r>
      <w:r w:rsidR="005368EE" w:rsidRPr="008B53A9">
        <w:t xml:space="preserve">Podporovány nebudou </w:t>
      </w:r>
      <w:r w:rsidR="006C1F43" w:rsidRPr="008B53A9">
        <w:rPr>
          <w:lang w:val="cs-CZ"/>
        </w:rPr>
        <w:t xml:space="preserve">developerské </w:t>
      </w:r>
      <w:r w:rsidR="00292B8D" w:rsidRPr="008B53A9">
        <w:t>projekty</w:t>
      </w:r>
      <w:r w:rsidR="006C1F43" w:rsidRPr="008B53A9">
        <w:rPr>
          <w:lang w:val="cs-CZ"/>
        </w:rPr>
        <w:t xml:space="preserve">, ani </w:t>
      </w:r>
      <w:r w:rsidR="00E25F1B" w:rsidRPr="008B53A9">
        <w:t xml:space="preserve">výstavba na „zelené louce“ vyžadující zábor zemědělského půdního fondu. </w:t>
      </w:r>
      <w:r w:rsidR="00231B6C" w:rsidRPr="008B53A9">
        <w:t xml:space="preserve">Výstupem </w:t>
      </w:r>
      <w:r w:rsidR="006C1F43" w:rsidRPr="008B53A9">
        <w:rPr>
          <w:lang w:val="cs-CZ"/>
        </w:rPr>
        <w:t xml:space="preserve">projektů v rámci tohoto specifického cíle </w:t>
      </w:r>
      <w:r w:rsidR="00231B6C" w:rsidRPr="008B53A9">
        <w:t>bude nově zrekonstruovaná podnikatelská infrastruktura</w:t>
      </w:r>
      <w:r w:rsidR="006C1F43" w:rsidRPr="008B53A9">
        <w:rPr>
          <w:lang w:val="cs-CZ"/>
        </w:rPr>
        <w:t xml:space="preserve">, </w:t>
      </w:r>
      <w:r w:rsidR="00A45A2E" w:rsidRPr="008B53A9">
        <w:t>výsled</w:t>
      </w:r>
      <w:r w:rsidR="008F3B30" w:rsidRPr="008B53A9">
        <w:t>k</w:t>
      </w:r>
      <w:r w:rsidR="00A45A2E" w:rsidRPr="008B53A9">
        <w:t>em</w:t>
      </w:r>
      <w:r w:rsidR="008F3B30" w:rsidRPr="008B53A9">
        <w:t xml:space="preserve"> </w:t>
      </w:r>
      <w:r w:rsidR="006C1F43" w:rsidRPr="008B53A9">
        <w:rPr>
          <w:lang w:val="cs-CZ"/>
        </w:rPr>
        <w:t xml:space="preserve">aktivit specifického cíle </w:t>
      </w:r>
      <w:r w:rsidR="00A45A2E" w:rsidRPr="008B53A9">
        <w:t xml:space="preserve">bude </w:t>
      </w:r>
      <w:r w:rsidR="002171D3" w:rsidRPr="008B53A9">
        <w:t xml:space="preserve">růst celkové rozlohy </w:t>
      </w:r>
      <w:r w:rsidR="009D1769" w:rsidRPr="008B53A9">
        <w:t>regenerovaných lokalit</w:t>
      </w:r>
      <w:r w:rsidR="00F86517" w:rsidRPr="008B53A9">
        <w:t xml:space="preserve"> využitelných pro podnikatelské aktivity</w:t>
      </w:r>
      <w:r w:rsidR="009D1769" w:rsidRPr="008B53A9">
        <w:t>.</w:t>
      </w:r>
    </w:p>
    <w:p w:rsidR="00896EDF" w:rsidRPr="008B53A9" w:rsidRDefault="00F262C8" w:rsidP="00757916">
      <w:pPr>
        <w:pStyle w:val="Standardntext"/>
        <w:rPr>
          <w:lang w:val="cs-CZ"/>
        </w:rPr>
      </w:pPr>
      <w:r w:rsidRPr="008B53A9">
        <w:rPr>
          <w:b/>
        </w:rPr>
        <w:t xml:space="preserve">Hlavní cílová skupina: </w:t>
      </w:r>
      <w:r w:rsidRPr="008B53A9">
        <w:t xml:space="preserve">Podnikatelské </w:t>
      </w:r>
      <w:r w:rsidR="00835369" w:rsidRPr="008B53A9">
        <w:t>subjekty (malé a střední podniky)</w:t>
      </w:r>
    </w:p>
    <w:p w:rsidR="00F262C8" w:rsidRPr="008B53A9" w:rsidRDefault="00F262C8" w:rsidP="00757916">
      <w:pPr>
        <w:pStyle w:val="Standardntext"/>
      </w:pPr>
      <w:r w:rsidRPr="008B53A9">
        <w:rPr>
          <w:b/>
        </w:rPr>
        <w:t xml:space="preserve">Cílové území: </w:t>
      </w:r>
      <w:r w:rsidRPr="008B53A9">
        <w:t>Území České republiky, mimo území hl. m. Prahy.</w:t>
      </w:r>
      <w:r w:rsidR="00015039" w:rsidRPr="008B53A9">
        <w:t xml:space="preserve"> Z hlediska územní dimenze </w:t>
      </w:r>
      <w:r w:rsidR="00A46CD6" w:rsidRPr="008B53A9">
        <w:t>bude tento specifický cíl zaměřen na urbánní území, kde se předpokládá zapojen</w:t>
      </w:r>
      <w:r w:rsidR="00622C4A" w:rsidRPr="008B53A9">
        <w:t>í do integrovaného nástroje ITI</w:t>
      </w:r>
      <w:r w:rsidR="00015039" w:rsidRPr="008B53A9">
        <w:t>.</w:t>
      </w:r>
    </w:p>
    <w:p w:rsidR="00F262C8" w:rsidRPr="008B53A9" w:rsidRDefault="00F262C8" w:rsidP="00757916">
      <w:pPr>
        <w:pStyle w:val="Standardntext"/>
      </w:pPr>
      <w:r w:rsidRPr="008B53A9">
        <w:rPr>
          <w:b/>
        </w:rPr>
        <w:t xml:space="preserve">Typy příjemců: </w:t>
      </w:r>
      <w:r w:rsidRPr="008B53A9">
        <w:t>Podnikatelské subjekty (malé a střední podniky)</w:t>
      </w:r>
      <w:r w:rsidR="00B93322" w:rsidRPr="008B53A9">
        <w:rPr>
          <w:lang w:val="cs-CZ"/>
        </w:rPr>
        <w:t>, municipality.</w:t>
      </w:r>
    </w:p>
    <w:p w:rsidR="00F262C8" w:rsidRPr="008B53A9" w:rsidRDefault="00F262C8" w:rsidP="00396141">
      <w:pPr>
        <w:pStyle w:val="Modrnadpis"/>
      </w:pPr>
      <w:r w:rsidRPr="008B53A9">
        <w:t xml:space="preserve">SPECIFICKÝ CÍL </w:t>
      </w:r>
      <w:r w:rsidR="00C71E6F" w:rsidRPr="008B53A9">
        <w:t>2.</w:t>
      </w:r>
      <w:r w:rsidRPr="008B53A9">
        <w:t xml:space="preserve">4: </w:t>
      </w:r>
      <w:r w:rsidR="00AC3ECC" w:rsidRPr="008B53A9">
        <w:t>Zvýšit kapacitu pro odborné vzdělávání v MSP</w:t>
      </w:r>
    </w:p>
    <w:p w:rsidR="00F262C8" w:rsidRPr="008B53A9" w:rsidRDefault="00177462" w:rsidP="00DF4F92">
      <w:pPr>
        <w:pStyle w:val="Standardntext"/>
        <w:rPr>
          <w:b/>
        </w:rPr>
      </w:pPr>
      <w:r w:rsidRPr="008B53A9">
        <w:rPr>
          <w:b/>
        </w:rPr>
        <w:t>Indikativní výčet podporovaných aktivit:</w:t>
      </w:r>
    </w:p>
    <w:p w:rsidR="009D1769" w:rsidRPr="008B53A9" w:rsidRDefault="009D1769" w:rsidP="005F43DF">
      <w:pPr>
        <w:pStyle w:val="Standardntext"/>
        <w:numPr>
          <w:ilvl w:val="0"/>
          <w:numId w:val="50"/>
        </w:numPr>
      </w:pPr>
      <w:r w:rsidRPr="008B53A9">
        <w:t>Zajištění a rozvoj kvalitní infrastruktury pro realizaci, organizaci a řízení odborného vzdělávání a další aktivity související s rozvojem lidských zdrojů v podnicích.</w:t>
      </w:r>
    </w:p>
    <w:p w:rsidR="009D1769" w:rsidRPr="008B53A9" w:rsidRDefault="009D1769" w:rsidP="005F43DF">
      <w:pPr>
        <w:pStyle w:val="Standardntext"/>
        <w:numPr>
          <w:ilvl w:val="0"/>
          <w:numId w:val="50"/>
        </w:numPr>
      </w:pPr>
      <w:r w:rsidRPr="008B53A9">
        <w:t>pořízení nových zařízení, vybudování/rozšíření školicích středisek, v rámci kterých budou mít možnost zaměstnavatelé a jejich zaměstnanci proškolení a seznámení se s rozvíjejícími se novými technologiemi, odbornostmi, procesy a novou legislativou související s podnikáním.</w:t>
      </w:r>
    </w:p>
    <w:p w:rsidR="00896EDF" w:rsidRPr="008B53A9" w:rsidRDefault="00BE682B" w:rsidP="009D1769">
      <w:pPr>
        <w:pStyle w:val="Standardntext"/>
        <w:rPr>
          <w:lang w:val="cs-CZ"/>
        </w:rPr>
      </w:pPr>
      <w:r w:rsidRPr="008B53A9">
        <w:t>Aktivity SC 2.4 se zaměřují na zkvalitnění infrastruktury pro rozvoj lidských zdrojů s důrazem na technické odborné vzdělávání</w:t>
      </w:r>
      <w:r w:rsidR="00803C8E" w:rsidRPr="008B53A9">
        <w:t xml:space="preserve"> zaměstnanců MSP</w:t>
      </w:r>
      <w:r w:rsidR="00803C8E" w:rsidRPr="008B53A9">
        <w:rPr>
          <w:b/>
        </w:rPr>
        <w:t xml:space="preserve"> </w:t>
      </w:r>
      <w:r w:rsidR="00803C8E" w:rsidRPr="008B53A9">
        <w:t>a</w:t>
      </w:r>
      <w:r w:rsidRPr="008B53A9">
        <w:rPr>
          <w:b/>
        </w:rPr>
        <w:t xml:space="preserve"> </w:t>
      </w:r>
      <w:r w:rsidRPr="008B53A9">
        <w:t>navazují na</w:t>
      </w:r>
      <w:r w:rsidRPr="008B53A9">
        <w:rPr>
          <w:b/>
        </w:rPr>
        <w:t xml:space="preserve"> </w:t>
      </w:r>
      <w:r w:rsidR="00292B8D" w:rsidRPr="008B53A9">
        <w:t>program podpory</w:t>
      </w:r>
      <w:r w:rsidR="00292B8D" w:rsidRPr="008B53A9">
        <w:rPr>
          <w:b/>
        </w:rPr>
        <w:t xml:space="preserve"> </w:t>
      </w:r>
      <w:r w:rsidRPr="008B53A9">
        <w:t xml:space="preserve">OPPI </w:t>
      </w:r>
      <w:r w:rsidRPr="008B53A9">
        <w:rPr>
          <w:i/>
        </w:rPr>
        <w:t>Školicí střediska</w:t>
      </w:r>
      <w:r w:rsidRPr="008B53A9">
        <w:t xml:space="preserve">. Realizace navrhovaných aktivit SC 2.4 umožní další zvýšení potřebných kapacit pro vzdělávání zaměstnanců i zaměstnavatelů v sektoru MSP, </w:t>
      </w:r>
      <w:r w:rsidR="007E5195" w:rsidRPr="008B53A9">
        <w:t>souvisejícího s pořízením zejména nových technologií, zaváděním inovativních procesů a právními předpisy z oblasti podnikání</w:t>
      </w:r>
      <w:r w:rsidR="00B70AB7" w:rsidRPr="008B53A9">
        <w:t>,</w:t>
      </w:r>
      <w:r w:rsidR="007E5195" w:rsidRPr="008B53A9">
        <w:t xml:space="preserve"> a </w:t>
      </w:r>
      <w:r w:rsidRPr="008B53A9">
        <w:t xml:space="preserve">zlepší podmínky pro zvýšení jejich </w:t>
      </w:r>
      <w:r w:rsidR="007E5195" w:rsidRPr="008B53A9">
        <w:t>odborných znalostí a dovedností. Počítá se s </w:t>
      </w:r>
      <w:r w:rsidRPr="008B53A9">
        <w:t>návazným využitím vzdělávacích programů a školení podporovaných z ESF</w:t>
      </w:r>
      <w:r w:rsidR="00E779AA" w:rsidRPr="008B53A9">
        <w:t xml:space="preserve"> v některých dalších relevantních operačních programech (zejména OPZ, OP VVV).</w:t>
      </w:r>
    </w:p>
    <w:p w:rsidR="009D1769" w:rsidRPr="008B53A9" w:rsidRDefault="00A4574C" w:rsidP="009D1769">
      <w:pPr>
        <w:pStyle w:val="Standardntext"/>
      </w:pPr>
      <w:r w:rsidRPr="008B53A9">
        <w:t>Typovým</w:t>
      </w:r>
      <w:r w:rsidR="005017B4" w:rsidRPr="008B53A9">
        <w:t>i projekty budou</w:t>
      </w:r>
      <w:r w:rsidRPr="008B53A9">
        <w:t xml:space="preserve"> zejména </w:t>
      </w:r>
      <w:r w:rsidR="005017B4" w:rsidRPr="008B53A9">
        <w:t>výstavba a pořízení nových a rekonstrukce stávajících školicích center, modernizace prostor pro vzdělávání, pořízení vybavení školicích prostor včetně školicích pomůcek (hardware, sítě, stroje a zařízení), vzdělávacích programů (software, data), práv duševního vlastnictví (nepatentované know-how, operativní nebo patentové licence na know-how, patenty apod.), které jsou nezbytné k zahájení vzdělávací činnosti.</w:t>
      </w:r>
      <w:r w:rsidR="009D1769" w:rsidRPr="008B53A9">
        <w:t xml:space="preserve"> Výstupem tak bude modernizovaná infrastruktura spojená s rozvojem lidských zdrojů zajišťující kvalitní podmínky pro vzdělávání, organizaci a řízení</w:t>
      </w:r>
      <w:r w:rsidR="00B305DA" w:rsidRPr="008B53A9">
        <w:t>. Výsledky se promítnou do nárůstu kapacit</w:t>
      </w:r>
      <w:r w:rsidR="009D1769" w:rsidRPr="008B53A9">
        <w:t xml:space="preserve"> t</w:t>
      </w:r>
      <w:r w:rsidR="00B305DA" w:rsidRPr="008B53A9">
        <w:t>ěchto</w:t>
      </w:r>
      <w:r w:rsidR="009D1769" w:rsidRPr="008B53A9">
        <w:t xml:space="preserve"> školicích a vzdělávacích středisek využitelných pro </w:t>
      </w:r>
      <w:r w:rsidR="007E5195" w:rsidRPr="008B53A9">
        <w:t xml:space="preserve">zaměstnance v sektoru </w:t>
      </w:r>
      <w:r w:rsidR="009D1769" w:rsidRPr="008B53A9">
        <w:t>MSP.</w:t>
      </w:r>
      <w:r w:rsidR="007E5195" w:rsidRPr="008B53A9">
        <w:t xml:space="preserve"> </w:t>
      </w:r>
    </w:p>
    <w:p w:rsidR="004963B9" w:rsidRPr="008B53A9" w:rsidRDefault="004963B9" w:rsidP="004963B9">
      <w:pPr>
        <w:pStyle w:val="Standardntext"/>
      </w:pPr>
      <w:r w:rsidRPr="008B53A9">
        <w:t xml:space="preserve">V souladu s článkem 98 (2) nařízení č. 1303/2013 bude v rámci tohoto specifického cíle umožněno na úrovni </w:t>
      </w:r>
      <w:r w:rsidR="00294529" w:rsidRPr="008B53A9">
        <w:t xml:space="preserve">programu a </w:t>
      </w:r>
      <w:r w:rsidRPr="008B53A9">
        <w:t>výzev pro předkládání projektů využít tzv. křížové financování</w:t>
      </w:r>
      <w:r w:rsidRPr="008B53A9">
        <w:rPr>
          <w:rStyle w:val="Znakapoznpodarou"/>
        </w:rPr>
        <w:footnoteReference w:id="45"/>
      </w:r>
      <w:r w:rsidRPr="008B53A9">
        <w:t xml:space="preserve">.  </w:t>
      </w:r>
    </w:p>
    <w:p w:rsidR="004963B9" w:rsidRPr="008B53A9" w:rsidRDefault="004963B9" w:rsidP="004963B9">
      <w:pPr>
        <w:pStyle w:val="Standardntext"/>
      </w:pPr>
      <w:r w:rsidRPr="008B53A9">
        <w:lastRenderedPageBreak/>
        <w:t>S ohledem na administrativní zjednodušení pro příjemce bude v projektech zaměřených na rozvoj školicích středisek umožněno doplňkové křížové financování pro podporu aktivit, které svým zaměřením spadají již do ESF, avšak bezprostředně souvisejí s</w:t>
      </w:r>
      <w:r w:rsidR="00294529" w:rsidRPr="008B53A9">
        <w:t xml:space="preserve"> projektem </w:t>
      </w:r>
      <w:r w:rsidRPr="008B53A9">
        <w:t xml:space="preserve">školicího střediska </w:t>
      </w:r>
      <w:r w:rsidR="00294529" w:rsidRPr="008B53A9">
        <w:t xml:space="preserve">podporovaného </w:t>
      </w:r>
      <w:r w:rsidRPr="008B53A9">
        <w:t xml:space="preserve">z prostředků ERDF. </w:t>
      </w:r>
      <w:r w:rsidR="00294529" w:rsidRPr="008B53A9">
        <w:t>P</w:t>
      </w:r>
      <w:r w:rsidRPr="008B53A9">
        <w:t xml:space="preserve">říjemcům </w:t>
      </w:r>
      <w:r w:rsidR="00294529" w:rsidRPr="008B53A9">
        <w:t xml:space="preserve">tím bude </w:t>
      </w:r>
      <w:r w:rsidRPr="008B53A9">
        <w:t xml:space="preserve">umožněno zahrnout aktivity ERDF i ESF související s rozvojem školicího střediska do jednoho projektu. Pro monitorování výše prostředků vynaložených na křížové financování bude využit informační systém MS2014+. Řídicí orgán bude sledovat a evidovat používání křížového financování tak, aby výdaje do něj zahrnuté bylo možno </w:t>
      </w:r>
      <w:r w:rsidR="00294529" w:rsidRPr="008B53A9">
        <w:t xml:space="preserve">přesně </w:t>
      </w:r>
      <w:r w:rsidRPr="008B53A9">
        <w:t>identifikovat</w:t>
      </w:r>
      <w:r w:rsidR="00294529" w:rsidRPr="008B53A9">
        <w:t xml:space="preserve"> a aby jejich výše nepřekročila 10 % prostředků na prioritní osu.</w:t>
      </w:r>
    </w:p>
    <w:p w:rsidR="00896EDF" w:rsidRPr="008B53A9" w:rsidRDefault="00F262C8" w:rsidP="00015039">
      <w:pPr>
        <w:pStyle w:val="Standardntext"/>
        <w:rPr>
          <w:lang w:val="cs-CZ"/>
        </w:rPr>
      </w:pPr>
      <w:r w:rsidRPr="008B53A9">
        <w:rPr>
          <w:b/>
        </w:rPr>
        <w:t xml:space="preserve">Hlavní cílová skupina: </w:t>
      </w:r>
      <w:r w:rsidRPr="008B53A9">
        <w:t>Podnikatelské s</w:t>
      </w:r>
      <w:r w:rsidR="00622C4A" w:rsidRPr="008B53A9">
        <w:t>ubjekty (malé a střední podnik</w:t>
      </w:r>
      <w:r w:rsidR="00622C4A" w:rsidRPr="008B53A9">
        <w:rPr>
          <w:lang w:val="cs-CZ"/>
        </w:rPr>
        <w:t>y).</w:t>
      </w:r>
    </w:p>
    <w:p w:rsidR="00015039" w:rsidRPr="008B53A9" w:rsidRDefault="00F262C8" w:rsidP="00015039">
      <w:pPr>
        <w:pStyle w:val="Standardntext"/>
      </w:pPr>
      <w:r w:rsidRPr="008B53A9">
        <w:rPr>
          <w:b/>
        </w:rPr>
        <w:t xml:space="preserve">Cílové území: </w:t>
      </w:r>
      <w:r w:rsidRPr="008B53A9">
        <w:t>Území České republiky, mimo území hl. m. Prahy.</w:t>
      </w:r>
      <w:r w:rsidR="00015039" w:rsidRPr="008B53A9">
        <w:t xml:space="preserve"> Z hlediska územní dimenze </w:t>
      </w:r>
      <w:r w:rsidR="00A46CD6" w:rsidRPr="008B53A9">
        <w:t>bude tento specifický cíl zaměřen na urbánní území, kde se předpokládá zapojení do int</w:t>
      </w:r>
      <w:r w:rsidR="00622C4A" w:rsidRPr="008B53A9">
        <w:t>egrovaného nástroje ITI</w:t>
      </w:r>
      <w:r w:rsidR="00015039" w:rsidRPr="008B53A9">
        <w:t>.</w:t>
      </w:r>
    </w:p>
    <w:p w:rsidR="00505F15" w:rsidRPr="008B53A9" w:rsidRDefault="00505F15" w:rsidP="00757916">
      <w:pPr>
        <w:pStyle w:val="Standardntext"/>
      </w:pPr>
      <w:r w:rsidRPr="008B53A9">
        <w:rPr>
          <w:b/>
        </w:rPr>
        <w:t xml:space="preserve">Typy příjemců: </w:t>
      </w:r>
      <w:r w:rsidRPr="008B53A9">
        <w:t>Podnikatelské subjekty (malé a střední podniky).</w:t>
      </w:r>
    </w:p>
    <w:p w:rsidR="00F262C8" w:rsidRPr="008B53A9" w:rsidRDefault="00BA6461" w:rsidP="005F43DF">
      <w:pPr>
        <w:pStyle w:val="Nadpis5"/>
        <w:numPr>
          <w:ilvl w:val="4"/>
          <w:numId w:val="20"/>
        </w:numPr>
      </w:pPr>
      <w:r w:rsidRPr="008B53A9">
        <w:t>Hlavní zásady pro výběr operací</w:t>
      </w:r>
    </w:p>
    <w:p w:rsidR="004E1B49" w:rsidRPr="008B53A9" w:rsidRDefault="0017524E" w:rsidP="0017524E">
      <w:pPr>
        <w:pStyle w:val="Standardntext"/>
      </w:pPr>
      <w:r w:rsidRPr="008B53A9">
        <w:t xml:space="preserve">V rámci této investiční priority budou vyhlašovány výzvy na předkládání individuálních projektů. </w:t>
      </w:r>
      <w:r w:rsidR="00855A0B" w:rsidRPr="008B53A9">
        <w:t xml:space="preserve">Předložené projekty budou  nejdříve posuzovány ze strany řídícího orgánu / zprostředkujícího subjektu z pohledu jejich souladu s podmínkami daného programu podpory. </w:t>
      </w:r>
      <w:r w:rsidRPr="008B53A9">
        <w:t xml:space="preserve">Projektové žádosti, které úspěšně projdou tímto procesem, budou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w:t>
      </w:r>
      <w:r w:rsidR="006B1736" w:rsidRPr="008B53A9">
        <w:t>kritérií odpovídajících charakteru</w:t>
      </w:r>
      <w:r w:rsidRPr="008B53A9">
        <w:t xml:space="preserve"> jednotlivých specifických cílů a v rámci nich podporovaných aktivit. </w:t>
      </w:r>
      <w:r w:rsidR="00952A8B" w:rsidRPr="008B53A9">
        <w:t xml:space="preserve">Ve finální fázi hodnocení </w:t>
      </w:r>
      <w:r w:rsidRPr="008B53A9">
        <w:t>budou projekty posuzovány hodnotitelskou komis</w:t>
      </w:r>
      <w:r w:rsidR="00153F2D" w:rsidRPr="008B53A9">
        <w:t>í, která bude tvořena zástupci Ř</w:t>
      </w:r>
      <w:r w:rsidRPr="008B53A9">
        <w:t xml:space="preserve">ídícího orgánu a dalšími relevantními partnery a experty na oblast podnikání, včetně zastoupení regionálních partnerů. </w:t>
      </w:r>
      <w:r w:rsidR="0020084D" w:rsidRPr="008B53A9">
        <w:t xml:space="preserve">Výběr </w:t>
      </w:r>
      <w:r w:rsidR="002730C3" w:rsidRPr="008B53A9">
        <w:t>odborných hodnotitelů</w:t>
      </w:r>
      <w:r w:rsidR="0020084D"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20084D" w:rsidRPr="008B53A9">
        <w:rPr>
          <w:rStyle w:val="Znakapoznpodarou"/>
        </w:rPr>
        <w:footnoteReference w:id="46"/>
      </w:r>
      <w:r w:rsidR="0020084D" w:rsidRPr="008B53A9">
        <w:t xml:space="preserve"> Hodnotitelé budou průběžně školeni tak, aby byl zajištěn jejich rovný přístup ke všem projektům. </w:t>
      </w:r>
      <w:r w:rsidR="00D66446" w:rsidRPr="008B53A9">
        <w:t>Tento systém bude nastaven maximálně transparentně, s cílem zajistit kvalitní a objektivní hodnocení projektů, a realizací schválených projektů dosažení stanovených cílů programu.</w:t>
      </w:r>
    </w:p>
    <w:p w:rsidR="00A438A6" w:rsidRPr="008B53A9" w:rsidRDefault="00A438A6" w:rsidP="00A438A6">
      <w:pPr>
        <w:pStyle w:val="Standardntext"/>
      </w:pPr>
      <w:r w:rsidRPr="008B53A9">
        <w:t>V rámci výběru a hodnocení projektů budou posuzována především následující kritéria:</w:t>
      </w:r>
    </w:p>
    <w:p w:rsidR="00A438A6" w:rsidRPr="008B53A9" w:rsidRDefault="00A438A6" w:rsidP="005F43DF">
      <w:pPr>
        <w:pStyle w:val="Standardntext"/>
        <w:numPr>
          <w:ilvl w:val="0"/>
          <w:numId w:val="44"/>
        </w:numPr>
      </w:pPr>
      <w:r w:rsidRPr="008B53A9">
        <w:t xml:space="preserve">Kvalita a potřebnost projektu s ohledem na </w:t>
      </w:r>
      <w:r w:rsidR="004E1B49" w:rsidRPr="008B53A9">
        <w:t>ekologické a sociální aspekty v případě projektů zaměřených na zvýšení využitelnosti stávající infrastruktury pro podnikání</w:t>
      </w:r>
      <w:r w:rsidRPr="008B53A9">
        <w:t>.</w:t>
      </w:r>
      <w:r w:rsidR="004E1B49" w:rsidRPr="008B53A9">
        <w:t xml:space="preserve"> U projektů zaměřených na zkvalitnění infrastruktury pro rozvoj lidských zdrojů bude hodnocena zejména využitelnost těchto vzdělávacích zařízení pro </w:t>
      </w:r>
      <w:r w:rsidR="004E1B49" w:rsidRPr="008B53A9">
        <w:rPr>
          <w:color w:val="000000"/>
        </w:rPr>
        <w:t xml:space="preserve">rozvoj lidských </w:t>
      </w:r>
      <w:r w:rsidR="004E1B49" w:rsidRPr="008B53A9">
        <w:rPr>
          <w:color w:val="000000"/>
        </w:rPr>
        <w:lastRenderedPageBreak/>
        <w:t xml:space="preserve">zdrojů zaměstnanců i zaměstnavatelů, </w:t>
      </w:r>
      <w:r w:rsidR="004E1B49" w:rsidRPr="008B53A9">
        <w:t>rozvoj znalostí a dovedností v oblasti odborného vzdělávání.</w:t>
      </w:r>
    </w:p>
    <w:p w:rsidR="00A438A6" w:rsidRPr="008B53A9" w:rsidRDefault="00A438A6" w:rsidP="005F43DF">
      <w:pPr>
        <w:pStyle w:val="Standardntext"/>
        <w:numPr>
          <w:ilvl w:val="0"/>
          <w:numId w:val="44"/>
        </w:numPr>
      </w:pPr>
      <w:r w:rsidRPr="008B53A9">
        <w:t xml:space="preserve">Soulad projektu s  územní dimenzí a uplatněním integrovaných </w:t>
      </w:r>
      <w:r w:rsidR="009D1769" w:rsidRPr="008B53A9">
        <w:t>nástrojů</w:t>
      </w:r>
      <w:r w:rsidRPr="008B53A9">
        <w:t xml:space="preserve"> (ITI) v rámci této investiční priority</w:t>
      </w:r>
      <w:r w:rsidR="00C63CF5" w:rsidRPr="008B53A9">
        <w:t xml:space="preserve"> (viz </w:t>
      </w:r>
      <w:r w:rsidR="00C63CF5" w:rsidRPr="008B53A9">
        <w:rPr>
          <w:i/>
        </w:rPr>
        <w:t>Cílové území</w:t>
      </w:r>
      <w:r w:rsidR="00C63CF5" w:rsidRPr="008B53A9">
        <w:t xml:space="preserve"> v oddíle 2.A.6.1 a dále oddíl 4)</w:t>
      </w:r>
      <w:r w:rsidRPr="008B53A9">
        <w:t>.</w:t>
      </w:r>
    </w:p>
    <w:p w:rsidR="00C6139B" w:rsidRPr="008B53A9" w:rsidRDefault="00C6139B" w:rsidP="005F43DF">
      <w:pPr>
        <w:pStyle w:val="Standardntext"/>
        <w:numPr>
          <w:ilvl w:val="0"/>
          <w:numId w:val="44"/>
        </w:numPr>
      </w:pPr>
      <w:r w:rsidRPr="008B53A9">
        <w:t>Vliv projektů SC2.3 na oblast půdy. Nad rámec výše uvedeného indikátoru specifického cíle 2.3 bude na projektové úrovni interně monitorován vliv daného projektu na oblast půdy prostřednictvím indikátoru „</w:t>
      </w:r>
      <w:r w:rsidR="001F6899" w:rsidRPr="008B53A9">
        <w:t>Rozšířené, zrekonstruované nebo nově vybudované kapacity bez záboru zemědělského půdního fondu</w:t>
      </w:r>
      <w:r w:rsidRPr="008B53A9">
        <w:t>“</w:t>
      </w:r>
      <w:r w:rsidR="001F6899" w:rsidRPr="008B53A9">
        <w:t>. Tento</w:t>
      </w:r>
      <w:r w:rsidRPr="008B53A9">
        <w:t xml:space="preserve"> environmentální </w:t>
      </w:r>
      <w:r w:rsidR="001F6899" w:rsidRPr="008B53A9">
        <w:t>indikátor bude dále agregován</w:t>
      </w:r>
      <w:r w:rsidRPr="008B53A9">
        <w:t xml:space="preserve"> pro potřeby Dohody o partnerství.</w:t>
      </w:r>
    </w:p>
    <w:p w:rsidR="00A438A6" w:rsidRPr="008B53A9" w:rsidRDefault="00A438A6"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A438A6" w:rsidRPr="008B53A9" w:rsidRDefault="00A438A6" w:rsidP="005F43DF">
      <w:pPr>
        <w:pStyle w:val="Standardntext"/>
        <w:numPr>
          <w:ilvl w:val="0"/>
          <w:numId w:val="44"/>
        </w:numPr>
      </w:pPr>
      <w:r w:rsidRPr="008B53A9">
        <w:t>Žadatel nesmí mít právní formu akciové společnosti s listinnými akciemi na majitele.</w:t>
      </w:r>
    </w:p>
    <w:p w:rsidR="00F262C8" w:rsidRPr="008B53A9" w:rsidRDefault="00BA6461" w:rsidP="005F43DF">
      <w:pPr>
        <w:pStyle w:val="Nadpis5"/>
        <w:numPr>
          <w:ilvl w:val="4"/>
          <w:numId w:val="20"/>
        </w:numPr>
        <w:rPr>
          <w:rFonts w:cs="Calibri"/>
        </w:rPr>
      </w:pPr>
      <w:r w:rsidRPr="008B53A9">
        <w:t>Plánované využití finančních nástrojů (použije-li se)</w:t>
      </w:r>
    </w:p>
    <w:p w:rsidR="00F262C8" w:rsidRPr="008B53A9" w:rsidRDefault="00352703" w:rsidP="00A46BFD">
      <w:pPr>
        <w:pStyle w:val="Standardntext"/>
      </w:pPr>
      <w:r w:rsidRPr="008B53A9">
        <w:t>Řídící orgán předpokládá využití finančních nástrojů v této investiční prioritě</w:t>
      </w:r>
      <w:r w:rsidR="005549FF" w:rsidRPr="008B53A9">
        <w:t xml:space="preserve"> v rámci specifického cíle 2.3. O využitelnosti finančních nástrojů v tomto specifickém cíli bude rozhodnuto na základě </w:t>
      </w:r>
      <w:r w:rsidRPr="008B53A9">
        <w:t>předběžného posouzení finančních nástrojů OP PIK dle čl. 37 odst. 2 obecného nařízení, které provede ŘO OP PIK, případně jeho revize podle čl. 37 odst. 2 písm. g) obecného nařízení.</w:t>
      </w:r>
      <w:r w:rsidR="005549FF" w:rsidRPr="008B53A9">
        <w:t xml:space="preserve"> </w:t>
      </w:r>
      <w:r w:rsidR="00A46BFD" w:rsidRPr="008B53A9">
        <w:t>V případě specifického cíle 2.4 bude nástrojem podpory dotace</w:t>
      </w:r>
      <w:r w:rsidR="00BD4071" w:rsidRPr="008B53A9">
        <w:t>.</w:t>
      </w:r>
    </w:p>
    <w:p w:rsidR="00F262C8" w:rsidRPr="008B53A9" w:rsidRDefault="00BA6461" w:rsidP="005F43DF">
      <w:pPr>
        <w:pStyle w:val="Nadpis5"/>
        <w:numPr>
          <w:ilvl w:val="4"/>
          <w:numId w:val="20"/>
        </w:numPr>
      </w:pPr>
      <w:r w:rsidRPr="008B53A9">
        <w:t>Plánované využití velkých projektů (použije-li se)</w:t>
      </w:r>
    </w:p>
    <w:p w:rsidR="002A4D1D" w:rsidRPr="008B53A9" w:rsidRDefault="002A4D1D" w:rsidP="002A4D1D">
      <w:pPr>
        <w:pStyle w:val="Standardntext"/>
      </w:pPr>
      <w:r w:rsidRPr="008B53A9">
        <w:t xml:space="preserve">Velké projekty ve smyslu čl. </w:t>
      </w:r>
      <w:r w:rsidR="00C17C7C" w:rsidRPr="008B53A9">
        <w:t>10</w:t>
      </w:r>
      <w:r w:rsidRPr="008B53A9">
        <w:t>0 obecného nařízení nejsou plánovány.</w:t>
      </w:r>
    </w:p>
    <w:p w:rsidR="00F262C8" w:rsidRPr="008B53A9" w:rsidRDefault="00BA6461" w:rsidP="005F43DF">
      <w:pPr>
        <w:pStyle w:val="Nadpis5"/>
        <w:keepNext w:val="0"/>
        <w:keepLines w:val="0"/>
        <w:numPr>
          <w:ilvl w:val="4"/>
          <w:numId w:val="20"/>
        </w:numPr>
      </w:pPr>
      <w:r w:rsidRPr="008B53A9">
        <w:t>Ukazatele výstupů podle investiční priority a případně podle kategorie regionů</w:t>
      </w:r>
    </w:p>
    <w:p w:rsidR="00F262C8" w:rsidRPr="008B53A9" w:rsidRDefault="00F262C8" w:rsidP="0065467A">
      <w:pPr>
        <w:pStyle w:val="Titulek"/>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5000" w:type="pct"/>
        <w:tblCellMar>
          <w:left w:w="57" w:type="dxa"/>
          <w:right w:w="57" w:type="dxa"/>
        </w:tblCellMar>
        <w:tblLook w:val="01E0" w:firstRow="1" w:lastRow="1" w:firstColumn="1" w:lastColumn="1" w:noHBand="0" w:noVBand="0"/>
      </w:tblPr>
      <w:tblGrid>
        <w:gridCol w:w="1154"/>
        <w:gridCol w:w="2403"/>
        <w:gridCol w:w="946"/>
        <w:gridCol w:w="665"/>
        <w:gridCol w:w="1043"/>
        <w:gridCol w:w="1108"/>
        <w:gridCol w:w="798"/>
        <w:gridCol w:w="1209"/>
      </w:tblGrid>
      <w:tr w:rsidR="00956C4F" w:rsidRPr="008B53A9">
        <w:trPr>
          <w:trHeight w:hRule="exact" w:val="1058"/>
        </w:trPr>
        <w:tc>
          <w:tcPr>
            <w:tcW w:w="20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ID</w:t>
            </w:r>
          </w:p>
        </w:tc>
        <w:tc>
          <w:tcPr>
            <w:tcW w:w="1348"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Ukazatel</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Měrná jednotka</w:t>
            </w:r>
          </w:p>
        </w:tc>
        <w:tc>
          <w:tcPr>
            <w:tcW w:w="380"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Fond</w:t>
            </w:r>
          </w:p>
        </w:tc>
        <w:tc>
          <w:tcPr>
            <w:tcW w:w="60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Kategorie regionu</w:t>
            </w:r>
          </w:p>
        </w:tc>
        <w:tc>
          <w:tcPr>
            <w:tcW w:w="736"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D57106">
            <w:pPr>
              <w:pStyle w:val="Tabulka"/>
              <w:rPr>
                <w:rFonts w:cs="Calibri"/>
                <w:b/>
                <w:lang w:val="cs-CZ" w:eastAsia="cs-CZ"/>
              </w:rPr>
            </w:pPr>
            <w:r w:rsidRPr="008B53A9">
              <w:rPr>
                <w:rFonts w:cs="Calibri"/>
                <w:b/>
                <w:lang w:val="cs-CZ" w:eastAsia="cs-CZ"/>
              </w:rPr>
              <w:t>Cílová hodnota</w:t>
            </w:r>
            <w:r w:rsidR="00D57106" w:rsidRPr="008B53A9">
              <w:rPr>
                <w:rFonts w:cs="Calibri"/>
                <w:b/>
                <w:lang w:val="cs-CZ" w:eastAsia="cs-CZ"/>
              </w:rPr>
              <w:t xml:space="preserve"> </w:t>
            </w:r>
            <w:r w:rsidRPr="008B53A9">
              <w:rPr>
                <w:rFonts w:cs="Calibri"/>
                <w:b/>
                <w:lang w:val="cs-CZ" w:eastAsia="cs-CZ"/>
              </w:rPr>
              <w:t>(2023)</w:t>
            </w:r>
          </w:p>
        </w:tc>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Zdroj údajů</w:t>
            </w:r>
          </w:p>
        </w:tc>
        <w:tc>
          <w:tcPr>
            <w:tcW w:w="70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Četnost podávání zpráv</w:t>
            </w:r>
          </w:p>
        </w:tc>
      </w:tr>
      <w:tr w:rsidR="00956C4F" w:rsidRPr="008B53A9">
        <w:trPr>
          <w:trHeight w:val="510"/>
        </w:trPr>
        <w:tc>
          <w:tcPr>
            <w:tcW w:w="203"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8E174F" w:rsidP="0065467A">
            <w:pPr>
              <w:pStyle w:val="Tabulka"/>
              <w:rPr>
                <w:rFonts w:cs="Calibri"/>
                <w:lang w:val="cs-CZ" w:eastAsia="cs-CZ"/>
              </w:rPr>
            </w:pPr>
            <w:r w:rsidRPr="008B53A9">
              <w:rPr>
                <w:rFonts w:cs="Calibri"/>
                <w:lang w:val="cs-CZ" w:eastAsia="cs-CZ"/>
              </w:rPr>
              <w:t>C</w:t>
            </w:r>
            <w:r w:rsidR="00927ADD" w:rsidRPr="008B53A9">
              <w:rPr>
                <w:rFonts w:cs="Calibri"/>
                <w:lang w:val="cs-CZ" w:eastAsia="cs-CZ"/>
              </w:rPr>
              <w:t>/EFRR/0</w:t>
            </w:r>
            <w:r w:rsidR="007A5135" w:rsidRPr="008B53A9">
              <w:rPr>
                <w:rFonts w:cs="Calibri"/>
                <w:lang w:val="cs-CZ" w:eastAsia="cs-CZ"/>
              </w:rPr>
              <w:t>1</w:t>
            </w:r>
          </w:p>
        </w:tc>
        <w:tc>
          <w:tcPr>
            <w:tcW w:w="1348"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D6298" w:rsidP="0065467A">
            <w:pPr>
              <w:pStyle w:val="Tabulka"/>
              <w:jc w:val="left"/>
              <w:rPr>
                <w:rFonts w:cs="Calibri"/>
                <w:lang w:val="cs-CZ" w:eastAsia="cs-CZ"/>
              </w:rPr>
            </w:pPr>
            <w:r w:rsidRPr="008B53A9">
              <w:rPr>
                <w:rFonts w:cs="Calibri"/>
                <w:lang w:val="cs-CZ" w:eastAsia="cs-CZ"/>
              </w:rPr>
              <w:t>Počet podniků pobírajících podporu</w:t>
            </w:r>
          </w:p>
        </w:tc>
        <w:tc>
          <w:tcPr>
            <w:tcW w:w="532"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65467A">
            <w:pPr>
              <w:pStyle w:val="Tabulka"/>
              <w:rPr>
                <w:rFonts w:cs="Calibri"/>
                <w:lang w:val="cs-CZ" w:eastAsia="cs-CZ"/>
              </w:rPr>
            </w:pPr>
            <w:r w:rsidRPr="008B53A9">
              <w:rPr>
                <w:rFonts w:cs="Calibri"/>
                <w:lang w:val="cs-CZ" w:eastAsia="cs-CZ"/>
              </w:rPr>
              <w:t>podniky</w:t>
            </w:r>
          </w:p>
        </w:tc>
        <w:tc>
          <w:tcPr>
            <w:tcW w:w="380"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2B3F69" w:rsidP="0065467A">
            <w:pPr>
              <w:pStyle w:val="Tabulka"/>
              <w:rPr>
                <w:rFonts w:cs="Calibri"/>
                <w:lang w:val="cs-CZ" w:eastAsia="cs-CZ"/>
              </w:rPr>
            </w:pPr>
            <w:r w:rsidRPr="008B53A9">
              <w:rPr>
                <w:rFonts w:cs="Calibri"/>
                <w:lang w:val="cs-CZ" w:eastAsia="cs-CZ"/>
              </w:rPr>
              <w:t>EFRR</w:t>
            </w:r>
          </w:p>
        </w:tc>
        <w:tc>
          <w:tcPr>
            <w:tcW w:w="607"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65467A">
            <w:pPr>
              <w:pStyle w:val="Tabulka"/>
              <w:rPr>
                <w:rFonts w:cs="Calibri"/>
                <w:lang w:val="cs-CZ" w:eastAsia="cs-CZ"/>
              </w:rPr>
            </w:pPr>
            <w:r w:rsidRPr="008B53A9">
              <w:rPr>
                <w:rFonts w:cs="Calibri"/>
                <w:lang w:val="cs-CZ" w:eastAsia="cs-CZ"/>
              </w:rPr>
              <w:t>Méně rozvinuté regiony</w:t>
            </w:r>
          </w:p>
        </w:tc>
        <w:tc>
          <w:tcPr>
            <w:tcW w:w="736"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0E2818" w:rsidP="0065467A">
            <w:pPr>
              <w:pStyle w:val="Tabulka"/>
              <w:rPr>
                <w:rFonts w:cs="Calibri"/>
                <w:lang w:val="cs-CZ" w:eastAsia="cs-CZ"/>
              </w:rPr>
            </w:pPr>
            <w:r w:rsidRPr="008B53A9">
              <w:rPr>
                <w:rFonts w:cs="Calibri"/>
                <w:lang w:val="cs-CZ" w:eastAsia="cs-CZ"/>
              </w:rPr>
              <w:t>820</w:t>
            </w:r>
          </w:p>
        </w:tc>
        <w:tc>
          <w:tcPr>
            <w:tcW w:w="487"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1B0574" w:rsidP="0065467A">
            <w:pPr>
              <w:pStyle w:val="Tabulka"/>
              <w:rPr>
                <w:rFonts w:cs="Calibri"/>
                <w:lang w:val="cs-CZ" w:eastAsia="cs-CZ"/>
              </w:rPr>
            </w:pPr>
            <w:r w:rsidRPr="008B53A9">
              <w:rPr>
                <w:rFonts w:cs="Calibri"/>
                <w:lang w:val="cs-CZ" w:eastAsia="cs-CZ"/>
              </w:rPr>
              <w:t>ŘO</w:t>
            </w:r>
          </w:p>
        </w:tc>
        <w:tc>
          <w:tcPr>
            <w:tcW w:w="707"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AB615E">
            <w:pPr>
              <w:pStyle w:val="Tabulka"/>
              <w:rPr>
                <w:rFonts w:cs="Calibri"/>
                <w:lang w:val="cs-CZ" w:eastAsia="cs-CZ"/>
              </w:rPr>
            </w:pPr>
            <w:r w:rsidRPr="008B53A9">
              <w:rPr>
                <w:rFonts w:cs="Calibri"/>
                <w:lang w:val="cs-CZ" w:eastAsia="cs-CZ"/>
              </w:rPr>
              <w:t>průběžně</w:t>
            </w:r>
          </w:p>
        </w:tc>
      </w:tr>
      <w:tr w:rsidR="00956C4F" w:rsidRPr="008B53A9">
        <w:trPr>
          <w:trHeight w:val="510"/>
        </w:trPr>
        <w:tc>
          <w:tcPr>
            <w:tcW w:w="203"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8E174F" w:rsidP="0065467A">
            <w:pPr>
              <w:pStyle w:val="Tabulka"/>
              <w:rPr>
                <w:rFonts w:cs="Calibri"/>
                <w:lang w:val="cs-CZ" w:eastAsia="cs-CZ"/>
              </w:rPr>
            </w:pPr>
            <w:r w:rsidRPr="008B53A9">
              <w:rPr>
                <w:rFonts w:cs="Calibri"/>
                <w:lang w:val="cs-CZ" w:eastAsia="cs-CZ"/>
              </w:rPr>
              <w:t>C</w:t>
            </w:r>
            <w:r w:rsidR="00927ADD" w:rsidRPr="008B53A9">
              <w:rPr>
                <w:rFonts w:cs="Calibri"/>
                <w:lang w:val="cs-CZ" w:eastAsia="cs-CZ"/>
              </w:rPr>
              <w:t>/EFRR/0</w:t>
            </w:r>
            <w:r w:rsidR="007A5135" w:rsidRPr="008B53A9">
              <w:rPr>
                <w:rFonts w:cs="Calibri"/>
                <w:lang w:val="cs-CZ" w:eastAsia="cs-CZ"/>
              </w:rPr>
              <w:t>2</w:t>
            </w:r>
          </w:p>
        </w:tc>
        <w:tc>
          <w:tcPr>
            <w:tcW w:w="1348"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65467A">
            <w:pPr>
              <w:pStyle w:val="Tabulka"/>
              <w:jc w:val="left"/>
              <w:rPr>
                <w:rFonts w:cs="Calibri"/>
                <w:lang w:val="cs-CZ" w:eastAsia="cs-CZ"/>
              </w:rPr>
            </w:pPr>
            <w:r w:rsidRPr="008B53A9">
              <w:rPr>
                <w:rFonts w:cs="Calibri"/>
                <w:lang w:val="cs-CZ" w:eastAsia="cs-CZ"/>
              </w:rPr>
              <w:t>Počet podniků pobírajících granty</w:t>
            </w:r>
          </w:p>
        </w:tc>
        <w:tc>
          <w:tcPr>
            <w:tcW w:w="532"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65467A">
            <w:pPr>
              <w:pStyle w:val="Tabulka"/>
              <w:rPr>
                <w:rFonts w:cs="Calibri"/>
                <w:lang w:val="cs-CZ" w:eastAsia="cs-CZ"/>
              </w:rPr>
            </w:pPr>
            <w:r w:rsidRPr="008B53A9">
              <w:rPr>
                <w:rFonts w:cs="Calibri"/>
                <w:lang w:val="cs-CZ" w:eastAsia="cs-CZ"/>
              </w:rPr>
              <w:t>podniky</w:t>
            </w:r>
          </w:p>
        </w:tc>
        <w:tc>
          <w:tcPr>
            <w:tcW w:w="380"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2B3F69" w:rsidP="008165DC">
            <w:pPr>
              <w:pStyle w:val="Tabulka"/>
              <w:rPr>
                <w:rFonts w:cs="Calibri"/>
                <w:lang w:val="cs-CZ" w:eastAsia="cs-CZ"/>
              </w:rPr>
            </w:pPr>
            <w:r w:rsidRPr="008B53A9">
              <w:rPr>
                <w:rFonts w:cs="Calibri"/>
                <w:lang w:val="cs-CZ" w:eastAsia="cs-CZ"/>
              </w:rPr>
              <w:t>EFRR</w:t>
            </w:r>
          </w:p>
        </w:tc>
        <w:tc>
          <w:tcPr>
            <w:tcW w:w="607"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65467A">
            <w:pPr>
              <w:pStyle w:val="Tabulka"/>
              <w:rPr>
                <w:rFonts w:cs="Calibri"/>
                <w:lang w:val="cs-CZ" w:eastAsia="cs-CZ"/>
              </w:rPr>
            </w:pPr>
            <w:r w:rsidRPr="008B53A9">
              <w:rPr>
                <w:rFonts w:cs="Calibri"/>
                <w:lang w:val="cs-CZ" w:eastAsia="cs-CZ"/>
              </w:rPr>
              <w:t>Méně rozvinuté regiony</w:t>
            </w:r>
          </w:p>
        </w:tc>
        <w:tc>
          <w:tcPr>
            <w:tcW w:w="736"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0E2818" w:rsidP="0065467A">
            <w:pPr>
              <w:pStyle w:val="Tabulka"/>
              <w:rPr>
                <w:rFonts w:cs="Calibri"/>
                <w:lang w:val="cs-CZ" w:eastAsia="cs-CZ"/>
              </w:rPr>
            </w:pPr>
            <w:r w:rsidRPr="008B53A9">
              <w:rPr>
                <w:rFonts w:cs="Calibri"/>
                <w:lang w:val="cs-CZ" w:eastAsia="cs-CZ"/>
              </w:rPr>
              <w:t>820</w:t>
            </w:r>
          </w:p>
        </w:tc>
        <w:tc>
          <w:tcPr>
            <w:tcW w:w="487"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1B0574" w:rsidP="007A5135">
            <w:pPr>
              <w:pStyle w:val="Tabulka"/>
              <w:rPr>
                <w:rFonts w:cs="Calibri"/>
                <w:lang w:val="cs-CZ" w:eastAsia="cs-CZ"/>
              </w:rPr>
            </w:pPr>
            <w:r w:rsidRPr="008B53A9">
              <w:rPr>
                <w:rFonts w:cs="Calibri"/>
                <w:lang w:val="cs-CZ" w:eastAsia="cs-CZ"/>
              </w:rPr>
              <w:t>ŘO</w:t>
            </w:r>
          </w:p>
        </w:tc>
        <w:tc>
          <w:tcPr>
            <w:tcW w:w="707"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AB615E">
            <w:pPr>
              <w:pStyle w:val="Tabulka"/>
              <w:rPr>
                <w:rFonts w:cs="Calibri"/>
                <w:lang w:val="cs-CZ" w:eastAsia="cs-CZ"/>
              </w:rPr>
            </w:pPr>
            <w:r w:rsidRPr="008B53A9">
              <w:rPr>
                <w:rFonts w:cs="Calibri"/>
                <w:lang w:val="cs-CZ" w:eastAsia="cs-CZ"/>
              </w:rPr>
              <w:t>průběžně</w:t>
            </w:r>
          </w:p>
        </w:tc>
      </w:tr>
      <w:tr w:rsidR="00956C4F" w:rsidRPr="008B53A9">
        <w:trPr>
          <w:trHeight w:val="510"/>
        </w:trPr>
        <w:tc>
          <w:tcPr>
            <w:tcW w:w="203"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8E174F" w:rsidP="0065467A">
            <w:pPr>
              <w:pStyle w:val="Tabulka"/>
              <w:rPr>
                <w:rFonts w:cs="Calibri"/>
                <w:lang w:val="cs-CZ" w:eastAsia="cs-CZ"/>
              </w:rPr>
            </w:pPr>
            <w:r w:rsidRPr="008B53A9">
              <w:rPr>
                <w:rFonts w:cs="Calibri"/>
                <w:lang w:val="cs-CZ" w:eastAsia="cs-CZ"/>
              </w:rPr>
              <w:t>C</w:t>
            </w:r>
            <w:r w:rsidR="00927ADD" w:rsidRPr="008B53A9">
              <w:rPr>
                <w:rFonts w:cs="Calibri"/>
                <w:lang w:val="cs-CZ" w:eastAsia="cs-CZ"/>
              </w:rPr>
              <w:t>/EFRR/0</w:t>
            </w:r>
            <w:r w:rsidR="007A5135" w:rsidRPr="008B53A9">
              <w:rPr>
                <w:rFonts w:cs="Calibri"/>
                <w:lang w:val="cs-CZ" w:eastAsia="cs-CZ"/>
              </w:rPr>
              <w:t>6</w:t>
            </w:r>
          </w:p>
        </w:tc>
        <w:tc>
          <w:tcPr>
            <w:tcW w:w="1348"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EA2DBD" w:rsidP="0065467A">
            <w:pPr>
              <w:pStyle w:val="Tabulka"/>
              <w:jc w:val="left"/>
              <w:rPr>
                <w:rFonts w:cs="Calibri"/>
                <w:lang w:val="cs-CZ" w:eastAsia="cs-CZ"/>
              </w:rPr>
            </w:pPr>
            <w:r w:rsidRPr="008B53A9">
              <w:rPr>
                <w:rFonts w:cs="Calibri"/>
                <w:lang w:val="cs-CZ" w:eastAsia="cs-CZ"/>
              </w:rPr>
              <w:t>Soukromé investice v projektech s veřejnou podporou (granty)</w:t>
            </w:r>
          </w:p>
        </w:tc>
        <w:tc>
          <w:tcPr>
            <w:tcW w:w="532"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65467A">
            <w:pPr>
              <w:pStyle w:val="Tabulka"/>
              <w:rPr>
                <w:rFonts w:cs="Calibri"/>
                <w:lang w:val="cs-CZ" w:eastAsia="cs-CZ"/>
              </w:rPr>
            </w:pPr>
            <w:r w:rsidRPr="008B53A9">
              <w:rPr>
                <w:rFonts w:cs="Calibri"/>
                <w:lang w:val="cs-CZ" w:eastAsia="cs-CZ"/>
              </w:rPr>
              <w:t>EUR</w:t>
            </w:r>
          </w:p>
        </w:tc>
        <w:tc>
          <w:tcPr>
            <w:tcW w:w="380"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2B3F69" w:rsidP="008165DC">
            <w:pPr>
              <w:pStyle w:val="Tabulka"/>
              <w:rPr>
                <w:rFonts w:cs="Calibri"/>
                <w:lang w:val="cs-CZ" w:eastAsia="cs-CZ"/>
              </w:rPr>
            </w:pPr>
            <w:r w:rsidRPr="008B53A9">
              <w:rPr>
                <w:rFonts w:cs="Calibri"/>
                <w:lang w:val="cs-CZ" w:eastAsia="cs-CZ"/>
              </w:rPr>
              <w:t>EFRR</w:t>
            </w:r>
          </w:p>
        </w:tc>
        <w:tc>
          <w:tcPr>
            <w:tcW w:w="607"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65467A">
            <w:pPr>
              <w:pStyle w:val="Tabulka"/>
              <w:rPr>
                <w:rFonts w:cs="Calibri"/>
                <w:lang w:val="cs-CZ" w:eastAsia="cs-CZ"/>
              </w:rPr>
            </w:pPr>
            <w:r w:rsidRPr="008B53A9">
              <w:rPr>
                <w:rFonts w:cs="Calibri"/>
                <w:lang w:val="cs-CZ" w:eastAsia="cs-CZ"/>
              </w:rPr>
              <w:t>Méně rozvinuté regiony</w:t>
            </w:r>
          </w:p>
        </w:tc>
        <w:tc>
          <w:tcPr>
            <w:tcW w:w="736"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914490" w:rsidP="0065467A">
            <w:pPr>
              <w:pStyle w:val="Tabulka"/>
              <w:rPr>
                <w:rFonts w:cs="Calibri"/>
                <w:lang w:val="cs-CZ" w:eastAsia="cs-CZ"/>
              </w:rPr>
            </w:pPr>
            <w:r w:rsidRPr="008B53A9">
              <w:rPr>
                <w:rFonts w:cs="Calibri"/>
                <w:lang w:val="cs-CZ" w:eastAsia="cs-CZ"/>
              </w:rPr>
              <w:t>394</w:t>
            </w:r>
            <w:r w:rsidR="00361807" w:rsidRPr="008B53A9">
              <w:rPr>
                <w:rFonts w:cs="Calibri"/>
                <w:lang w:val="cs-CZ" w:eastAsia="cs-CZ"/>
              </w:rPr>
              <w:t> 000 000</w:t>
            </w:r>
          </w:p>
        </w:tc>
        <w:tc>
          <w:tcPr>
            <w:tcW w:w="487"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1B0574" w:rsidP="007A5135">
            <w:pPr>
              <w:pStyle w:val="Tabulka"/>
              <w:rPr>
                <w:rFonts w:cs="Calibri"/>
                <w:lang w:val="cs-CZ" w:eastAsia="cs-CZ"/>
              </w:rPr>
            </w:pPr>
            <w:r w:rsidRPr="008B53A9">
              <w:rPr>
                <w:rFonts w:cs="Calibri"/>
                <w:lang w:val="cs-CZ" w:eastAsia="cs-CZ"/>
              </w:rPr>
              <w:t>ŘO</w:t>
            </w:r>
          </w:p>
        </w:tc>
        <w:tc>
          <w:tcPr>
            <w:tcW w:w="707" w:type="pct"/>
            <w:tcBorders>
              <w:top w:val="single" w:sz="4" w:space="0" w:color="000000"/>
              <w:left w:val="single" w:sz="4" w:space="0" w:color="000000"/>
              <w:bottom w:val="single" w:sz="4" w:space="0" w:color="000000"/>
              <w:right w:val="single" w:sz="4" w:space="0" w:color="000000"/>
            </w:tcBorders>
            <w:vAlign w:val="center"/>
          </w:tcPr>
          <w:p w:rsidR="007A5135" w:rsidRPr="008B53A9" w:rsidRDefault="007A5135" w:rsidP="00AB615E">
            <w:pPr>
              <w:pStyle w:val="Tabulka"/>
              <w:rPr>
                <w:rFonts w:cs="Calibri"/>
                <w:lang w:val="cs-CZ" w:eastAsia="cs-CZ"/>
              </w:rPr>
            </w:pPr>
            <w:r w:rsidRPr="008B53A9">
              <w:rPr>
                <w:rFonts w:cs="Calibri"/>
                <w:lang w:val="cs-CZ" w:eastAsia="cs-CZ"/>
              </w:rPr>
              <w:t>průběžně</w:t>
            </w:r>
          </w:p>
        </w:tc>
      </w:tr>
    </w:tbl>
    <w:p w:rsidR="00346C12" w:rsidRPr="008B53A9" w:rsidRDefault="00AC6E26" w:rsidP="005F43DF">
      <w:pPr>
        <w:pStyle w:val="kapitola2A0"/>
        <w:numPr>
          <w:ilvl w:val="2"/>
          <w:numId w:val="69"/>
        </w:numPr>
      </w:pPr>
      <w:bookmarkStart w:id="52" w:name="_Toc391539622"/>
      <w:r w:rsidRPr="008B53A9">
        <w:t>Sociální inovace, nadnárodní spolupráce a přínos k tematickým cílům 1 až 7</w:t>
      </w:r>
      <w:bookmarkEnd w:id="52"/>
      <w:r w:rsidR="00346C12" w:rsidRPr="008B53A9">
        <w:t xml:space="preserve"> </w:t>
      </w:r>
    </w:p>
    <w:p w:rsidR="004126CC" w:rsidRPr="008B53A9" w:rsidRDefault="008A5FCE" w:rsidP="008A5FCE">
      <w:pPr>
        <w:pStyle w:val="Standardntext"/>
        <w:sectPr w:rsidR="004126CC" w:rsidRPr="008B53A9" w:rsidSect="004126CC">
          <w:headerReference w:type="default" r:id="rId25"/>
          <w:footerReference w:type="default" r:id="rId26"/>
          <w:type w:val="continuous"/>
          <w:pgSz w:w="11906" w:h="16838"/>
          <w:pgMar w:top="1418" w:right="1276" w:bottom="1276" w:left="1418" w:header="709" w:footer="709" w:gutter="0"/>
          <w:cols w:space="708"/>
          <w:docGrid w:linePitch="272"/>
        </w:sectPr>
      </w:pPr>
      <w:r w:rsidRPr="008B53A9">
        <w:t>Není relevantní pro OP PIK.</w:t>
      </w:r>
    </w:p>
    <w:p w:rsidR="00346C12" w:rsidRPr="008B53A9" w:rsidRDefault="00AC6E26" w:rsidP="005F43DF">
      <w:pPr>
        <w:pStyle w:val="kapitola2A0"/>
        <w:numPr>
          <w:ilvl w:val="2"/>
          <w:numId w:val="69"/>
        </w:numPr>
      </w:pPr>
      <w:bookmarkStart w:id="53" w:name="_Toc391539623"/>
      <w:r w:rsidRPr="008B53A9">
        <w:lastRenderedPageBreak/>
        <w:t>Výkonnostní rámec</w:t>
      </w:r>
      <w:bookmarkEnd w:id="53"/>
    </w:p>
    <w:p w:rsidR="00505E76" w:rsidRPr="008B53A9" w:rsidRDefault="00505E76" w:rsidP="00B5004C">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6</w:t>
      </w:r>
      <w:r w:rsidR="00C3289B" w:rsidRPr="008B53A9">
        <w:rPr>
          <w:noProof/>
        </w:rPr>
        <w:fldChar w:fldCharType="end"/>
      </w:r>
      <w:r w:rsidRPr="008B53A9">
        <w:t xml:space="preserve">: </w:t>
      </w:r>
      <w:r w:rsidR="00AC6E26" w:rsidRPr="008B53A9">
        <w:t>Výkonnostní rámec prioritní osy</w:t>
      </w:r>
      <w:r w:rsidRPr="008B53A9">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687"/>
        <w:gridCol w:w="1154"/>
        <w:gridCol w:w="1494"/>
        <w:gridCol w:w="1210"/>
        <w:gridCol w:w="767"/>
        <w:gridCol w:w="1145"/>
        <w:gridCol w:w="1263"/>
        <w:gridCol w:w="1307"/>
        <w:gridCol w:w="664"/>
        <w:gridCol w:w="2634"/>
      </w:tblGrid>
      <w:tr w:rsidR="009F18F5" w:rsidRPr="008B53A9">
        <w:tc>
          <w:tcPr>
            <w:tcW w:w="345" w:type="pct"/>
            <w:shd w:val="clear" w:color="auto" w:fill="B8CCE4"/>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Prioritní osa</w:t>
            </w:r>
          </w:p>
        </w:tc>
        <w:tc>
          <w:tcPr>
            <w:tcW w:w="620" w:type="pct"/>
            <w:shd w:val="clear" w:color="auto" w:fill="B8CCE4"/>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Typ ukazatele</w:t>
            </w:r>
          </w:p>
          <w:p w:rsidR="00AE32DE" w:rsidRPr="008B53A9" w:rsidRDefault="00AE32DE" w:rsidP="009F18F5">
            <w:pPr>
              <w:pStyle w:val="Tabulka"/>
              <w:keepNext/>
              <w:keepLines/>
              <w:rPr>
                <w:rFonts w:cs="Calibri"/>
                <w:b/>
                <w:lang w:val="cs-CZ" w:eastAsia="cs-CZ"/>
              </w:rPr>
            </w:pPr>
            <w:r w:rsidRPr="008B53A9">
              <w:rPr>
                <w:rFonts w:cs="Calibri"/>
                <w:b/>
                <w:lang w:val="cs-CZ" w:eastAsia="cs-CZ"/>
              </w:rPr>
              <w:t>(klíčový krok provádění, finanční výstup nebo popřípadě ukazatel výsledků)</w:t>
            </w:r>
          </w:p>
        </w:tc>
        <w:tc>
          <w:tcPr>
            <w:tcW w:w="199" w:type="pct"/>
            <w:shd w:val="clear" w:color="auto" w:fill="B8CCE4"/>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ID</w:t>
            </w:r>
          </w:p>
        </w:tc>
        <w:tc>
          <w:tcPr>
            <w:tcW w:w="547" w:type="pct"/>
            <w:shd w:val="clear" w:color="auto" w:fill="B8CCE4"/>
            <w:tcMar>
              <w:top w:w="0" w:type="dxa"/>
              <w:left w:w="108" w:type="dxa"/>
              <w:bottom w:w="0" w:type="dxa"/>
              <w:right w:w="108" w:type="dxa"/>
            </w:tcMar>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Ukazatel nebo klíčový krok provádění</w:t>
            </w:r>
          </w:p>
        </w:tc>
        <w:tc>
          <w:tcPr>
            <w:tcW w:w="447" w:type="pct"/>
            <w:shd w:val="clear" w:color="auto" w:fill="B8CCE4"/>
            <w:tcMar>
              <w:top w:w="0" w:type="dxa"/>
              <w:left w:w="108" w:type="dxa"/>
              <w:bottom w:w="0" w:type="dxa"/>
              <w:right w:w="108" w:type="dxa"/>
            </w:tcMar>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Měrná jednotka (použije-li se)</w:t>
            </w:r>
          </w:p>
        </w:tc>
        <w:tc>
          <w:tcPr>
            <w:tcW w:w="269" w:type="pct"/>
            <w:shd w:val="clear" w:color="auto" w:fill="B8CCE4"/>
            <w:tcMar>
              <w:top w:w="0" w:type="dxa"/>
              <w:left w:w="108" w:type="dxa"/>
              <w:bottom w:w="0" w:type="dxa"/>
              <w:right w:w="108" w:type="dxa"/>
            </w:tcMar>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Fond</w:t>
            </w:r>
          </w:p>
        </w:tc>
        <w:tc>
          <w:tcPr>
            <w:tcW w:w="402" w:type="pct"/>
            <w:shd w:val="clear" w:color="auto" w:fill="B8CCE4"/>
            <w:tcMar>
              <w:top w:w="0" w:type="dxa"/>
              <w:left w:w="108" w:type="dxa"/>
              <w:bottom w:w="0" w:type="dxa"/>
              <w:right w:w="108" w:type="dxa"/>
            </w:tcMar>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Kategorie regionů</w:t>
            </w:r>
          </w:p>
        </w:tc>
        <w:tc>
          <w:tcPr>
            <w:tcW w:w="488" w:type="pct"/>
            <w:shd w:val="clear" w:color="auto" w:fill="B8CCE4"/>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Milník pro rok 2018</w:t>
            </w:r>
          </w:p>
        </w:tc>
        <w:tc>
          <w:tcPr>
            <w:tcW w:w="481" w:type="pct"/>
            <w:shd w:val="clear" w:color="auto" w:fill="B8CCE4"/>
            <w:tcMar>
              <w:top w:w="0" w:type="dxa"/>
              <w:left w:w="108" w:type="dxa"/>
              <w:bottom w:w="0" w:type="dxa"/>
              <w:right w:w="108" w:type="dxa"/>
            </w:tcMar>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Konečný cíl (2023)</w:t>
            </w:r>
          </w:p>
        </w:tc>
        <w:tc>
          <w:tcPr>
            <w:tcW w:w="249" w:type="pct"/>
            <w:shd w:val="clear" w:color="auto" w:fill="B8CCE4"/>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Zdroj dat</w:t>
            </w:r>
          </w:p>
        </w:tc>
        <w:tc>
          <w:tcPr>
            <w:tcW w:w="953" w:type="pct"/>
            <w:shd w:val="clear" w:color="auto" w:fill="B8CCE4"/>
            <w:vAlign w:val="center"/>
          </w:tcPr>
          <w:p w:rsidR="00AE32DE" w:rsidRPr="008B53A9" w:rsidRDefault="00AE32DE" w:rsidP="009F18F5">
            <w:pPr>
              <w:pStyle w:val="Tabulka"/>
              <w:keepNext/>
              <w:keepLines/>
              <w:rPr>
                <w:rFonts w:cs="Calibri"/>
                <w:b/>
                <w:lang w:val="cs-CZ" w:eastAsia="cs-CZ"/>
              </w:rPr>
            </w:pPr>
            <w:r w:rsidRPr="008B53A9">
              <w:rPr>
                <w:rFonts w:cs="Calibri"/>
                <w:b/>
                <w:lang w:val="cs-CZ" w:eastAsia="cs-CZ"/>
              </w:rPr>
              <w:t>Popřípadě vysvětlení relevantnosti ukazatele</w:t>
            </w:r>
          </w:p>
        </w:tc>
      </w:tr>
      <w:tr w:rsidR="009F18F5" w:rsidRPr="008B53A9">
        <w:trPr>
          <w:trHeight w:val="670"/>
        </w:trPr>
        <w:tc>
          <w:tcPr>
            <w:tcW w:w="345" w:type="pct"/>
            <w:vAlign w:val="center"/>
          </w:tcPr>
          <w:p w:rsidR="00AE32DE" w:rsidRPr="008B53A9" w:rsidRDefault="00AE32DE" w:rsidP="009F18F5">
            <w:pPr>
              <w:pStyle w:val="Tabulka"/>
              <w:rPr>
                <w:rFonts w:cs="Calibri"/>
                <w:lang w:val="cs-CZ" w:eastAsia="cs-CZ"/>
              </w:rPr>
            </w:pPr>
            <w:r w:rsidRPr="008B53A9">
              <w:rPr>
                <w:rFonts w:cs="Calibri"/>
                <w:lang w:val="cs-CZ" w:eastAsia="cs-CZ"/>
              </w:rPr>
              <w:t>PO 2</w:t>
            </w:r>
          </w:p>
        </w:tc>
        <w:tc>
          <w:tcPr>
            <w:tcW w:w="620" w:type="pct"/>
            <w:vAlign w:val="center"/>
          </w:tcPr>
          <w:p w:rsidR="00AE32DE" w:rsidRPr="008B53A9" w:rsidRDefault="00AE32DE" w:rsidP="009F18F5">
            <w:pPr>
              <w:pStyle w:val="Tabulka"/>
              <w:rPr>
                <w:rFonts w:cs="Calibri"/>
                <w:lang w:val="cs-CZ" w:eastAsia="cs-CZ"/>
              </w:rPr>
            </w:pPr>
            <w:r w:rsidRPr="008B53A9">
              <w:rPr>
                <w:rFonts w:cs="Calibri"/>
                <w:lang w:val="cs-CZ" w:eastAsia="cs-CZ"/>
              </w:rPr>
              <w:t>finanční</w:t>
            </w:r>
          </w:p>
        </w:tc>
        <w:tc>
          <w:tcPr>
            <w:tcW w:w="199" w:type="pct"/>
            <w:vAlign w:val="center"/>
          </w:tcPr>
          <w:p w:rsidR="00AE32DE" w:rsidRPr="008B53A9" w:rsidRDefault="005823A6" w:rsidP="009F18F5">
            <w:pPr>
              <w:pStyle w:val="Tabulka"/>
              <w:rPr>
                <w:rFonts w:cs="Calibri"/>
                <w:lang w:val="cs-CZ" w:eastAsia="cs-CZ"/>
              </w:rPr>
            </w:pPr>
            <w:r w:rsidRPr="008B53A9">
              <w:rPr>
                <w:rFonts w:cs="Calibri"/>
                <w:lang w:val="cs-CZ" w:eastAsia="cs-CZ"/>
              </w:rPr>
              <w:t>N/A</w:t>
            </w:r>
          </w:p>
        </w:tc>
        <w:tc>
          <w:tcPr>
            <w:tcW w:w="547" w:type="pct"/>
            <w:shd w:val="clear" w:color="auto" w:fill="auto"/>
            <w:tcMar>
              <w:top w:w="0" w:type="dxa"/>
              <w:left w:w="108" w:type="dxa"/>
              <w:bottom w:w="0" w:type="dxa"/>
              <w:right w:w="108" w:type="dxa"/>
            </w:tcMar>
            <w:vAlign w:val="center"/>
          </w:tcPr>
          <w:p w:rsidR="00AE32DE" w:rsidRPr="008B53A9" w:rsidRDefault="000620DB" w:rsidP="009F18F5">
            <w:pPr>
              <w:pStyle w:val="Tabulka"/>
              <w:rPr>
                <w:rFonts w:cs="Calibri"/>
                <w:lang w:val="cs-CZ" w:eastAsia="cs-CZ"/>
              </w:rPr>
            </w:pPr>
            <w:r w:rsidRPr="008B53A9">
              <w:rPr>
                <w:rFonts w:cs="Calibri"/>
                <w:lang w:val="cs-CZ" w:eastAsia="cs-CZ"/>
              </w:rPr>
              <w:t>Certifikované finanční prostředky</w:t>
            </w:r>
          </w:p>
        </w:tc>
        <w:tc>
          <w:tcPr>
            <w:tcW w:w="447" w:type="pct"/>
            <w:shd w:val="clear" w:color="auto" w:fill="auto"/>
            <w:tcMar>
              <w:top w:w="0" w:type="dxa"/>
              <w:left w:w="108" w:type="dxa"/>
              <w:bottom w:w="0" w:type="dxa"/>
              <w:right w:w="108" w:type="dxa"/>
            </w:tcMar>
            <w:vAlign w:val="center"/>
          </w:tcPr>
          <w:p w:rsidR="00AE32DE" w:rsidRPr="008B53A9" w:rsidRDefault="00AE32DE" w:rsidP="009F18F5">
            <w:pPr>
              <w:pStyle w:val="Tabulka"/>
              <w:rPr>
                <w:rFonts w:cs="Calibri"/>
                <w:lang w:val="cs-CZ" w:eastAsia="cs-CZ"/>
              </w:rPr>
            </w:pPr>
            <w:r w:rsidRPr="008B53A9">
              <w:rPr>
                <w:rFonts w:cs="Calibri"/>
                <w:lang w:val="cs-CZ" w:eastAsia="cs-CZ"/>
              </w:rPr>
              <w:t>EUR</w:t>
            </w:r>
          </w:p>
        </w:tc>
        <w:tc>
          <w:tcPr>
            <w:tcW w:w="269" w:type="pct"/>
            <w:shd w:val="clear" w:color="auto" w:fill="auto"/>
            <w:tcMar>
              <w:top w:w="0" w:type="dxa"/>
              <w:left w:w="108" w:type="dxa"/>
              <w:bottom w:w="0" w:type="dxa"/>
              <w:right w:w="108" w:type="dxa"/>
            </w:tcMar>
            <w:vAlign w:val="center"/>
          </w:tcPr>
          <w:p w:rsidR="00AE32DE" w:rsidRPr="008B53A9" w:rsidRDefault="00AE32DE" w:rsidP="009F18F5">
            <w:pPr>
              <w:pStyle w:val="Tabulka"/>
              <w:rPr>
                <w:rFonts w:cs="Calibri"/>
                <w:lang w:val="cs-CZ" w:eastAsia="cs-CZ"/>
              </w:rPr>
            </w:pPr>
            <w:r w:rsidRPr="008B53A9">
              <w:rPr>
                <w:rFonts w:cs="Calibri"/>
                <w:lang w:val="cs-CZ" w:eastAsia="cs-CZ"/>
              </w:rPr>
              <w:t>EFRR</w:t>
            </w:r>
          </w:p>
        </w:tc>
        <w:tc>
          <w:tcPr>
            <w:tcW w:w="402" w:type="pct"/>
            <w:shd w:val="clear" w:color="auto" w:fill="auto"/>
            <w:tcMar>
              <w:top w:w="0" w:type="dxa"/>
              <w:left w:w="108" w:type="dxa"/>
              <w:bottom w:w="0" w:type="dxa"/>
              <w:right w:w="108" w:type="dxa"/>
            </w:tcMar>
            <w:vAlign w:val="center"/>
          </w:tcPr>
          <w:p w:rsidR="00AE32DE" w:rsidRPr="008B53A9" w:rsidRDefault="00AE32DE" w:rsidP="009F18F5">
            <w:pPr>
              <w:pStyle w:val="Tabulka"/>
              <w:rPr>
                <w:rFonts w:cs="Calibri"/>
                <w:lang w:val="cs-CZ" w:eastAsia="cs-CZ"/>
              </w:rPr>
            </w:pPr>
            <w:r w:rsidRPr="008B53A9">
              <w:rPr>
                <w:rFonts w:cs="Calibri"/>
                <w:lang w:val="cs-CZ" w:eastAsia="cs-CZ"/>
              </w:rPr>
              <w:t>Méně rozvinuté regiony</w:t>
            </w:r>
          </w:p>
        </w:tc>
        <w:tc>
          <w:tcPr>
            <w:tcW w:w="488" w:type="pct"/>
            <w:vAlign w:val="center"/>
          </w:tcPr>
          <w:p w:rsidR="00AE32DE" w:rsidRPr="008B53A9" w:rsidRDefault="00A12802" w:rsidP="009F18F5">
            <w:pPr>
              <w:pStyle w:val="Tabulka"/>
              <w:rPr>
                <w:rFonts w:cs="Calibri"/>
                <w:lang w:val="cs-CZ" w:eastAsia="cs-CZ"/>
              </w:rPr>
            </w:pPr>
            <w:r w:rsidRPr="008B53A9">
              <w:rPr>
                <w:rFonts w:cs="Calibri"/>
                <w:lang w:val="cs-CZ" w:eastAsia="cs-CZ"/>
              </w:rPr>
              <w:t>130 000 000</w:t>
            </w:r>
          </w:p>
        </w:tc>
        <w:tc>
          <w:tcPr>
            <w:tcW w:w="481" w:type="pct"/>
            <w:shd w:val="clear" w:color="auto" w:fill="auto"/>
            <w:tcMar>
              <w:top w:w="0" w:type="dxa"/>
              <w:left w:w="108" w:type="dxa"/>
              <w:bottom w:w="0" w:type="dxa"/>
              <w:right w:w="108" w:type="dxa"/>
            </w:tcMar>
            <w:vAlign w:val="center"/>
          </w:tcPr>
          <w:p w:rsidR="00AE32DE" w:rsidRPr="008B53A9" w:rsidRDefault="00BA228B" w:rsidP="009F18F5">
            <w:pPr>
              <w:pStyle w:val="Tabulka"/>
              <w:rPr>
                <w:rFonts w:cs="Calibri"/>
                <w:lang w:val="cs-CZ" w:eastAsia="cs-CZ"/>
              </w:rPr>
            </w:pPr>
            <w:r w:rsidRPr="008B53A9">
              <w:rPr>
                <w:rFonts w:cs="Calibri"/>
                <w:lang w:val="cs-CZ" w:eastAsia="cs-CZ"/>
              </w:rPr>
              <w:t>892 130 143</w:t>
            </w:r>
          </w:p>
        </w:tc>
        <w:tc>
          <w:tcPr>
            <w:tcW w:w="249" w:type="pct"/>
            <w:vAlign w:val="center"/>
          </w:tcPr>
          <w:p w:rsidR="00AE32DE" w:rsidRPr="008B53A9" w:rsidRDefault="001B0574" w:rsidP="009F18F5">
            <w:pPr>
              <w:pStyle w:val="Tabulka"/>
              <w:rPr>
                <w:rFonts w:cs="Calibri"/>
                <w:lang w:val="cs-CZ" w:eastAsia="cs-CZ"/>
              </w:rPr>
            </w:pPr>
            <w:r w:rsidRPr="008B53A9">
              <w:rPr>
                <w:rFonts w:cs="Calibri"/>
                <w:lang w:val="cs-CZ" w:eastAsia="cs-CZ"/>
              </w:rPr>
              <w:t>ŘO</w:t>
            </w:r>
          </w:p>
        </w:tc>
        <w:tc>
          <w:tcPr>
            <w:tcW w:w="953" w:type="pct"/>
            <w:vAlign w:val="center"/>
          </w:tcPr>
          <w:p w:rsidR="00AE32DE" w:rsidRPr="008B53A9" w:rsidRDefault="000620DB" w:rsidP="009F18F5">
            <w:pPr>
              <w:pStyle w:val="Tabulka"/>
              <w:rPr>
                <w:rFonts w:cs="Calibri"/>
                <w:lang w:val="cs-CZ" w:eastAsia="cs-CZ"/>
              </w:rPr>
            </w:pPr>
            <w:r w:rsidRPr="008B53A9">
              <w:rPr>
                <w:rFonts w:cs="Calibri"/>
                <w:lang w:val="cs-CZ" w:eastAsia="cs-CZ"/>
              </w:rPr>
              <w:t>Objem celkových způsobilých výdajů zaslaných do účetního systému certifikačního orgánu a certifikovaných</w:t>
            </w:r>
            <w:r w:rsidR="00C70BA9" w:rsidRPr="008B53A9">
              <w:rPr>
                <w:rFonts w:cs="Calibri"/>
                <w:lang w:val="cs-CZ" w:eastAsia="cs-CZ"/>
              </w:rPr>
              <w:t xml:space="preserve"> certifikačním orgánem</w:t>
            </w:r>
            <w:r w:rsidRPr="008B53A9">
              <w:rPr>
                <w:rFonts w:cs="Calibri"/>
                <w:lang w:val="cs-CZ" w:eastAsia="cs-CZ"/>
              </w:rPr>
              <w:t>.</w:t>
            </w:r>
          </w:p>
        </w:tc>
      </w:tr>
      <w:tr w:rsidR="009F18F5" w:rsidRPr="008B53A9">
        <w:tc>
          <w:tcPr>
            <w:tcW w:w="345" w:type="pct"/>
            <w:vAlign w:val="center"/>
          </w:tcPr>
          <w:p w:rsidR="00AE32DE" w:rsidRPr="008B53A9" w:rsidRDefault="00AE32DE" w:rsidP="009F18F5">
            <w:pPr>
              <w:pStyle w:val="Tabulka"/>
              <w:rPr>
                <w:rFonts w:cs="Calibri"/>
                <w:lang w:val="cs-CZ" w:eastAsia="cs-CZ"/>
              </w:rPr>
            </w:pPr>
            <w:r w:rsidRPr="008B53A9">
              <w:rPr>
                <w:rFonts w:cs="Calibri"/>
                <w:lang w:val="cs-CZ" w:eastAsia="cs-CZ"/>
              </w:rPr>
              <w:t>PO 2</w:t>
            </w:r>
          </w:p>
        </w:tc>
        <w:tc>
          <w:tcPr>
            <w:tcW w:w="620" w:type="pct"/>
            <w:vAlign w:val="center"/>
          </w:tcPr>
          <w:p w:rsidR="00AE32DE" w:rsidRPr="008B53A9" w:rsidRDefault="00AE32DE" w:rsidP="009F18F5">
            <w:pPr>
              <w:pStyle w:val="Tabulka"/>
              <w:rPr>
                <w:rFonts w:cs="Calibri"/>
                <w:lang w:val="cs-CZ" w:eastAsia="cs-CZ"/>
              </w:rPr>
            </w:pPr>
            <w:r w:rsidRPr="008B53A9">
              <w:rPr>
                <w:rFonts w:cs="Calibri"/>
                <w:lang w:val="cs-CZ" w:eastAsia="cs-CZ"/>
              </w:rPr>
              <w:t>výstupový</w:t>
            </w:r>
          </w:p>
        </w:tc>
        <w:tc>
          <w:tcPr>
            <w:tcW w:w="199" w:type="pct"/>
            <w:vAlign w:val="center"/>
          </w:tcPr>
          <w:p w:rsidR="00AE32DE" w:rsidRPr="008B53A9" w:rsidRDefault="00CE3854" w:rsidP="009F18F5">
            <w:pPr>
              <w:pStyle w:val="Tabulka"/>
              <w:rPr>
                <w:rFonts w:cs="Calibri"/>
                <w:lang w:val="cs-CZ" w:eastAsia="cs-CZ"/>
              </w:rPr>
            </w:pPr>
            <w:r w:rsidRPr="008B53A9">
              <w:rPr>
                <w:rFonts w:cs="Calibri"/>
                <w:lang w:val="cs-CZ" w:eastAsia="cs-CZ"/>
              </w:rPr>
              <w:t>C</w:t>
            </w:r>
            <w:r w:rsidR="00927ADD" w:rsidRPr="008B53A9">
              <w:rPr>
                <w:rFonts w:cs="Calibri"/>
                <w:lang w:val="cs-CZ" w:eastAsia="cs-CZ"/>
              </w:rPr>
              <w:t>/EFRR/0</w:t>
            </w:r>
            <w:r w:rsidRPr="008B53A9">
              <w:rPr>
                <w:rFonts w:cs="Calibri"/>
                <w:lang w:val="cs-CZ" w:eastAsia="cs-CZ"/>
              </w:rPr>
              <w:t>1</w:t>
            </w:r>
          </w:p>
        </w:tc>
        <w:tc>
          <w:tcPr>
            <w:tcW w:w="547" w:type="pct"/>
            <w:shd w:val="clear" w:color="auto" w:fill="auto"/>
            <w:tcMar>
              <w:top w:w="0" w:type="dxa"/>
              <w:left w:w="108" w:type="dxa"/>
              <w:bottom w:w="0" w:type="dxa"/>
              <w:right w:w="108" w:type="dxa"/>
            </w:tcMar>
            <w:vAlign w:val="center"/>
          </w:tcPr>
          <w:p w:rsidR="00AE32DE" w:rsidRPr="008B53A9" w:rsidRDefault="00CE3854" w:rsidP="009F18F5">
            <w:pPr>
              <w:pStyle w:val="Tabulka"/>
              <w:rPr>
                <w:rFonts w:cs="Calibri"/>
                <w:lang w:val="cs-CZ" w:eastAsia="cs-CZ"/>
              </w:rPr>
            </w:pPr>
            <w:r w:rsidRPr="008B53A9">
              <w:rPr>
                <w:rFonts w:cs="Calibri"/>
                <w:lang w:val="cs-CZ" w:eastAsia="cs-CZ"/>
              </w:rPr>
              <w:t>Počet podniků pobírajících podporu</w:t>
            </w:r>
          </w:p>
        </w:tc>
        <w:tc>
          <w:tcPr>
            <w:tcW w:w="447" w:type="pct"/>
            <w:shd w:val="clear" w:color="auto" w:fill="auto"/>
            <w:tcMar>
              <w:top w:w="0" w:type="dxa"/>
              <w:left w:w="108" w:type="dxa"/>
              <w:bottom w:w="0" w:type="dxa"/>
              <w:right w:w="108" w:type="dxa"/>
            </w:tcMar>
            <w:vAlign w:val="center"/>
          </w:tcPr>
          <w:p w:rsidR="00AE32DE" w:rsidRPr="008B53A9" w:rsidRDefault="00CE3854" w:rsidP="009F18F5">
            <w:pPr>
              <w:pStyle w:val="Tabulka"/>
              <w:rPr>
                <w:rFonts w:cs="Calibri"/>
                <w:lang w:val="cs-CZ" w:eastAsia="cs-CZ"/>
              </w:rPr>
            </w:pPr>
            <w:r w:rsidRPr="008B53A9">
              <w:rPr>
                <w:rFonts w:cs="Calibri"/>
                <w:lang w:val="cs-CZ" w:eastAsia="cs-CZ"/>
              </w:rPr>
              <w:t>Podniky</w:t>
            </w:r>
          </w:p>
        </w:tc>
        <w:tc>
          <w:tcPr>
            <w:tcW w:w="269" w:type="pct"/>
            <w:shd w:val="clear" w:color="auto" w:fill="auto"/>
            <w:tcMar>
              <w:top w:w="0" w:type="dxa"/>
              <w:left w:w="108" w:type="dxa"/>
              <w:bottom w:w="0" w:type="dxa"/>
              <w:right w:w="108" w:type="dxa"/>
            </w:tcMar>
            <w:vAlign w:val="center"/>
          </w:tcPr>
          <w:p w:rsidR="00AE32DE" w:rsidRPr="008B53A9" w:rsidRDefault="00AE32DE" w:rsidP="009F18F5">
            <w:pPr>
              <w:pStyle w:val="Tabulka"/>
              <w:rPr>
                <w:rFonts w:cs="Calibri"/>
                <w:lang w:val="cs-CZ" w:eastAsia="cs-CZ"/>
              </w:rPr>
            </w:pPr>
            <w:r w:rsidRPr="008B53A9">
              <w:rPr>
                <w:rFonts w:cs="Calibri"/>
                <w:lang w:val="cs-CZ" w:eastAsia="cs-CZ"/>
              </w:rPr>
              <w:t>EFRR</w:t>
            </w:r>
          </w:p>
        </w:tc>
        <w:tc>
          <w:tcPr>
            <w:tcW w:w="402" w:type="pct"/>
            <w:shd w:val="clear" w:color="auto" w:fill="auto"/>
            <w:tcMar>
              <w:top w:w="0" w:type="dxa"/>
              <w:left w:w="108" w:type="dxa"/>
              <w:bottom w:w="0" w:type="dxa"/>
              <w:right w:w="108" w:type="dxa"/>
            </w:tcMar>
            <w:vAlign w:val="center"/>
          </w:tcPr>
          <w:p w:rsidR="00AE32DE" w:rsidRPr="008B53A9" w:rsidRDefault="00AE32DE" w:rsidP="009F18F5">
            <w:pPr>
              <w:pStyle w:val="Tabulka"/>
              <w:rPr>
                <w:rFonts w:cs="Calibri"/>
                <w:lang w:val="cs-CZ" w:eastAsia="cs-CZ"/>
              </w:rPr>
            </w:pPr>
            <w:r w:rsidRPr="008B53A9">
              <w:rPr>
                <w:rFonts w:cs="Calibri"/>
                <w:lang w:val="cs-CZ" w:eastAsia="cs-CZ"/>
              </w:rPr>
              <w:t>Méně rozvinuté regiony</w:t>
            </w:r>
          </w:p>
        </w:tc>
        <w:tc>
          <w:tcPr>
            <w:tcW w:w="488" w:type="pct"/>
            <w:vAlign w:val="center"/>
          </w:tcPr>
          <w:p w:rsidR="00AE32DE" w:rsidRPr="008B53A9" w:rsidRDefault="00A12802" w:rsidP="009F18F5">
            <w:pPr>
              <w:pStyle w:val="Tabulka"/>
              <w:rPr>
                <w:rFonts w:cs="Calibri"/>
                <w:lang w:val="cs-CZ" w:eastAsia="cs-CZ"/>
              </w:rPr>
            </w:pPr>
            <w:r w:rsidRPr="008B53A9">
              <w:rPr>
                <w:rFonts w:cs="Calibri"/>
                <w:lang w:val="cs-CZ" w:eastAsia="cs-CZ"/>
              </w:rPr>
              <w:t>1 500</w:t>
            </w:r>
          </w:p>
        </w:tc>
        <w:tc>
          <w:tcPr>
            <w:tcW w:w="481" w:type="pct"/>
            <w:shd w:val="clear" w:color="auto" w:fill="auto"/>
            <w:tcMar>
              <w:top w:w="0" w:type="dxa"/>
              <w:left w:w="108" w:type="dxa"/>
              <w:bottom w:w="0" w:type="dxa"/>
              <w:right w:w="108" w:type="dxa"/>
            </w:tcMar>
            <w:vAlign w:val="center"/>
          </w:tcPr>
          <w:p w:rsidR="00AE32DE" w:rsidRPr="008B53A9" w:rsidRDefault="00A12802" w:rsidP="009F18F5">
            <w:pPr>
              <w:pStyle w:val="Tabulka"/>
              <w:rPr>
                <w:rFonts w:cs="Calibri"/>
                <w:lang w:val="cs-CZ" w:eastAsia="cs-CZ"/>
              </w:rPr>
            </w:pPr>
            <w:r w:rsidRPr="008B53A9">
              <w:rPr>
                <w:rFonts w:cs="Calibri"/>
                <w:lang w:val="cs-CZ" w:eastAsia="cs-CZ"/>
              </w:rPr>
              <w:t>14 820</w:t>
            </w:r>
          </w:p>
        </w:tc>
        <w:tc>
          <w:tcPr>
            <w:tcW w:w="249" w:type="pct"/>
            <w:vAlign w:val="center"/>
          </w:tcPr>
          <w:p w:rsidR="00AE32DE" w:rsidRPr="008B53A9" w:rsidRDefault="001B0574" w:rsidP="009F18F5">
            <w:pPr>
              <w:pStyle w:val="Tabulka"/>
              <w:rPr>
                <w:rFonts w:cs="Calibri"/>
                <w:lang w:val="cs-CZ" w:eastAsia="cs-CZ"/>
              </w:rPr>
            </w:pPr>
            <w:r w:rsidRPr="008B53A9">
              <w:rPr>
                <w:rFonts w:cs="Calibri"/>
                <w:lang w:val="cs-CZ" w:eastAsia="cs-CZ"/>
              </w:rPr>
              <w:t>ŘO</w:t>
            </w:r>
          </w:p>
        </w:tc>
        <w:tc>
          <w:tcPr>
            <w:tcW w:w="953" w:type="pct"/>
            <w:vAlign w:val="center"/>
          </w:tcPr>
          <w:p w:rsidR="00AE32DE" w:rsidRPr="008B53A9" w:rsidRDefault="002651EC" w:rsidP="009F18F5">
            <w:pPr>
              <w:pStyle w:val="Tabulka"/>
              <w:rPr>
                <w:rFonts w:cs="Calibri"/>
                <w:lang w:val="cs-CZ" w:eastAsia="cs-CZ"/>
              </w:rPr>
            </w:pPr>
            <w:r w:rsidRPr="008B53A9">
              <w:rPr>
                <w:rFonts w:cs="Calibri"/>
                <w:lang w:val="cs-CZ" w:eastAsia="cs-CZ"/>
              </w:rPr>
              <w:t>Indikátor sleduje počet</w:t>
            </w:r>
            <w:r w:rsidR="009F18F5" w:rsidRPr="008B53A9">
              <w:rPr>
                <w:rFonts w:cs="Calibri"/>
                <w:lang w:val="cs-CZ" w:eastAsia="cs-CZ"/>
              </w:rPr>
              <w:t xml:space="preserve"> </w:t>
            </w:r>
            <w:r w:rsidRPr="008B53A9">
              <w:rPr>
                <w:rFonts w:cs="Calibri"/>
                <w:lang w:val="cs-CZ" w:eastAsia="cs-CZ"/>
              </w:rPr>
              <w:t>podpořených firem a pokrývá finančně</w:t>
            </w:r>
            <w:r w:rsidR="009F18F5" w:rsidRPr="008B53A9">
              <w:rPr>
                <w:rFonts w:cs="Calibri"/>
                <w:lang w:val="cs-CZ" w:eastAsia="cs-CZ"/>
              </w:rPr>
              <w:t xml:space="preserve"> </w:t>
            </w:r>
            <w:r w:rsidRPr="008B53A9">
              <w:rPr>
                <w:rFonts w:cs="Calibri"/>
                <w:lang w:val="cs-CZ" w:eastAsia="cs-CZ"/>
              </w:rPr>
              <w:t>nejobjemnější část intervence</w:t>
            </w:r>
            <w:r w:rsidR="009F18F5" w:rsidRPr="008B53A9">
              <w:rPr>
                <w:rFonts w:cs="Calibri"/>
                <w:lang w:val="cs-CZ" w:eastAsia="cs-CZ"/>
              </w:rPr>
              <w:t xml:space="preserve"> </w:t>
            </w:r>
            <w:r w:rsidRPr="008B53A9">
              <w:rPr>
                <w:rFonts w:cs="Calibri"/>
                <w:lang w:val="cs-CZ" w:eastAsia="cs-CZ"/>
              </w:rPr>
              <w:t xml:space="preserve">v rámci prioritní osy 2. </w:t>
            </w:r>
            <w:r w:rsidR="00104BB5" w:rsidRPr="008B53A9">
              <w:rPr>
                <w:rFonts w:cs="Calibri"/>
                <w:lang w:val="cs-CZ" w:eastAsia="cs-CZ"/>
              </w:rPr>
              <w:t>Rozhodujícím okamžikem pro započítání hodnoty milníku bude počet podpořených firem s ukončenou fyzickou realizací tzn. dosažením cílů projektů</w:t>
            </w:r>
            <w:r w:rsidRPr="008B53A9">
              <w:rPr>
                <w:rFonts w:cs="Calibri"/>
                <w:lang w:val="cs-CZ" w:eastAsia="cs-CZ"/>
              </w:rPr>
              <w:t>.</w:t>
            </w:r>
          </w:p>
        </w:tc>
      </w:tr>
    </w:tbl>
    <w:p w:rsidR="004126CC" w:rsidRPr="008B53A9" w:rsidRDefault="004126CC" w:rsidP="002429E5">
      <w:pPr>
        <w:pStyle w:val="kapitola2A0"/>
        <w:numPr>
          <w:ilvl w:val="1"/>
          <w:numId w:val="69"/>
        </w:numPr>
        <w:sectPr w:rsidR="004126CC" w:rsidRPr="008B53A9" w:rsidSect="004126CC">
          <w:headerReference w:type="default" r:id="rId27"/>
          <w:footerReference w:type="default" r:id="rId28"/>
          <w:pgSz w:w="16838" w:h="11906" w:orient="landscape" w:code="9"/>
          <w:pgMar w:top="1418" w:right="1418" w:bottom="1276" w:left="1276" w:header="709" w:footer="709" w:gutter="0"/>
          <w:cols w:space="708"/>
          <w:docGrid w:linePitch="272"/>
        </w:sectPr>
      </w:pPr>
    </w:p>
    <w:p w:rsidR="002429E5" w:rsidRPr="008B53A9" w:rsidRDefault="002429E5" w:rsidP="002429E5">
      <w:pPr>
        <w:pStyle w:val="Titulek"/>
      </w:pPr>
      <w:r w:rsidRPr="008B53A9">
        <w:lastRenderedPageBreak/>
        <w:t>Další kvalitativní informace o stanovení výkonnostního rámce</w:t>
      </w:r>
    </w:p>
    <w:p w:rsidR="00B523F1" w:rsidRPr="008B53A9" w:rsidRDefault="00B523F1" w:rsidP="00B523F1">
      <w:pPr>
        <w:pStyle w:val="Standardntext"/>
      </w:pPr>
      <w:r w:rsidRPr="008B53A9">
        <w:t xml:space="preserve">Pro OP PIK byly stanoveny hodnoty milníků pro rok 2018 a 2023 (finanční ukazatele </w:t>
      </w:r>
      <w:r w:rsidR="00E54216" w:rsidRPr="008B53A9">
        <w:rPr>
          <w:lang w:val="cs-CZ"/>
        </w:rPr>
        <w:t xml:space="preserve">a </w:t>
      </w:r>
      <w:r w:rsidRPr="008B53A9">
        <w:t>„certifikované finanční prostředky“, ukazatele výstupů). V případě hodnot milníků stanovených pro rok 2018 přitom není započítáno 6 % určených na výkonnostní rezervu programu. Dále uvedené předpoklady jsou s ohledem na charakter stanovovaných milníků platné pro všechny prioritní osy operačního programu.</w:t>
      </w:r>
    </w:p>
    <w:p w:rsidR="002429E5" w:rsidRPr="008B53A9" w:rsidRDefault="002429E5" w:rsidP="001B0B94">
      <w:pPr>
        <w:pStyle w:val="Standardntext"/>
      </w:pPr>
      <w:r w:rsidRPr="008B53A9">
        <w:t xml:space="preserve">Při kvantifikaci milníků </w:t>
      </w:r>
      <w:r w:rsidRPr="008B53A9">
        <w:rPr>
          <w:b/>
          <w:bCs/>
        </w:rPr>
        <w:t>pro rok 2018</w:t>
      </w:r>
      <w:r w:rsidRPr="008B53A9">
        <w:t xml:space="preserve"> byly zohledněny dále uvedené klíčové předpoklady:</w:t>
      </w:r>
    </w:p>
    <w:p w:rsidR="002429E5" w:rsidRPr="008B53A9" w:rsidRDefault="002429E5" w:rsidP="001B0B94">
      <w:pPr>
        <w:pStyle w:val="Standardntext"/>
        <w:numPr>
          <w:ilvl w:val="0"/>
          <w:numId w:val="104"/>
        </w:numPr>
        <w:rPr>
          <w:strike/>
        </w:rPr>
      </w:pPr>
      <w:r w:rsidRPr="008B53A9">
        <w:t>Zohledněn je aktuální finanční plán OP PIK</w:t>
      </w:r>
      <w:r w:rsidR="00E54216" w:rsidRPr="008B53A9">
        <w:rPr>
          <w:lang w:val="cs-CZ"/>
        </w:rPr>
        <w:t>;</w:t>
      </w:r>
    </w:p>
    <w:p w:rsidR="002429E5" w:rsidRPr="008B53A9" w:rsidRDefault="002429E5" w:rsidP="001B0B94">
      <w:pPr>
        <w:pStyle w:val="Standardntext"/>
        <w:numPr>
          <w:ilvl w:val="0"/>
          <w:numId w:val="104"/>
        </w:numPr>
      </w:pPr>
      <w:r w:rsidRPr="008B53A9">
        <w:t>Při stanovení milníku bylo v maximální možné míře vycházeno ze zkušeností s OPPI;</w:t>
      </w:r>
    </w:p>
    <w:p w:rsidR="002429E5" w:rsidRPr="008B53A9" w:rsidRDefault="002429E5" w:rsidP="001B0B94">
      <w:pPr>
        <w:pStyle w:val="Standardntext"/>
        <w:numPr>
          <w:ilvl w:val="0"/>
          <w:numId w:val="104"/>
        </w:numPr>
      </w:pPr>
      <w:r w:rsidRPr="008B53A9">
        <w:t>První výzvy budou vyhlášeny pravděpodobně nejdříve až v 1.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ve 2. čtvrtletí 2015;</w:t>
      </w:r>
    </w:p>
    <w:p w:rsidR="002429E5" w:rsidRPr="008B53A9" w:rsidRDefault="002429E5" w:rsidP="001B0B94">
      <w:pPr>
        <w:pStyle w:val="Standardntext"/>
        <w:numPr>
          <w:ilvl w:val="0"/>
          <w:numId w:val="104"/>
        </w:numPr>
      </w:pPr>
      <w:r w:rsidRPr="008B53A9">
        <w:t xml:space="preserve">Při možném předpokladu, že projekty budou dvouleté, to znamená, že první z nich ukončí realizaci nejdříve ve druhé polovině roku 2017 a finanční prostředky tak budou předkládány k certifikaci až v průběhu roku 2017 či dokonce 2018 (např. u delších projektů); </w:t>
      </w:r>
    </w:p>
    <w:p w:rsidR="002429E5" w:rsidRPr="008B53A9" w:rsidRDefault="002429E5" w:rsidP="001B0B94">
      <w:pPr>
        <w:pStyle w:val="Standardntext"/>
        <w:numPr>
          <w:ilvl w:val="0"/>
          <w:numId w:val="104"/>
        </w:numPr>
      </w:pPr>
      <w:r w:rsidRPr="008B53A9">
        <w:t>Ukazatelé výstupů stanovené ve výkonnostním rámci odpovídají více než 50 % finančního přídělu na prioritu (v souladu se čl. 5 Prováděcího nařízení komise (EU) č. 215/2014);</w:t>
      </w:r>
    </w:p>
    <w:p w:rsidR="002429E5" w:rsidRPr="008B53A9" w:rsidRDefault="002429E5" w:rsidP="001B0B94">
      <w:pPr>
        <w:pStyle w:val="Standardntext"/>
        <w:numPr>
          <w:ilvl w:val="0"/>
          <w:numId w:val="104"/>
        </w:numPr>
      </w:pPr>
      <w:r w:rsidRPr="008B53A9">
        <w:t>Není započítána výkonnostní rezerva 6 %;</w:t>
      </w:r>
    </w:p>
    <w:p w:rsidR="002429E5" w:rsidRPr="008B53A9" w:rsidRDefault="002429E5" w:rsidP="001B0B94">
      <w:pPr>
        <w:pStyle w:val="Standardntext"/>
        <w:numPr>
          <w:ilvl w:val="0"/>
          <w:numId w:val="104"/>
        </w:numPr>
      </w:pPr>
      <w:r w:rsidRPr="008B53A9">
        <w:t xml:space="preserve">Pravidlo n+3, na základě kterého je nutné vzít v úvahu, že na konci roku 2018 </w:t>
      </w:r>
      <w:r w:rsidRPr="008B53A9">
        <w:br/>
        <w:t>by měla být vyčerpána alokace let 2014, 2015;</w:t>
      </w:r>
    </w:p>
    <w:p w:rsidR="00EE5FD7" w:rsidRPr="008B53A9" w:rsidRDefault="002429E5" w:rsidP="00EE5FD7">
      <w:pPr>
        <w:pStyle w:val="Standardntext"/>
        <w:numPr>
          <w:ilvl w:val="0"/>
          <w:numId w:val="104"/>
        </w:numPr>
      </w:pPr>
      <w:r w:rsidRPr="008B53A9">
        <w:t>Nové typy aktivit</w:t>
      </w:r>
      <w:r w:rsidR="00F9696B" w:rsidRPr="008B53A9">
        <w:rPr>
          <w:lang w:val="cs-CZ"/>
        </w:rPr>
        <w:t xml:space="preserve"> v této prioritní ose </w:t>
      </w:r>
      <w:r w:rsidRPr="008B53A9">
        <w:t>OP PIK</w:t>
      </w:r>
      <w:r w:rsidR="00F9696B" w:rsidRPr="008B53A9">
        <w:rPr>
          <w:lang w:val="cs-CZ"/>
        </w:rPr>
        <w:t>,</w:t>
      </w:r>
    </w:p>
    <w:p w:rsidR="002429E5" w:rsidRPr="008B53A9" w:rsidRDefault="00EE5FD7" w:rsidP="00EE5FD7">
      <w:pPr>
        <w:pStyle w:val="Standardntext"/>
        <w:numPr>
          <w:ilvl w:val="0"/>
          <w:numId w:val="104"/>
        </w:numPr>
      </w:pPr>
      <w:r w:rsidRPr="008B53A9">
        <w:t xml:space="preserve"> </w:t>
      </w:r>
      <w:r w:rsidR="002429E5" w:rsidRPr="008B53A9">
        <w:t xml:space="preserve">Využití finančních nástrojů (úvěry, záruky za bankovní úvěry, </w:t>
      </w:r>
      <w:r w:rsidR="00F9696B" w:rsidRPr="008B53A9">
        <w:rPr>
          <w:lang w:val="cs-CZ"/>
        </w:rPr>
        <w:t xml:space="preserve">nově </w:t>
      </w:r>
      <w:r w:rsidR="002429E5" w:rsidRPr="008B53A9">
        <w:t xml:space="preserve">rizikový kapitál) v SC 2.1, </w:t>
      </w:r>
      <w:r w:rsidR="00F9696B" w:rsidRPr="008B53A9">
        <w:rPr>
          <w:lang w:val="cs-CZ"/>
        </w:rPr>
        <w:t xml:space="preserve">problematickým </w:t>
      </w:r>
      <w:r w:rsidR="002429E5" w:rsidRPr="008B53A9">
        <w:t>je v tomto případě např. časový rámec pro přípravu projektu, lze tak předpokládat pomalejší rozjezd aktivit</w:t>
      </w:r>
      <w:r w:rsidR="001B0B94" w:rsidRPr="008B53A9">
        <w:rPr>
          <w:lang w:val="cs-CZ"/>
        </w:rPr>
        <w:t>.</w:t>
      </w:r>
    </w:p>
    <w:p w:rsidR="002429E5" w:rsidRPr="008B53A9" w:rsidRDefault="002429E5" w:rsidP="001B0B94">
      <w:pPr>
        <w:pStyle w:val="Standardntext"/>
      </w:pPr>
      <w:r w:rsidRPr="008B53A9">
        <w:t xml:space="preserve">Při kvantifikaci milníků </w:t>
      </w:r>
      <w:r w:rsidRPr="008B53A9">
        <w:rPr>
          <w:b/>
          <w:bCs/>
        </w:rPr>
        <w:t>pro rok 2023</w:t>
      </w:r>
      <w:r w:rsidRPr="008B53A9">
        <w:t xml:space="preserve"> byly zohledněny ještě dále uvedené klíčové předpoklady:</w:t>
      </w:r>
    </w:p>
    <w:p w:rsidR="002429E5" w:rsidRPr="008B53A9" w:rsidRDefault="002429E5" w:rsidP="001B0B94">
      <w:pPr>
        <w:pStyle w:val="Standardntext"/>
        <w:numPr>
          <w:ilvl w:val="0"/>
          <w:numId w:val="105"/>
        </w:numPr>
      </w:pPr>
      <w:r w:rsidRPr="008B53A9">
        <w:t>Klíčovým předpokladem je naplnění stanovených cílů programu v jednotlivých prioritních osách (finanční i věcné plnění);</w:t>
      </w:r>
    </w:p>
    <w:p w:rsidR="002429E5" w:rsidRPr="008B53A9" w:rsidRDefault="002429E5" w:rsidP="001B0B94">
      <w:pPr>
        <w:pStyle w:val="Standardntext"/>
        <w:numPr>
          <w:ilvl w:val="0"/>
          <w:numId w:val="105"/>
        </w:numPr>
      </w:pPr>
      <w:r w:rsidRPr="008B53A9">
        <w:t xml:space="preserve">Započítána je již i výkonnostní rezerva. </w:t>
      </w:r>
    </w:p>
    <w:p w:rsidR="00F9696B" w:rsidRPr="008B53A9" w:rsidRDefault="002429E5" w:rsidP="00EE5FD7">
      <w:pPr>
        <w:jc w:val="both"/>
        <w:rPr>
          <w:sz w:val="24"/>
          <w:szCs w:val="24"/>
          <w:lang w:val="x-none" w:eastAsia="x-none"/>
        </w:rPr>
      </w:pPr>
      <w:r w:rsidRPr="008B53A9">
        <w:rPr>
          <w:sz w:val="24"/>
          <w:szCs w:val="24"/>
        </w:rPr>
        <w:t xml:space="preserve">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w:t>
      </w:r>
      <w:r w:rsidRPr="008B53A9">
        <w:rPr>
          <w:sz w:val="24"/>
          <w:szCs w:val="24"/>
        </w:rPr>
        <w:lastRenderedPageBreak/>
        <w:t>vysvětlovací seminární či jiné aktivity ze strany Řídícího orgánu vůči potenciálním příjemcům, atd.</w:t>
      </w:r>
      <w:r w:rsidR="00F9696B" w:rsidRPr="008B53A9">
        <w:rPr>
          <w:sz w:val="24"/>
          <w:szCs w:val="24"/>
        </w:rPr>
        <w:t xml:space="preserve"> </w:t>
      </w:r>
      <w:r w:rsidR="00F9696B" w:rsidRPr="008B53A9">
        <w:rPr>
          <w:sz w:val="24"/>
          <w:szCs w:val="24"/>
          <w:lang w:val="x-none" w:eastAsia="x-none"/>
        </w:rPr>
        <w:t xml:space="preserve">Téma výkonnostní rezervy a milníků je dále rozpracováno v příloze 3. </w:t>
      </w:r>
    </w:p>
    <w:p w:rsidR="000E3FBB" w:rsidRPr="008B53A9" w:rsidRDefault="000E3FBB" w:rsidP="005F43DF">
      <w:pPr>
        <w:pStyle w:val="kapitola2A0"/>
        <w:numPr>
          <w:ilvl w:val="2"/>
          <w:numId w:val="69"/>
        </w:numPr>
      </w:pPr>
      <w:bookmarkStart w:id="54" w:name="_Toc391539624"/>
      <w:r w:rsidRPr="008B53A9">
        <w:t xml:space="preserve">Kategorie </w:t>
      </w:r>
      <w:r w:rsidR="00F2469F" w:rsidRPr="008B53A9">
        <w:t>zásahů</w:t>
      </w:r>
      <w:bookmarkEnd w:id="54"/>
    </w:p>
    <w:p w:rsidR="00505E76" w:rsidRPr="008B53A9" w:rsidRDefault="00505E76" w:rsidP="00D45051">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7</w:t>
      </w:r>
      <w:r w:rsidR="00C3289B" w:rsidRPr="008B53A9">
        <w:rPr>
          <w:noProof/>
        </w:rPr>
        <w:fldChar w:fldCharType="end"/>
      </w:r>
      <w:r w:rsidRPr="008B53A9">
        <w:t xml:space="preserve"> - </w:t>
      </w:r>
      <w:r w:rsidR="00C3289B" w:rsidRPr="008B53A9">
        <w:fldChar w:fldCharType="begin"/>
      </w:r>
      <w:r w:rsidR="00C3289B" w:rsidRPr="008B53A9">
        <w:instrText xml:space="preserve"> SEQ Tabulka \* ARABIC \r11 </w:instrText>
      </w:r>
      <w:r w:rsidR="00C3289B" w:rsidRPr="008B53A9">
        <w:fldChar w:fldCharType="separate"/>
      </w:r>
      <w:r w:rsidR="00E54216" w:rsidRPr="008B53A9">
        <w:rPr>
          <w:noProof/>
        </w:rPr>
        <w:t>11</w:t>
      </w:r>
      <w:r w:rsidR="00C3289B" w:rsidRPr="008B53A9">
        <w:rPr>
          <w:noProof/>
        </w:rPr>
        <w:fldChar w:fldCharType="end"/>
      </w:r>
      <w:r w:rsidRPr="008B53A9">
        <w:t xml:space="preserve">: Kategorie </w:t>
      </w:r>
      <w:r w:rsidR="00F2469F" w:rsidRPr="008B53A9">
        <w:t>zásahů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8B53A9">
        <w:tc>
          <w:tcPr>
            <w:tcW w:w="9326" w:type="dxa"/>
            <w:gridSpan w:val="8"/>
            <w:shd w:val="clear" w:color="auto" w:fill="B8CCE4"/>
            <w:vAlign w:val="center"/>
          </w:tcPr>
          <w:p w:rsidR="009F18F5" w:rsidRPr="008B53A9" w:rsidRDefault="009F18F5" w:rsidP="009F18F5">
            <w:pPr>
              <w:pStyle w:val="Tabulka"/>
              <w:keepNext/>
              <w:keepLines/>
              <w:rPr>
                <w:rFonts w:cs="Calibri"/>
                <w:b/>
                <w:lang w:val="cs-CZ" w:eastAsia="cs-CZ"/>
              </w:rPr>
            </w:pPr>
            <w:r w:rsidRPr="008B53A9">
              <w:rPr>
                <w:rFonts w:cs="Calibri"/>
                <w:b/>
                <w:lang w:val="cs-CZ" w:eastAsia="cs-CZ"/>
              </w:rPr>
              <w:t xml:space="preserve">Fond: </w:t>
            </w:r>
            <w:r w:rsidRPr="008B53A9">
              <w:rPr>
                <w:rFonts w:cs="Calibri"/>
                <w:lang w:val="cs-CZ" w:eastAsia="cs-CZ"/>
              </w:rPr>
              <w:t>EFRR</w:t>
            </w:r>
          </w:p>
          <w:p w:rsidR="000B2315" w:rsidRPr="008B53A9" w:rsidRDefault="009F18F5" w:rsidP="009F18F5">
            <w:pPr>
              <w:pStyle w:val="Tabulka"/>
              <w:keepNext/>
              <w:keepLines/>
              <w:rPr>
                <w:rFonts w:cs="Calibri"/>
                <w:i/>
                <w:lang w:val="cs-CZ" w:eastAsia="cs-CZ"/>
              </w:rPr>
            </w:pPr>
            <w:r w:rsidRPr="008B53A9">
              <w:rPr>
                <w:rFonts w:cs="Calibri"/>
                <w:b/>
                <w:lang w:val="cs-CZ" w:eastAsia="cs-CZ"/>
              </w:rPr>
              <w:t xml:space="preserve">Kategorie regionů: </w:t>
            </w:r>
            <w:r w:rsidRPr="008B53A9">
              <w:rPr>
                <w:rFonts w:cs="Calibri"/>
                <w:lang w:val="cs-CZ" w:eastAsia="cs-CZ"/>
              </w:rPr>
              <w:t>Méně rozvinuté regiony</w:t>
            </w:r>
          </w:p>
        </w:tc>
      </w:tr>
      <w:tr w:rsidR="000B2315" w:rsidRPr="008B53A9">
        <w:tc>
          <w:tcPr>
            <w:tcW w:w="2331"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7:</w:t>
            </w:r>
          </w:p>
          <w:p w:rsidR="000B2315" w:rsidRPr="008B53A9" w:rsidRDefault="000B2315" w:rsidP="00450475">
            <w:pPr>
              <w:pStyle w:val="Tabulka"/>
              <w:keepNext/>
              <w:keepLines/>
              <w:rPr>
                <w:rFonts w:cs="Calibri"/>
                <w:lang w:val="cs-CZ" w:eastAsia="cs-CZ"/>
              </w:rPr>
            </w:pPr>
            <w:r w:rsidRPr="008B53A9">
              <w:rPr>
                <w:rFonts w:cs="Calibri"/>
                <w:lang w:val="cs-CZ" w:eastAsia="cs-CZ"/>
              </w:rPr>
              <w:t>Dimenze 1</w:t>
            </w:r>
          </w:p>
          <w:p w:rsidR="000B2315" w:rsidRPr="008B53A9" w:rsidRDefault="000B2315" w:rsidP="00450475">
            <w:pPr>
              <w:pStyle w:val="Tabulka"/>
              <w:keepNext/>
              <w:keepLines/>
              <w:rPr>
                <w:rFonts w:cs="Calibri"/>
                <w:lang w:val="cs-CZ" w:eastAsia="cs-CZ"/>
              </w:rPr>
            </w:pPr>
            <w:r w:rsidRPr="008B53A9">
              <w:rPr>
                <w:rFonts w:cs="Calibri"/>
                <w:lang w:val="cs-CZ" w:eastAsia="cs-CZ"/>
              </w:rPr>
              <w:t>Oblast zásahu</w:t>
            </w:r>
          </w:p>
        </w:tc>
        <w:tc>
          <w:tcPr>
            <w:tcW w:w="2332"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8:</w:t>
            </w:r>
          </w:p>
          <w:p w:rsidR="000B2315" w:rsidRPr="008B53A9" w:rsidRDefault="000B2315" w:rsidP="00450475">
            <w:pPr>
              <w:pStyle w:val="Tabulka"/>
              <w:keepNext/>
              <w:keepLines/>
              <w:rPr>
                <w:rFonts w:cs="Calibri"/>
                <w:lang w:val="cs-CZ" w:eastAsia="cs-CZ"/>
              </w:rPr>
            </w:pPr>
            <w:r w:rsidRPr="008B53A9">
              <w:rPr>
                <w:rFonts w:cs="Calibri"/>
                <w:lang w:val="cs-CZ" w:eastAsia="cs-CZ"/>
              </w:rPr>
              <w:t>Dimenze 2</w:t>
            </w:r>
          </w:p>
          <w:p w:rsidR="000B2315" w:rsidRPr="008B53A9" w:rsidRDefault="000B2315" w:rsidP="00450475">
            <w:pPr>
              <w:pStyle w:val="Tabulka"/>
              <w:keepNext/>
              <w:keepLines/>
              <w:rPr>
                <w:rFonts w:cs="Calibri"/>
                <w:lang w:val="cs-CZ" w:eastAsia="cs-CZ"/>
              </w:rPr>
            </w:pPr>
            <w:r w:rsidRPr="008B53A9">
              <w:rPr>
                <w:rFonts w:cs="Calibri"/>
                <w:lang w:val="cs-CZ" w:eastAsia="cs-CZ"/>
              </w:rPr>
              <w:t>Forma financování</w:t>
            </w:r>
          </w:p>
        </w:tc>
        <w:tc>
          <w:tcPr>
            <w:tcW w:w="2331"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9:</w:t>
            </w:r>
          </w:p>
          <w:p w:rsidR="000B2315" w:rsidRPr="008B53A9" w:rsidRDefault="000B2315" w:rsidP="00450475">
            <w:pPr>
              <w:pStyle w:val="Tabulka"/>
              <w:keepNext/>
              <w:keepLines/>
              <w:rPr>
                <w:rFonts w:cs="Calibri"/>
                <w:lang w:val="cs-CZ" w:eastAsia="cs-CZ"/>
              </w:rPr>
            </w:pPr>
            <w:r w:rsidRPr="008B53A9">
              <w:rPr>
                <w:rFonts w:cs="Calibri"/>
                <w:lang w:val="cs-CZ" w:eastAsia="cs-CZ"/>
              </w:rPr>
              <w:t>Dimenze 3</w:t>
            </w:r>
          </w:p>
          <w:p w:rsidR="000B2315" w:rsidRPr="008B53A9" w:rsidRDefault="000B2315" w:rsidP="00450475">
            <w:pPr>
              <w:pStyle w:val="Tabulka"/>
              <w:keepNext/>
              <w:keepLines/>
              <w:rPr>
                <w:rFonts w:cs="Calibri"/>
                <w:lang w:val="cs-CZ" w:eastAsia="cs-CZ"/>
              </w:rPr>
            </w:pPr>
            <w:r w:rsidRPr="008B53A9">
              <w:rPr>
                <w:rFonts w:cs="Calibri"/>
                <w:lang w:val="cs-CZ" w:eastAsia="cs-CZ"/>
              </w:rPr>
              <w:t>Typ území</w:t>
            </w:r>
          </w:p>
        </w:tc>
        <w:tc>
          <w:tcPr>
            <w:tcW w:w="2332"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10:</w:t>
            </w:r>
          </w:p>
          <w:p w:rsidR="000B2315" w:rsidRPr="008B53A9" w:rsidRDefault="000B2315" w:rsidP="00450475">
            <w:pPr>
              <w:pStyle w:val="Tabulka"/>
              <w:keepNext/>
              <w:keepLines/>
              <w:rPr>
                <w:rFonts w:cs="Calibri"/>
                <w:lang w:val="cs-CZ" w:eastAsia="cs-CZ"/>
              </w:rPr>
            </w:pPr>
            <w:r w:rsidRPr="008B53A9">
              <w:rPr>
                <w:rFonts w:cs="Calibri"/>
                <w:lang w:val="cs-CZ" w:eastAsia="cs-CZ"/>
              </w:rPr>
              <w:t>Dimenze 4</w:t>
            </w:r>
          </w:p>
          <w:p w:rsidR="000B2315" w:rsidRPr="008B53A9" w:rsidRDefault="000B2315" w:rsidP="00450475">
            <w:pPr>
              <w:pStyle w:val="Tabulka"/>
              <w:keepNext/>
              <w:keepLines/>
              <w:rPr>
                <w:rFonts w:cs="Calibri"/>
                <w:lang w:val="cs-CZ" w:eastAsia="cs-CZ"/>
              </w:rPr>
            </w:pPr>
            <w:r w:rsidRPr="008B53A9">
              <w:rPr>
                <w:rFonts w:cs="Calibri"/>
                <w:lang w:val="cs-CZ" w:eastAsia="cs-CZ"/>
              </w:rPr>
              <w:t>Mechanismus územního plnění</w:t>
            </w:r>
          </w:p>
        </w:tc>
      </w:tr>
      <w:tr w:rsidR="000B2315" w:rsidRPr="008B53A9">
        <w:tc>
          <w:tcPr>
            <w:tcW w:w="624"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707"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c>
          <w:tcPr>
            <w:tcW w:w="561"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771"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c>
          <w:tcPr>
            <w:tcW w:w="639"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692"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c>
          <w:tcPr>
            <w:tcW w:w="576"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756"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r>
      <w:tr w:rsidR="00E84F99" w:rsidRPr="008B53A9">
        <w:tc>
          <w:tcPr>
            <w:tcW w:w="624" w:type="dxa"/>
            <w:shd w:val="clear" w:color="auto" w:fill="auto"/>
            <w:vAlign w:val="center"/>
          </w:tcPr>
          <w:p w:rsidR="00E84F99" w:rsidRPr="008B53A9" w:rsidRDefault="00E84F99" w:rsidP="00DD63AD">
            <w:pPr>
              <w:pStyle w:val="Tabulka"/>
              <w:rPr>
                <w:rFonts w:cs="Calibri"/>
                <w:lang w:val="cs-CZ" w:eastAsia="cs-CZ"/>
              </w:rPr>
            </w:pPr>
            <w:r w:rsidRPr="008B53A9">
              <w:rPr>
                <w:rFonts w:cs="Calibri"/>
                <w:lang w:val="cs-CZ" w:eastAsia="cs-CZ"/>
              </w:rPr>
              <w:t>050</w:t>
            </w:r>
          </w:p>
        </w:tc>
        <w:tc>
          <w:tcPr>
            <w:tcW w:w="1707" w:type="dxa"/>
            <w:shd w:val="clear" w:color="auto" w:fill="auto"/>
            <w:vAlign w:val="center"/>
          </w:tcPr>
          <w:p w:rsidR="00E84F99" w:rsidRPr="008B53A9" w:rsidRDefault="00E84F99" w:rsidP="009F18F5">
            <w:pPr>
              <w:pStyle w:val="Tabulka"/>
              <w:jc w:val="right"/>
              <w:rPr>
                <w:rFonts w:cs="Calibri"/>
                <w:lang w:val="cs-CZ" w:eastAsia="cs-CZ"/>
              </w:rPr>
            </w:pPr>
            <w:r w:rsidRPr="008B53A9">
              <w:rPr>
                <w:rFonts w:cs="Calibri"/>
                <w:lang w:val="cs-CZ" w:eastAsia="cs-CZ"/>
              </w:rPr>
              <w:t>84 594 827</w:t>
            </w:r>
          </w:p>
        </w:tc>
        <w:tc>
          <w:tcPr>
            <w:tcW w:w="561" w:type="dxa"/>
            <w:shd w:val="clear" w:color="auto" w:fill="auto"/>
            <w:vAlign w:val="center"/>
          </w:tcPr>
          <w:p w:rsidR="00E84F99" w:rsidRPr="008B53A9" w:rsidRDefault="00E84F99" w:rsidP="00DD63AD">
            <w:pPr>
              <w:pStyle w:val="Tabulka"/>
              <w:rPr>
                <w:rFonts w:cs="Calibri"/>
                <w:lang w:val="cs-CZ" w:eastAsia="cs-CZ"/>
              </w:rPr>
            </w:pPr>
            <w:r w:rsidRPr="008B53A9">
              <w:rPr>
                <w:rFonts w:cs="Calibri"/>
                <w:lang w:val="cs-CZ" w:eastAsia="cs-CZ"/>
              </w:rPr>
              <w:t>01</w:t>
            </w:r>
          </w:p>
        </w:tc>
        <w:tc>
          <w:tcPr>
            <w:tcW w:w="1771" w:type="dxa"/>
            <w:shd w:val="clear" w:color="auto" w:fill="auto"/>
            <w:vAlign w:val="center"/>
          </w:tcPr>
          <w:p w:rsidR="00E84F99" w:rsidRPr="008B53A9" w:rsidRDefault="00E84F99" w:rsidP="009F18F5">
            <w:pPr>
              <w:pStyle w:val="Tabulka"/>
              <w:jc w:val="right"/>
              <w:rPr>
                <w:rFonts w:cs="Calibri"/>
                <w:lang w:val="cs-CZ" w:eastAsia="cs-CZ"/>
              </w:rPr>
            </w:pPr>
            <w:r w:rsidRPr="008B53A9">
              <w:rPr>
                <w:rFonts w:cs="Calibri"/>
                <w:lang w:val="cs-CZ" w:eastAsia="cs-CZ"/>
              </w:rPr>
              <w:t>492 130 143</w:t>
            </w:r>
          </w:p>
        </w:tc>
        <w:tc>
          <w:tcPr>
            <w:tcW w:w="639" w:type="dxa"/>
            <w:shd w:val="clear" w:color="auto" w:fill="auto"/>
            <w:vAlign w:val="center"/>
          </w:tcPr>
          <w:p w:rsidR="00E84F99" w:rsidRPr="008B53A9" w:rsidRDefault="00E84F99" w:rsidP="00DD63AD">
            <w:pPr>
              <w:pStyle w:val="Tabulka"/>
              <w:rPr>
                <w:rFonts w:cs="Calibri"/>
                <w:lang w:val="cs-CZ" w:eastAsia="cs-CZ"/>
              </w:rPr>
            </w:pPr>
            <w:r w:rsidRPr="008B53A9">
              <w:rPr>
                <w:rFonts w:cs="Calibri"/>
                <w:lang w:val="cs-CZ" w:eastAsia="cs-CZ"/>
              </w:rPr>
              <w:t>01</w:t>
            </w:r>
          </w:p>
        </w:tc>
        <w:tc>
          <w:tcPr>
            <w:tcW w:w="1692" w:type="dxa"/>
            <w:shd w:val="clear" w:color="auto" w:fill="auto"/>
            <w:vAlign w:val="center"/>
          </w:tcPr>
          <w:p w:rsidR="00E84F99" w:rsidRPr="008B53A9" w:rsidRDefault="00E84F99" w:rsidP="009F18F5">
            <w:pPr>
              <w:pStyle w:val="Tabulka"/>
              <w:jc w:val="right"/>
              <w:rPr>
                <w:rFonts w:cs="Calibri"/>
                <w:lang w:val="cs-CZ" w:eastAsia="cs-CZ"/>
              </w:rPr>
            </w:pPr>
            <w:r w:rsidRPr="008B53A9">
              <w:rPr>
                <w:rFonts w:cs="Calibri"/>
                <w:lang w:val="cs-CZ" w:eastAsia="cs-CZ"/>
              </w:rPr>
              <w:t>164 272 891</w:t>
            </w:r>
          </w:p>
        </w:tc>
        <w:tc>
          <w:tcPr>
            <w:tcW w:w="576" w:type="dxa"/>
            <w:shd w:val="clear" w:color="auto" w:fill="auto"/>
            <w:vAlign w:val="center"/>
          </w:tcPr>
          <w:p w:rsidR="00E84F99" w:rsidRPr="008B53A9" w:rsidRDefault="00E84F99" w:rsidP="00450475">
            <w:pPr>
              <w:pStyle w:val="Tabulka"/>
              <w:keepNext/>
              <w:keepLines/>
              <w:rPr>
                <w:rFonts w:cs="Calibri"/>
                <w:lang w:val="cs-CZ" w:eastAsia="cs-CZ"/>
              </w:rPr>
            </w:pPr>
            <w:r w:rsidRPr="008B53A9">
              <w:rPr>
                <w:rFonts w:cs="Calibri"/>
                <w:lang w:val="cs-CZ" w:eastAsia="cs-CZ"/>
              </w:rPr>
              <w:t>01</w:t>
            </w:r>
          </w:p>
        </w:tc>
        <w:tc>
          <w:tcPr>
            <w:tcW w:w="1756" w:type="dxa"/>
            <w:shd w:val="clear" w:color="auto" w:fill="auto"/>
            <w:vAlign w:val="center"/>
          </w:tcPr>
          <w:p w:rsidR="00E84F99" w:rsidRPr="008B53A9" w:rsidRDefault="00E84F99" w:rsidP="005530D1">
            <w:pPr>
              <w:pStyle w:val="Tabulka"/>
              <w:keepNext/>
              <w:keepLines/>
              <w:jc w:val="right"/>
              <w:rPr>
                <w:rFonts w:cs="Calibri"/>
                <w:lang w:val="cs-CZ" w:eastAsia="cs-CZ"/>
              </w:rPr>
            </w:pPr>
            <w:r w:rsidRPr="008B53A9">
              <w:rPr>
                <w:rFonts w:cs="Calibri"/>
                <w:lang w:val="cs-CZ" w:eastAsia="cs-CZ"/>
              </w:rPr>
              <w:t>112 217 62</w:t>
            </w:r>
            <w:r w:rsidR="005530D1" w:rsidRPr="008B53A9">
              <w:rPr>
                <w:rFonts w:cs="Calibri"/>
                <w:lang w:val="cs-CZ" w:eastAsia="cs-CZ"/>
              </w:rPr>
              <w:t>9</w:t>
            </w:r>
          </w:p>
        </w:tc>
      </w:tr>
      <w:tr w:rsidR="00E84F99" w:rsidRPr="008B53A9">
        <w:tc>
          <w:tcPr>
            <w:tcW w:w="624" w:type="dxa"/>
            <w:shd w:val="clear" w:color="auto" w:fill="auto"/>
            <w:vAlign w:val="center"/>
          </w:tcPr>
          <w:p w:rsidR="00E84F99" w:rsidRPr="008B53A9" w:rsidRDefault="00E84F99" w:rsidP="00DD63AD">
            <w:pPr>
              <w:pStyle w:val="Tabulka"/>
              <w:rPr>
                <w:rFonts w:cs="Calibri"/>
                <w:lang w:val="cs-CZ" w:eastAsia="cs-CZ"/>
              </w:rPr>
            </w:pPr>
            <w:r w:rsidRPr="008B53A9">
              <w:rPr>
                <w:rFonts w:cs="Calibri"/>
                <w:lang w:val="cs-CZ" w:eastAsia="cs-CZ"/>
              </w:rPr>
              <w:t>066</w:t>
            </w:r>
          </w:p>
        </w:tc>
        <w:tc>
          <w:tcPr>
            <w:tcW w:w="1707" w:type="dxa"/>
            <w:shd w:val="clear" w:color="auto" w:fill="auto"/>
            <w:vAlign w:val="center"/>
          </w:tcPr>
          <w:p w:rsidR="00E84F99" w:rsidRPr="008B53A9" w:rsidRDefault="00E84F99" w:rsidP="009F18F5">
            <w:pPr>
              <w:pStyle w:val="Tabulka"/>
              <w:jc w:val="right"/>
              <w:rPr>
                <w:rFonts w:cs="Calibri"/>
                <w:lang w:val="cs-CZ" w:eastAsia="cs-CZ"/>
              </w:rPr>
            </w:pPr>
            <w:r w:rsidRPr="008B53A9">
              <w:rPr>
                <w:rFonts w:cs="Calibri"/>
                <w:lang w:val="cs-CZ" w:eastAsia="cs-CZ"/>
              </w:rPr>
              <w:t>56 540 420</w:t>
            </w:r>
          </w:p>
        </w:tc>
        <w:tc>
          <w:tcPr>
            <w:tcW w:w="561" w:type="dxa"/>
            <w:shd w:val="clear" w:color="auto" w:fill="auto"/>
            <w:vAlign w:val="center"/>
          </w:tcPr>
          <w:p w:rsidR="00E84F99" w:rsidRPr="008B53A9" w:rsidRDefault="00E84F99" w:rsidP="00DD63AD">
            <w:pPr>
              <w:pStyle w:val="Tabulka"/>
              <w:rPr>
                <w:rFonts w:cs="Calibri"/>
                <w:lang w:val="cs-CZ" w:eastAsia="cs-CZ"/>
              </w:rPr>
            </w:pPr>
            <w:r w:rsidRPr="008B53A9">
              <w:rPr>
                <w:rFonts w:cs="Calibri"/>
                <w:lang w:val="cs-CZ" w:eastAsia="cs-CZ"/>
              </w:rPr>
              <w:t>03</w:t>
            </w:r>
          </w:p>
        </w:tc>
        <w:tc>
          <w:tcPr>
            <w:tcW w:w="1771" w:type="dxa"/>
            <w:shd w:val="clear" w:color="auto" w:fill="auto"/>
            <w:vAlign w:val="bottom"/>
          </w:tcPr>
          <w:p w:rsidR="00E84F99" w:rsidRPr="008B53A9" w:rsidRDefault="00E84F99" w:rsidP="009F18F5">
            <w:pPr>
              <w:pStyle w:val="Tabulka"/>
              <w:jc w:val="right"/>
              <w:rPr>
                <w:rFonts w:cs="Calibri"/>
                <w:lang w:val="cs-CZ" w:eastAsia="cs-CZ"/>
              </w:rPr>
            </w:pPr>
            <w:r w:rsidRPr="008B53A9">
              <w:rPr>
                <w:rFonts w:cs="Calibri"/>
                <w:lang w:val="cs-CZ" w:eastAsia="cs-CZ"/>
              </w:rPr>
              <w:t>30 000 000</w:t>
            </w:r>
            <w:r w:rsidRPr="008B53A9">
              <w:rPr>
                <w:rStyle w:val="Znakapoznpodarou"/>
                <w:rFonts w:cs="Calibri"/>
                <w:lang w:val="cs-CZ" w:eastAsia="cs-CZ"/>
              </w:rPr>
              <w:footnoteReference w:id="47"/>
            </w:r>
          </w:p>
        </w:tc>
        <w:tc>
          <w:tcPr>
            <w:tcW w:w="639" w:type="dxa"/>
            <w:shd w:val="clear" w:color="auto" w:fill="auto"/>
            <w:vAlign w:val="center"/>
          </w:tcPr>
          <w:p w:rsidR="00E84F99" w:rsidRPr="008B53A9" w:rsidRDefault="00E84F99" w:rsidP="00DD63AD">
            <w:pPr>
              <w:pStyle w:val="Tabulka"/>
              <w:rPr>
                <w:rFonts w:cs="Calibri"/>
                <w:lang w:val="cs-CZ" w:eastAsia="cs-CZ"/>
              </w:rPr>
            </w:pPr>
            <w:r w:rsidRPr="008B53A9">
              <w:rPr>
                <w:rFonts w:cs="Calibri"/>
                <w:lang w:val="cs-CZ" w:eastAsia="cs-CZ"/>
              </w:rPr>
              <w:t>02</w:t>
            </w:r>
          </w:p>
        </w:tc>
        <w:tc>
          <w:tcPr>
            <w:tcW w:w="1692" w:type="dxa"/>
            <w:shd w:val="clear" w:color="auto" w:fill="auto"/>
            <w:vAlign w:val="center"/>
          </w:tcPr>
          <w:p w:rsidR="00E84F99" w:rsidRPr="008B53A9" w:rsidRDefault="00E84F99" w:rsidP="009F18F5">
            <w:pPr>
              <w:pStyle w:val="Tabulka"/>
              <w:jc w:val="right"/>
              <w:rPr>
                <w:rFonts w:cs="Calibri"/>
                <w:lang w:val="cs-CZ" w:eastAsia="cs-CZ"/>
              </w:rPr>
            </w:pPr>
            <w:r w:rsidRPr="008B53A9">
              <w:rPr>
                <w:rFonts w:cs="Calibri"/>
                <w:lang w:val="cs-CZ" w:eastAsia="cs-CZ"/>
              </w:rPr>
              <w:t>405 976 616</w:t>
            </w:r>
          </w:p>
        </w:tc>
        <w:tc>
          <w:tcPr>
            <w:tcW w:w="576" w:type="dxa"/>
            <w:shd w:val="clear" w:color="auto" w:fill="auto"/>
            <w:vAlign w:val="center"/>
          </w:tcPr>
          <w:p w:rsidR="00E84F99" w:rsidRPr="008B53A9" w:rsidRDefault="00E84F99" w:rsidP="00450475">
            <w:pPr>
              <w:pStyle w:val="Tabulka"/>
              <w:rPr>
                <w:rFonts w:cs="Calibri"/>
                <w:lang w:val="cs-CZ" w:eastAsia="cs-CZ"/>
              </w:rPr>
            </w:pPr>
            <w:r w:rsidRPr="008B53A9">
              <w:rPr>
                <w:rFonts w:cs="Calibri"/>
                <w:lang w:val="cs-CZ" w:eastAsia="cs-CZ"/>
              </w:rPr>
              <w:t>07</w:t>
            </w:r>
          </w:p>
        </w:tc>
        <w:tc>
          <w:tcPr>
            <w:tcW w:w="1756" w:type="dxa"/>
            <w:shd w:val="clear" w:color="auto" w:fill="auto"/>
            <w:vAlign w:val="center"/>
          </w:tcPr>
          <w:p w:rsidR="00E84F99" w:rsidRPr="008B53A9" w:rsidRDefault="00E84F99" w:rsidP="005530D1">
            <w:pPr>
              <w:pStyle w:val="Tabulka"/>
              <w:jc w:val="right"/>
              <w:rPr>
                <w:rFonts w:cs="Calibri"/>
                <w:lang w:val="cs-CZ" w:eastAsia="cs-CZ"/>
              </w:rPr>
            </w:pPr>
            <w:r w:rsidRPr="008B53A9">
              <w:rPr>
                <w:rFonts w:cs="Calibri"/>
                <w:lang w:val="cs-CZ" w:eastAsia="cs-CZ"/>
              </w:rPr>
              <w:t>779 912 51</w:t>
            </w:r>
            <w:r w:rsidR="005530D1" w:rsidRPr="008B53A9">
              <w:rPr>
                <w:rFonts w:cs="Calibri"/>
                <w:lang w:val="cs-CZ" w:eastAsia="cs-CZ"/>
              </w:rPr>
              <w:t>4</w:t>
            </w:r>
          </w:p>
        </w:tc>
      </w:tr>
      <w:tr w:rsidR="00293715" w:rsidRPr="008B53A9">
        <w:tc>
          <w:tcPr>
            <w:tcW w:w="624" w:type="dxa"/>
            <w:shd w:val="clear" w:color="auto" w:fill="auto"/>
            <w:vAlign w:val="center"/>
          </w:tcPr>
          <w:p w:rsidR="00293715" w:rsidRPr="008B53A9" w:rsidRDefault="00293715" w:rsidP="00DD63AD">
            <w:pPr>
              <w:pStyle w:val="Tabulka"/>
              <w:rPr>
                <w:rFonts w:cs="Calibri"/>
                <w:lang w:val="cs-CZ" w:eastAsia="cs-CZ"/>
              </w:rPr>
            </w:pPr>
            <w:r w:rsidRPr="008B53A9">
              <w:rPr>
                <w:rFonts w:cs="Calibri"/>
                <w:lang w:val="cs-CZ" w:eastAsia="cs-CZ"/>
              </w:rPr>
              <w:t>067</w:t>
            </w:r>
          </w:p>
        </w:tc>
        <w:tc>
          <w:tcPr>
            <w:tcW w:w="1707" w:type="dxa"/>
            <w:shd w:val="clear" w:color="auto" w:fill="auto"/>
            <w:vAlign w:val="center"/>
          </w:tcPr>
          <w:p w:rsidR="00293715" w:rsidRPr="008B53A9" w:rsidRDefault="00293715" w:rsidP="009F18F5">
            <w:pPr>
              <w:pStyle w:val="Tabulka"/>
              <w:jc w:val="right"/>
              <w:rPr>
                <w:rFonts w:cs="Calibri"/>
                <w:lang w:val="cs-CZ" w:eastAsia="cs-CZ"/>
              </w:rPr>
            </w:pPr>
            <w:r w:rsidRPr="008B53A9">
              <w:rPr>
                <w:rFonts w:cs="Calibri"/>
                <w:lang w:val="cs-CZ" w:eastAsia="cs-CZ"/>
              </w:rPr>
              <w:t>609 428 042</w:t>
            </w:r>
          </w:p>
        </w:tc>
        <w:tc>
          <w:tcPr>
            <w:tcW w:w="561" w:type="dxa"/>
            <w:shd w:val="clear" w:color="auto" w:fill="auto"/>
            <w:vAlign w:val="center"/>
          </w:tcPr>
          <w:p w:rsidR="00293715" w:rsidRPr="008B53A9" w:rsidRDefault="00293715" w:rsidP="00DD63AD">
            <w:pPr>
              <w:pStyle w:val="Tabulka"/>
              <w:rPr>
                <w:rFonts w:cs="Calibri"/>
                <w:lang w:val="cs-CZ" w:eastAsia="cs-CZ"/>
              </w:rPr>
            </w:pPr>
            <w:r w:rsidRPr="008B53A9">
              <w:rPr>
                <w:rFonts w:cs="Calibri"/>
                <w:lang w:val="cs-CZ" w:eastAsia="cs-CZ"/>
              </w:rPr>
              <w:t>04</w:t>
            </w:r>
          </w:p>
        </w:tc>
        <w:tc>
          <w:tcPr>
            <w:tcW w:w="1771" w:type="dxa"/>
            <w:shd w:val="clear" w:color="auto" w:fill="auto"/>
            <w:vAlign w:val="bottom"/>
          </w:tcPr>
          <w:p w:rsidR="00293715" w:rsidRPr="008B53A9" w:rsidRDefault="00293715" w:rsidP="009F18F5">
            <w:pPr>
              <w:pStyle w:val="Tabulka"/>
              <w:jc w:val="right"/>
              <w:rPr>
                <w:rFonts w:cs="Calibri"/>
                <w:lang w:val="cs-CZ" w:eastAsia="cs-CZ"/>
              </w:rPr>
            </w:pPr>
            <w:r w:rsidRPr="008B53A9">
              <w:rPr>
                <w:rFonts w:cs="Calibri"/>
                <w:lang w:val="cs-CZ" w:eastAsia="cs-CZ"/>
              </w:rPr>
              <w:t>190 000 000</w:t>
            </w:r>
            <w:r w:rsidR="00D33C7F" w:rsidRPr="008B53A9">
              <w:rPr>
                <w:rStyle w:val="Znakapoznpodarou"/>
                <w:rFonts w:cs="Calibri"/>
                <w:lang w:val="cs-CZ" w:eastAsia="cs-CZ"/>
              </w:rPr>
              <w:footnoteReference w:id="48"/>
            </w:r>
          </w:p>
        </w:tc>
        <w:tc>
          <w:tcPr>
            <w:tcW w:w="639" w:type="dxa"/>
            <w:shd w:val="clear" w:color="auto" w:fill="auto"/>
            <w:vAlign w:val="center"/>
          </w:tcPr>
          <w:p w:rsidR="00293715" w:rsidRPr="008B53A9" w:rsidRDefault="00293715" w:rsidP="00DD63AD">
            <w:pPr>
              <w:pStyle w:val="Tabulka"/>
              <w:rPr>
                <w:rFonts w:cs="Calibri"/>
                <w:lang w:val="cs-CZ" w:eastAsia="cs-CZ"/>
              </w:rPr>
            </w:pPr>
            <w:r w:rsidRPr="008B53A9">
              <w:rPr>
                <w:rFonts w:cs="Calibri"/>
                <w:lang w:val="cs-CZ" w:eastAsia="cs-CZ"/>
              </w:rPr>
              <w:t>03</w:t>
            </w:r>
          </w:p>
        </w:tc>
        <w:tc>
          <w:tcPr>
            <w:tcW w:w="1692" w:type="dxa"/>
            <w:shd w:val="clear" w:color="auto" w:fill="auto"/>
            <w:vAlign w:val="center"/>
          </w:tcPr>
          <w:p w:rsidR="00293715" w:rsidRPr="008B53A9" w:rsidRDefault="00293715" w:rsidP="009F18F5">
            <w:pPr>
              <w:pStyle w:val="Tabulka"/>
              <w:jc w:val="right"/>
              <w:rPr>
                <w:rFonts w:cs="Calibri"/>
                <w:lang w:val="cs-CZ" w:eastAsia="cs-CZ"/>
              </w:rPr>
            </w:pPr>
            <w:r w:rsidRPr="008B53A9">
              <w:rPr>
                <w:rFonts w:cs="Calibri"/>
                <w:lang w:val="cs-CZ" w:eastAsia="cs-CZ"/>
              </w:rPr>
              <w:t>321 880 636</w:t>
            </w:r>
          </w:p>
        </w:tc>
        <w:tc>
          <w:tcPr>
            <w:tcW w:w="576" w:type="dxa"/>
            <w:shd w:val="clear" w:color="auto" w:fill="auto"/>
            <w:vAlign w:val="center"/>
          </w:tcPr>
          <w:p w:rsidR="00293715" w:rsidRPr="008B53A9" w:rsidRDefault="00293715" w:rsidP="00450475">
            <w:pPr>
              <w:pStyle w:val="Tabulka"/>
              <w:rPr>
                <w:rFonts w:cs="Calibri"/>
                <w:lang w:val="cs-CZ" w:eastAsia="cs-CZ"/>
              </w:rPr>
            </w:pPr>
          </w:p>
        </w:tc>
        <w:tc>
          <w:tcPr>
            <w:tcW w:w="1756" w:type="dxa"/>
            <w:shd w:val="clear" w:color="auto" w:fill="auto"/>
            <w:vAlign w:val="center"/>
          </w:tcPr>
          <w:p w:rsidR="00293715" w:rsidRPr="008B53A9" w:rsidRDefault="00293715" w:rsidP="009F18F5">
            <w:pPr>
              <w:pStyle w:val="Tabulka"/>
              <w:jc w:val="right"/>
              <w:rPr>
                <w:rFonts w:cs="Calibri"/>
                <w:lang w:val="cs-CZ" w:eastAsia="cs-CZ"/>
              </w:rPr>
            </w:pPr>
          </w:p>
        </w:tc>
      </w:tr>
      <w:tr w:rsidR="00293715" w:rsidRPr="008B53A9">
        <w:tc>
          <w:tcPr>
            <w:tcW w:w="624" w:type="dxa"/>
            <w:shd w:val="clear" w:color="auto" w:fill="auto"/>
            <w:vAlign w:val="center"/>
          </w:tcPr>
          <w:p w:rsidR="00293715" w:rsidRPr="008B53A9" w:rsidRDefault="00293715" w:rsidP="00DD63AD">
            <w:pPr>
              <w:pStyle w:val="Tabulka"/>
              <w:rPr>
                <w:rFonts w:cs="Calibri"/>
                <w:lang w:val="cs-CZ" w:eastAsia="cs-CZ"/>
              </w:rPr>
            </w:pPr>
            <w:r w:rsidRPr="008B53A9">
              <w:rPr>
                <w:rFonts w:cs="Calibri"/>
                <w:lang w:val="cs-CZ" w:eastAsia="cs-CZ"/>
              </w:rPr>
              <w:t>072</w:t>
            </w:r>
          </w:p>
        </w:tc>
        <w:tc>
          <w:tcPr>
            <w:tcW w:w="1707" w:type="dxa"/>
            <w:shd w:val="clear" w:color="auto" w:fill="auto"/>
            <w:vAlign w:val="center"/>
          </w:tcPr>
          <w:p w:rsidR="00293715" w:rsidRPr="008B53A9" w:rsidRDefault="00293715" w:rsidP="009F18F5">
            <w:pPr>
              <w:pStyle w:val="Tabulka"/>
              <w:jc w:val="right"/>
              <w:rPr>
                <w:rFonts w:cs="Calibri"/>
                <w:lang w:val="cs-CZ" w:eastAsia="cs-CZ"/>
              </w:rPr>
            </w:pPr>
            <w:r w:rsidRPr="008B53A9">
              <w:rPr>
                <w:rFonts w:cs="Calibri"/>
                <w:lang w:val="cs-CZ" w:eastAsia="cs-CZ"/>
              </w:rPr>
              <w:t>141 566 854</w:t>
            </w:r>
          </w:p>
        </w:tc>
        <w:tc>
          <w:tcPr>
            <w:tcW w:w="561" w:type="dxa"/>
            <w:shd w:val="clear" w:color="auto" w:fill="auto"/>
            <w:vAlign w:val="center"/>
          </w:tcPr>
          <w:p w:rsidR="00293715" w:rsidRPr="008B53A9" w:rsidRDefault="00293715" w:rsidP="00DD63AD">
            <w:pPr>
              <w:pStyle w:val="Tabulka"/>
              <w:rPr>
                <w:rFonts w:cs="Calibri"/>
                <w:lang w:val="cs-CZ" w:eastAsia="cs-CZ"/>
              </w:rPr>
            </w:pPr>
            <w:r w:rsidRPr="008B53A9">
              <w:rPr>
                <w:rFonts w:cs="Calibri"/>
                <w:lang w:val="cs-CZ" w:eastAsia="cs-CZ"/>
              </w:rPr>
              <w:t>05</w:t>
            </w:r>
          </w:p>
        </w:tc>
        <w:tc>
          <w:tcPr>
            <w:tcW w:w="1771" w:type="dxa"/>
            <w:shd w:val="clear" w:color="auto" w:fill="auto"/>
            <w:vAlign w:val="bottom"/>
          </w:tcPr>
          <w:p w:rsidR="00293715" w:rsidRPr="008B53A9" w:rsidRDefault="00293715" w:rsidP="009F18F5">
            <w:pPr>
              <w:pStyle w:val="Tabulka"/>
              <w:jc w:val="right"/>
              <w:rPr>
                <w:rFonts w:cs="Calibri"/>
                <w:lang w:val="cs-CZ" w:eastAsia="cs-CZ"/>
              </w:rPr>
            </w:pPr>
            <w:r w:rsidRPr="008B53A9">
              <w:rPr>
                <w:rFonts w:cs="Calibri"/>
                <w:lang w:val="cs-CZ" w:eastAsia="cs-CZ"/>
              </w:rPr>
              <w:t>180 000 000</w:t>
            </w:r>
            <w:r w:rsidR="00D33C7F" w:rsidRPr="008B53A9">
              <w:rPr>
                <w:rStyle w:val="Znakapoznpodarou"/>
                <w:rFonts w:cs="Calibri"/>
                <w:lang w:val="cs-CZ" w:eastAsia="cs-CZ"/>
              </w:rPr>
              <w:footnoteReference w:id="49"/>
            </w:r>
          </w:p>
        </w:tc>
        <w:tc>
          <w:tcPr>
            <w:tcW w:w="639" w:type="dxa"/>
            <w:shd w:val="clear" w:color="auto" w:fill="auto"/>
            <w:vAlign w:val="center"/>
          </w:tcPr>
          <w:p w:rsidR="00293715" w:rsidRPr="008B53A9" w:rsidRDefault="00293715" w:rsidP="00DD63AD">
            <w:pPr>
              <w:pStyle w:val="Tabulka"/>
              <w:rPr>
                <w:rFonts w:cs="Calibri"/>
                <w:lang w:val="cs-CZ" w:eastAsia="cs-CZ"/>
              </w:rPr>
            </w:pPr>
          </w:p>
        </w:tc>
        <w:tc>
          <w:tcPr>
            <w:tcW w:w="1692" w:type="dxa"/>
            <w:shd w:val="clear" w:color="auto" w:fill="auto"/>
            <w:vAlign w:val="center"/>
          </w:tcPr>
          <w:p w:rsidR="00293715" w:rsidRPr="008B53A9" w:rsidRDefault="00293715" w:rsidP="009F18F5">
            <w:pPr>
              <w:pStyle w:val="Tabulka"/>
              <w:jc w:val="right"/>
              <w:rPr>
                <w:rFonts w:cs="Calibri"/>
                <w:lang w:val="cs-CZ" w:eastAsia="cs-CZ"/>
              </w:rPr>
            </w:pPr>
          </w:p>
        </w:tc>
        <w:tc>
          <w:tcPr>
            <w:tcW w:w="576" w:type="dxa"/>
            <w:shd w:val="clear" w:color="auto" w:fill="auto"/>
            <w:vAlign w:val="center"/>
          </w:tcPr>
          <w:p w:rsidR="00293715" w:rsidRPr="008B53A9" w:rsidRDefault="00293715" w:rsidP="00450475">
            <w:pPr>
              <w:pStyle w:val="Tabulka"/>
              <w:rPr>
                <w:rFonts w:cs="Calibri"/>
                <w:lang w:val="cs-CZ" w:eastAsia="cs-CZ"/>
              </w:rPr>
            </w:pPr>
          </w:p>
        </w:tc>
        <w:tc>
          <w:tcPr>
            <w:tcW w:w="1756" w:type="dxa"/>
            <w:shd w:val="clear" w:color="auto" w:fill="auto"/>
            <w:vAlign w:val="center"/>
          </w:tcPr>
          <w:p w:rsidR="00293715" w:rsidRPr="008B53A9" w:rsidRDefault="00293715" w:rsidP="009F18F5">
            <w:pPr>
              <w:pStyle w:val="Tabulka"/>
              <w:jc w:val="right"/>
              <w:rPr>
                <w:rFonts w:cs="Calibri"/>
                <w:lang w:val="cs-CZ" w:eastAsia="cs-CZ"/>
              </w:rPr>
            </w:pPr>
          </w:p>
        </w:tc>
      </w:tr>
    </w:tbl>
    <w:p w:rsidR="00527A16" w:rsidRPr="008B53A9" w:rsidRDefault="00DF23DE" w:rsidP="005F43DF">
      <w:pPr>
        <w:pStyle w:val="kapitola2A0"/>
        <w:numPr>
          <w:ilvl w:val="2"/>
          <w:numId w:val="69"/>
        </w:numPr>
      </w:pPr>
      <w:bookmarkStart w:id="55" w:name="_Toc351464386"/>
      <w:bookmarkStart w:id="56" w:name="_Toc391539625"/>
      <w:r w:rsidRPr="008B53A9">
        <w:t>Přehled plánovaného využití technické pomoci, je-li to nutné, včetně opatření na posílení správní kapacity orgánů zapojených do řízení a kontroly programů a příjemců (použije-li se)</w:t>
      </w:r>
      <w:bookmarkEnd w:id="56"/>
      <w:r w:rsidR="00527A16" w:rsidRPr="008B53A9">
        <w:t xml:space="preserve"> </w:t>
      </w:r>
      <w:bookmarkEnd w:id="55"/>
    </w:p>
    <w:p w:rsidR="000E634D" w:rsidRPr="008B53A9" w:rsidRDefault="00B25D99" w:rsidP="000E3FBB">
      <w:pPr>
        <w:pStyle w:val="Standardntext"/>
      </w:pPr>
      <w:r w:rsidRPr="008B53A9">
        <w:t>Není relevantní pro OP PIK.</w:t>
      </w:r>
    </w:p>
    <w:p w:rsidR="000E3FBB" w:rsidRPr="008B53A9" w:rsidRDefault="000E3FBB" w:rsidP="000E3FBB">
      <w:pPr>
        <w:pStyle w:val="Standardntext"/>
      </w:pPr>
      <w:r w:rsidRPr="008B53A9">
        <w:t xml:space="preserve"> </w:t>
      </w:r>
      <w:r w:rsidRPr="008B53A9">
        <w:br w:type="page"/>
      </w:r>
    </w:p>
    <w:p w:rsidR="008C7D72" w:rsidRPr="008B53A9" w:rsidRDefault="008C7D72" w:rsidP="005F43DF">
      <w:pPr>
        <w:pStyle w:val="kapitola2A0"/>
        <w:numPr>
          <w:ilvl w:val="2"/>
          <w:numId w:val="17"/>
        </w:numPr>
      </w:pPr>
      <w:bookmarkStart w:id="57" w:name="_Toc351464389"/>
      <w:bookmarkStart w:id="58" w:name="_Toc391539626"/>
      <w:r w:rsidRPr="008B53A9">
        <w:lastRenderedPageBreak/>
        <w:t>PRIORITNÍ OSA 3: Účinné nakládání energií, rozvoj energetické infrastruktury a obnovitelných zdrojů energie, podpora zavádění nových technologií v oblasti nakládání energií a druhotných surovin</w:t>
      </w:r>
      <w:bookmarkEnd w:id="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8C7D72" w:rsidRPr="008B53A9">
        <w:tc>
          <w:tcPr>
            <w:tcW w:w="4736" w:type="pct"/>
            <w:shd w:val="clear" w:color="auto" w:fill="auto"/>
            <w:vAlign w:val="center"/>
          </w:tcPr>
          <w:p w:rsidR="008C7D72" w:rsidRPr="008B53A9" w:rsidRDefault="008C7D72" w:rsidP="008C7D72">
            <w:pPr>
              <w:pStyle w:val="Tabulka"/>
              <w:jc w:val="left"/>
              <w:rPr>
                <w:rFonts w:cs="Calibri"/>
                <w:lang w:val="cs-CZ" w:eastAsia="cs-CZ"/>
              </w:rPr>
            </w:pPr>
            <w:r w:rsidRPr="008B53A9">
              <w:rPr>
                <w:rFonts w:cs="Calibri"/>
                <w:lang w:val="cs-CZ" w:eastAsia="cs-CZ"/>
              </w:rPr>
              <w:t>Celá prioritní osa bude realizována výhradně prostřednictvím finančních nástrojů</w:t>
            </w:r>
          </w:p>
        </w:tc>
        <w:tc>
          <w:tcPr>
            <w:tcW w:w="264" w:type="pct"/>
            <w:shd w:val="clear" w:color="auto" w:fill="auto"/>
            <w:vAlign w:val="center"/>
          </w:tcPr>
          <w:p w:rsidR="008C7D72" w:rsidRPr="008B53A9" w:rsidRDefault="008C7D72" w:rsidP="008C7D72">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r w:rsidR="008C7D72" w:rsidRPr="008B53A9">
        <w:tc>
          <w:tcPr>
            <w:tcW w:w="4736" w:type="pct"/>
            <w:shd w:val="clear" w:color="auto" w:fill="auto"/>
            <w:vAlign w:val="center"/>
          </w:tcPr>
          <w:p w:rsidR="008C7D72" w:rsidRPr="008B53A9" w:rsidRDefault="008C7D72" w:rsidP="008C7D72">
            <w:pPr>
              <w:pStyle w:val="Tabulka"/>
              <w:jc w:val="left"/>
              <w:rPr>
                <w:rFonts w:cs="Calibri"/>
                <w:lang w:val="cs-CZ" w:eastAsia="cs-CZ"/>
              </w:rPr>
            </w:pPr>
            <w:r w:rsidRPr="008B53A9">
              <w:rPr>
                <w:rFonts w:cs="Calibri"/>
                <w:lang w:val="cs-CZ" w:eastAsia="cs-CZ"/>
              </w:rPr>
              <w:t>Celá prioritní osa bude realizována výhradně prostřednictvím finančních nástrojů zřízených na úrovni Unie</w:t>
            </w:r>
          </w:p>
        </w:tc>
        <w:tc>
          <w:tcPr>
            <w:tcW w:w="264" w:type="pct"/>
            <w:shd w:val="clear" w:color="auto" w:fill="auto"/>
            <w:vAlign w:val="center"/>
          </w:tcPr>
          <w:p w:rsidR="008C7D72" w:rsidRPr="008B53A9" w:rsidRDefault="008C7D72" w:rsidP="008C7D72">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r w:rsidR="008C7D72" w:rsidRPr="008B53A9">
        <w:tc>
          <w:tcPr>
            <w:tcW w:w="4736" w:type="pct"/>
            <w:shd w:val="clear" w:color="auto" w:fill="auto"/>
            <w:vAlign w:val="center"/>
          </w:tcPr>
          <w:p w:rsidR="008C7D72" w:rsidRPr="008B53A9" w:rsidRDefault="008C7D72" w:rsidP="008C7D72">
            <w:pPr>
              <w:pStyle w:val="Tabulka"/>
              <w:jc w:val="left"/>
              <w:rPr>
                <w:rFonts w:cs="Calibri"/>
                <w:lang w:val="cs-CZ" w:eastAsia="cs-CZ"/>
              </w:rPr>
            </w:pPr>
            <w:r w:rsidRPr="008B53A9">
              <w:rPr>
                <w:rFonts w:cs="Calibri"/>
                <w:lang w:val="cs-CZ" w:eastAsia="cs-CZ"/>
              </w:rPr>
              <w:t>Celá prioritní osa bude realizována výhradně prostřednictvím komunitně vedeného místního rozvoje</w:t>
            </w:r>
          </w:p>
        </w:tc>
        <w:tc>
          <w:tcPr>
            <w:tcW w:w="264" w:type="pct"/>
            <w:shd w:val="clear" w:color="auto" w:fill="auto"/>
            <w:vAlign w:val="center"/>
          </w:tcPr>
          <w:p w:rsidR="008C7D72" w:rsidRPr="008B53A9" w:rsidRDefault="008C7D72" w:rsidP="008C7D72">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bl>
    <w:p w:rsidR="008C7D72" w:rsidRPr="008B53A9" w:rsidRDefault="008C7D72" w:rsidP="005F43DF">
      <w:pPr>
        <w:pStyle w:val="kapitola2A0"/>
        <w:numPr>
          <w:ilvl w:val="2"/>
          <w:numId w:val="17"/>
        </w:numPr>
      </w:pPr>
      <w:bookmarkStart w:id="59" w:name="_Toc391539627"/>
      <w:r w:rsidRPr="008B53A9">
        <w:t>Odůvodnění pro vytvoření prioritní osy, která zahrnuje více než jednu kategorii regionů nebo více než jeden tematický cíl či fond (použije-li se)</w:t>
      </w:r>
      <w:bookmarkEnd w:id="59"/>
    </w:p>
    <w:p w:rsidR="000B16DC" w:rsidRPr="008B53A9" w:rsidRDefault="000B16DC" w:rsidP="000B16DC">
      <w:pPr>
        <w:pStyle w:val="Standardntext"/>
      </w:pPr>
      <w:r w:rsidRPr="008B53A9">
        <w:t xml:space="preserve">V souladu s čl. 96 odst. 1 písm. c) kombinuje tato prioritní osa investiční priority z různých tematických cílů. Za základní tematický cíl této prioritní </w:t>
      </w:r>
      <w:r w:rsidR="00127389" w:rsidRPr="008B53A9">
        <w:t xml:space="preserve">osy </w:t>
      </w:r>
      <w:r w:rsidRPr="008B53A9">
        <w:t>lze považovat TC 4, který je doplněn investiční prioritou „zvyšování energetické účinnosti a zabezpečení dodávek prostřednictvím rozvoje inteligentních systémů pro distribuci, skladování a přenos energie a prostřednictvím integrace distribuované výroby z obnovitelných zdrojů“ v rámci TC 7.</w:t>
      </w:r>
    </w:p>
    <w:p w:rsidR="004C3774" w:rsidRPr="008B53A9" w:rsidRDefault="00DA19E2" w:rsidP="004C3774">
      <w:pPr>
        <w:pStyle w:val="Standardntext"/>
      </w:pPr>
      <w:r w:rsidRPr="008B53A9">
        <w:t>Řídící orgán přistoupil ke kombinaci tematických cílů TC 4 a TC 7 z důvodu potřeby komplexních intervencí v celé elektrizační soustavě (přenosová soustava a distribuční soustavy). Tento komplexní přístup přinese kvalitativně vyšší přínosy pro posílení bezpečnosti, spolehlivosti  a kvality dodávky elektrické energie a zároveň umožní dobudovat vnitřní trh s elektřinou, umožní integrac</w:t>
      </w:r>
      <w:r w:rsidR="009D1769" w:rsidRPr="008B53A9">
        <w:t>i</w:t>
      </w:r>
      <w:r w:rsidRPr="008B53A9">
        <w:t xml:space="preserve"> decentrálních zdrojů včetně OZE do distribučních soustav a efektivnější nakládání energií. Toto </w:t>
      </w:r>
      <w:r w:rsidR="009D1769" w:rsidRPr="008B53A9">
        <w:t>komplexní</w:t>
      </w:r>
      <w:r w:rsidRPr="008B53A9">
        <w:t xml:space="preserve"> řešení přinese vyšší kvalitu přínosů, než kdyby byly intervence realizovány pouze v oblasti distribuce či přenosu</w:t>
      </w:r>
      <w:r w:rsidR="00A72338" w:rsidRPr="008B53A9">
        <w:t xml:space="preserve"> samostatně</w:t>
      </w:r>
      <w:r w:rsidRPr="008B53A9">
        <w:t xml:space="preserve"> anebo by byly obě oblasti separátně podporovány z různých operačních programů.</w:t>
      </w:r>
    </w:p>
    <w:p w:rsidR="008C7D72" w:rsidRPr="008B53A9" w:rsidRDefault="008C7D72" w:rsidP="005F43DF">
      <w:pPr>
        <w:pStyle w:val="kapitola2A0"/>
        <w:numPr>
          <w:ilvl w:val="2"/>
          <w:numId w:val="17"/>
        </w:numPr>
      </w:pPr>
      <w:bookmarkStart w:id="60" w:name="_Toc391539628"/>
      <w:r w:rsidRPr="008B53A9">
        <w:t>Fond, kategorie regionů a základ pro výpočet podpory Unie</w:t>
      </w:r>
      <w:bookmarkEnd w:id="60"/>
    </w:p>
    <w:p w:rsidR="008C7D72" w:rsidRPr="008B53A9" w:rsidRDefault="008C7D72" w:rsidP="008C7D72">
      <w:pPr>
        <w:pStyle w:val="Standardntext"/>
      </w:pPr>
      <w:r w:rsidRPr="008B53A9">
        <w:t>Fond: Evropský fond pro regionální rozvoj</w:t>
      </w:r>
    </w:p>
    <w:p w:rsidR="008C7D72" w:rsidRPr="008B53A9" w:rsidRDefault="008C7D72" w:rsidP="008C7D72">
      <w:pPr>
        <w:pStyle w:val="Standardntext"/>
      </w:pPr>
      <w:r w:rsidRPr="008B53A9">
        <w:t>Kategorie regionů: Méně rozvinuté regiony</w:t>
      </w:r>
    </w:p>
    <w:p w:rsidR="008C7D72" w:rsidRPr="008B53A9" w:rsidRDefault="008668C8" w:rsidP="008C7D72">
      <w:pPr>
        <w:pStyle w:val="Standardntext"/>
      </w:pPr>
      <w:r w:rsidRPr="008B53A9">
        <w:t>Základ pro výpočet</w:t>
      </w:r>
      <w:r w:rsidRPr="008B53A9">
        <w:rPr>
          <w:lang w:val="cs-CZ"/>
        </w:rPr>
        <w:t xml:space="preserve">: </w:t>
      </w:r>
      <w:r w:rsidRPr="008B53A9">
        <w:t>způsobilé veřejné výdaje</w:t>
      </w:r>
    </w:p>
    <w:p w:rsidR="008C7D72" w:rsidRPr="008B53A9" w:rsidRDefault="008C7D72" w:rsidP="005F43DF">
      <w:pPr>
        <w:pStyle w:val="kapitola2A0"/>
        <w:numPr>
          <w:ilvl w:val="2"/>
          <w:numId w:val="17"/>
        </w:numPr>
      </w:pPr>
      <w:bookmarkStart w:id="61" w:name="_Toc391539629"/>
      <w:r w:rsidRPr="008B53A9">
        <w:t xml:space="preserve">INVESTIČNÍ PRIORITA 1 prioritní osy </w:t>
      </w:r>
      <w:r w:rsidR="00AA66A2" w:rsidRPr="008B53A9">
        <w:t>3</w:t>
      </w:r>
      <w:r w:rsidRPr="008B53A9">
        <w:t xml:space="preserve">: Podpora výroby a distribuce energie </w:t>
      </w:r>
      <w:r w:rsidR="00AA66A2" w:rsidRPr="008B53A9">
        <w:t>pocházející</w:t>
      </w:r>
      <w:r w:rsidRPr="008B53A9">
        <w:t xml:space="preserve"> z obnovitelných zdrojů</w:t>
      </w:r>
      <w:bookmarkEnd w:id="61"/>
    </w:p>
    <w:p w:rsidR="00FB38B2" w:rsidRPr="008B53A9" w:rsidRDefault="008C7D72" w:rsidP="005F43DF">
      <w:pPr>
        <w:pStyle w:val="kapitola2A0"/>
        <w:numPr>
          <w:ilvl w:val="2"/>
          <w:numId w:val="17"/>
        </w:numPr>
      </w:pPr>
      <w:bookmarkStart w:id="62" w:name="_Toc391539630"/>
      <w:r w:rsidRPr="008B53A9">
        <w:t>Specifické cíle odpovídající investiční prioritě a očekávané výsledky</w:t>
      </w:r>
      <w:bookmarkEnd w:id="62"/>
    </w:p>
    <w:p w:rsidR="00EC0F1D" w:rsidRPr="008B53A9" w:rsidRDefault="00EC0F1D" w:rsidP="00396141">
      <w:pPr>
        <w:pStyle w:val="Modrnadpis"/>
      </w:pPr>
      <w:r w:rsidRPr="008B53A9">
        <w:t xml:space="preserve">SPECIFICKÝ CÍL </w:t>
      </w:r>
      <w:r w:rsidR="00C71E6F" w:rsidRPr="008B53A9">
        <w:t>3.</w:t>
      </w:r>
      <w:r w:rsidRPr="008B53A9">
        <w:t xml:space="preserve">1: </w:t>
      </w:r>
      <w:r w:rsidR="00B75515" w:rsidRPr="008B53A9">
        <w:t>Zvýšit podíl výroby energie z obnovitelných zdrojů na hrubé konečné spotřebě ČR</w:t>
      </w:r>
    </w:p>
    <w:bookmarkEnd w:id="57"/>
    <w:p w:rsidR="00047389" w:rsidRPr="008B53A9" w:rsidRDefault="004B5246" w:rsidP="00B73547">
      <w:pPr>
        <w:pStyle w:val="Standardntext"/>
      </w:pPr>
      <w:r w:rsidRPr="008B53A9">
        <w:t>V energetickém mixu Č</w:t>
      </w:r>
      <w:r w:rsidR="00E97809" w:rsidRPr="008B53A9">
        <w:t>R</w:t>
      </w:r>
      <w:r w:rsidRPr="008B53A9">
        <w:t xml:space="preserve"> hrají dlouhodobě nejvýznamnější roli klasické zdroje energie na úkor zdrojů moderních, obnovitelných, šetrných k životnímu prostředí.</w:t>
      </w:r>
      <w:r w:rsidR="00B73547" w:rsidRPr="008B53A9">
        <w:t xml:space="preserve"> </w:t>
      </w:r>
      <w:r w:rsidRPr="008B53A9">
        <w:t xml:space="preserve">Širšímu zavedení výroby energie z OZE brání vyšší nákladovost prvotní investice, která je stále vyšší než náklady na </w:t>
      </w:r>
      <w:r w:rsidR="00320FE6" w:rsidRPr="008B53A9">
        <w:t>konvenční</w:t>
      </w:r>
      <w:r w:rsidRPr="008B53A9">
        <w:t xml:space="preserve"> zdroje. </w:t>
      </w:r>
      <w:r w:rsidR="00510368" w:rsidRPr="008B53A9">
        <w:t xml:space="preserve">Hlavním cílem je podpora </w:t>
      </w:r>
      <w:r w:rsidRPr="008B53A9">
        <w:t>udržitelnosti české ekonomiky</w:t>
      </w:r>
      <w:r w:rsidR="00510368" w:rsidRPr="008B53A9">
        <w:t xml:space="preserve"> prostřednictvím využívání </w:t>
      </w:r>
      <w:r w:rsidR="00E97809" w:rsidRPr="008B53A9">
        <w:t>OZE</w:t>
      </w:r>
      <w:r w:rsidR="0056661C" w:rsidRPr="008B53A9">
        <w:t xml:space="preserve"> s největší efektivitou a bez negativního vlivu na elektrizační soustavu.</w:t>
      </w:r>
    </w:p>
    <w:p w:rsidR="003F4488" w:rsidRPr="008B53A9" w:rsidRDefault="003508A9" w:rsidP="0056661C">
      <w:pPr>
        <w:pStyle w:val="Modrnadpis"/>
      </w:pPr>
      <w:r w:rsidRPr="008B53A9">
        <w:lastRenderedPageBreak/>
        <w:t>Výsledky, kterých chce ČR dosáhnout s podporou Unie</w:t>
      </w:r>
    </w:p>
    <w:p w:rsidR="00DF4F92" w:rsidRPr="008B53A9" w:rsidRDefault="001F2A61" w:rsidP="005F43DF">
      <w:pPr>
        <w:pStyle w:val="Standardntext"/>
        <w:numPr>
          <w:ilvl w:val="0"/>
          <w:numId w:val="39"/>
        </w:numPr>
      </w:pPr>
      <w:r w:rsidRPr="008B53A9">
        <w:t>Pří</w:t>
      </w:r>
      <w:r w:rsidR="00DF4F92" w:rsidRPr="008B53A9">
        <w:t>sp</w:t>
      </w:r>
      <w:r w:rsidRPr="008B53A9">
        <w:t>ěvek</w:t>
      </w:r>
      <w:r w:rsidR="00DF4F92" w:rsidRPr="008B53A9">
        <w:t xml:space="preserve"> k naplnění cíle </w:t>
      </w:r>
      <w:r w:rsidR="003A5BAE" w:rsidRPr="008B53A9">
        <w:t>dosáhnout podílu energie z OZE na hrubé koneč</w:t>
      </w:r>
      <w:r w:rsidR="00D95417" w:rsidRPr="008B53A9">
        <w:t>né spotřebě energie ve výši 13</w:t>
      </w:r>
      <w:r w:rsidR="003A5BAE" w:rsidRPr="008B53A9">
        <w:t xml:space="preserve"> % do r. 2020</w:t>
      </w:r>
      <w:r w:rsidR="00DF4F92" w:rsidRPr="008B53A9">
        <w:t>.</w:t>
      </w:r>
      <w:r w:rsidR="004B5246" w:rsidRPr="008B53A9">
        <w:t xml:space="preserve"> S tím souvisí snížení spotřeby primárních zdrojů.</w:t>
      </w:r>
    </w:p>
    <w:p w:rsidR="0056661C" w:rsidRPr="008B53A9" w:rsidRDefault="0056661C" w:rsidP="005F43DF">
      <w:pPr>
        <w:pStyle w:val="Standardntext"/>
        <w:numPr>
          <w:ilvl w:val="0"/>
          <w:numId w:val="39"/>
        </w:numPr>
      </w:pPr>
      <w:r w:rsidRPr="008B53A9">
        <w:t>Zvýšení efektivnosti využití všech typů energetických zdrojů OZE relevantních pro ČR.</w:t>
      </w:r>
    </w:p>
    <w:p w:rsidR="00510368" w:rsidRPr="008B53A9" w:rsidRDefault="00510368" w:rsidP="005F43DF">
      <w:pPr>
        <w:pStyle w:val="Standardntext"/>
        <w:numPr>
          <w:ilvl w:val="0"/>
          <w:numId w:val="39"/>
        </w:numPr>
      </w:pPr>
      <w:r w:rsidRPr="008B53A9">
        <w:t>Sníž</w:t>
      </w:r>
      <w:r w:rsidR="004B5246" w:rsidRPr="008B53A9">
        <w:t>ení</w:t>
      </w:r>
      <w:r w:rsidRPr="008B53A9">
        <w:t xml:space="preserve"> dovozní závislost</w:t>
      </w:r>
      <w:r w:rsidR="004B5246" w:rsidRPr="008B53A9">
        <w:t>i</w:t>
      </w:r>
      <w:r w:rsidRPr="008B53A9">
        <w:t xml:space="preserve"> na palivech z geopoliticky nestabilních regionů.</w:t>
      </w:r>
    </w:p>
    <w:p w:rsidR="00510368" w:rsidRPr="008B53A9" w:rsidRDefault="00510368" w:rsidP="005F43DF">
      <w:pPr>
        <w:pStyle w:val="Standardntext"/>
        <w:numPr>
          <w:ilvl w:val="0"/>
          <w:numId w:val="39"/>
        </w:numPr>
      </w:pPr>
      <w:r w:rsidRPr="008B53A9">
        <w:t>Rozvoj podnikatelských aktivit v dodavatelském řetězci od vývoje, výroby, přes instalaci zdroje energie až po výrobu energie.</w:t>
      </w:r>
    </w:p>
    <w:p w:rsidR="00320FE6" w:rsidRPr="008B53A9" w:rsidRDefault="00320FE6" w:rsidP="005F43DF">
      <w:pPr>
        <w:pStyle w:val="Standardntext"/>
        <w:numPr>
          <w:ilvl w:val="0"/>
          <w:numId w:val="39"/>
        </w:numPr>
      </w:pPr>
      <w:r w:rsidRPr="008B53A9">
        <w:t>Pozitivní dopad využívání OZE na životní prostředí a ochranu klimatu, např. v podobě snížení emisí skleníkových plynů.</w:t>
      </w:r>
    </w:p>
    <w:p w:rsidR="00002031" w:rsidRPr="008B53A9" w:rsidRDefault="00002031" w:rsidP="00C71E6F">
      <w:pPr>
        <w:pStyle w:val="Titulek"/>
        <w:keepNext/>
        <w:keepLines/>
        <w:rPr>
          <w:rFonts w:cs="Calibri"/>
        </w:rPr>
      </w:pPr>
      <w:r w:rsidRPr="008B53A9">
        <w:rPr>
          <w:rFonts w:cs="Calibri"/>
        </w:rPr>
        <w:t xml:space="preserve">Tabulka </w:t>
      </w:r>
      <w:r w:rsidR="00F7325F" w:rsidRPr="008B53A9">
        <w:rPr>
          <w:rFonts w:cs="Calibri"/>
        </w:rPr>
        <w:fldChar w:fldCharType="begin"/>
      </w:r>
      <w:r w:rsidR="00F7325F" w:rsidRPr="008B53A9">
        <w:rPr>
          <w:rFonts w:cs="Calibri"/>
        </w:rPr>
        <w:instrText xml:space="preserve"> SEQ Tabulka \* ARABIC \r3 </w:instrText>
      </w:r>
      <w:r w:rsidR="00F7325F" w:rsidRPr="008B53A9">
        <w:rPr>
          <w:rFonts w:cs="Calibri"/>
        </w:rPr>
        <w:fldChar w:fldCharType="separate"/>
      </w:r>
      <w:r w:rsidR="00E54216" w:rsidRPr="008B53A9">
        <w:rPr>
          <w:rFonts w:cs="Calibri"/>
          <w:noProof/>
        </w:rPr>
        <w:t>3</w:t>
      </w:r>
      <w:r w:rsidR="00F7325F" w:rsidRPr="008B53A9">
        <w:rPr>
          <w:rFonts w:cs="Calibri"/>
        </w:rPr>
        <w:fldChar w:fldCharType="end"/>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68"/>
        <w:gridCol w:w="1373"/>
        <w:gridCol w:w="1004"/>
        <w:gridCol w:w="1207"/>
        <w:gridCol w:w="885"/>
        <w:gridCol w:w="873"/>
        <w:gridCol w:w="1017"/>
        <w:gridCol w:w="901"/>
        <w:gridCol w:w="998"/>
      </w:tblGrid>
      <w:tr w:rsidR="00CF739D" w:rsidRPr="008B53A9">
        <w:trPr>
          <w:trHeight w:hRule="exact" w:val="1297"/>
        </w:trPr>
        <w:tc>
          <w:tcPr>
            <w:tcW w:w="57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ID</w:t>
            </w:r>
          </w:p>
        </w:tc>
        <w:tc>
          <w:tcPr>
            <w:tcW w:w="736"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Ukazatel</w:t>
            </w:r>
          </w:p>
        </w:tc>
        <w:tc>
          <w:tcPr>
            <w:tcW w:w="539"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Měrná</w:t>
            </w:r>
          </w:p>
          <w:p w:rsidR="00CF739D" w:rsidRPr="008B53A9" w:rsidRDefault="00CF739D" w:rsidP="00CF739D">
            <w:pPr>
              <w:pStyle w:val="Tabulka"/>
              <w:keepNext/>
              <w:keepLines/>
              <w:rPr>
                <w:rFonts w:cs="Calibri"/>
                <w:b/>
                <w:bCs/>
                <w:lang w:val="cs-CZ" w:eastAsia="cs-CZ"/>
              </w:rPr>
            </w:pPr>
            <w:r w:rsidRPr="008B53A9">
              <w:rPr>
                <w:rFonts w:cs="Calibri"/>
                <w:b/>
                <w:bCs/>
                <w:lang w:val="cs-CZ" w:eastAsia="cs-CZ"/>
              </w:rPr>
              <w:t>jednotka</w:t>
            </w:r>
          </w:p>
        </w:tc>
        <w:tc>
          <w:tcPr>
            <w:tcW w:w="64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CF739D">
            <w:pPr>
              <w:pStyle w:val="Tabulka"/>
              <w:keepNext/>
              <w:keepLines/>
              <w:rPr>
                <w:rFonts w:cs="Calibri"/>
                <w:b/>
                <w:bCs/>
                <w:lang w:val="cs-CZ" w:eastAsia="cs-CZ"/>
              </w:rPr>
            </w:pPr>
            <w:r w:rsidRPr="008B53A9">
              <w:rPr>
                <w:rFonts w:cs="Calibri"/>
                <w:b/>
                <w:bCs/>
                <w:lang w:val="cs-CZ" w:eastAsia="cs-CZ"/>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keepNext/>
              <w:keepLines/>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545"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Cílová hodnota (2023)</w:t>
            </w:r>
          </w:p>
        </w:tc>
        <w:tc>
          <w:tcPr>
            <w:tcW w:w="48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Zdroj údajů</w:t>
            </w:r>
          </w:p>
        </w:tc>
        <w:tc>
          <w:tcPr>
            <w:tcW w:w="535"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Četnost podávání zpráv</w:t>
            </w:r>
          </w:p>
        </w:tc>
      </w:tr>
      <w:tr w:rsidR="00EC0F1D" w:rsidRPr="008B53A9">
        <w:trPr>
          <w:trHeight w:hRule="exact" w:val="2251"/>
        </w:trPr>
        <w:tc>
          <w:tcPr>
            <w:tcW w:w="573"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1440BC" w:rsidP="00C71E6F">
            <w:pPr>
              <w:pStyle w:val="Tabulka"/>
              <w:keepNext/>
              <w:keepLines/>
              <w:rPr>
                <w:rFonts w:cs="Calibri"/>
                <w:lang w:val="cs-CZ" w:eastAsia="cs-CZ"/>
              </w:rPr>
            </w:pPr>
            <w:r w:rsidRPr="008B53A9">
              <w:rPr>
                <w:rFonts w:cs="Calibri"/>
                <w:lang w:val="cs-CZ" w:eastAsia="cs-CZ"/>
              </w:rPr>
              <w:t>34501</w:t>
            </w:r>
          </w:p>
        </w:tc>
        <w:tc>
          <w:tcPr>
            <w:tcW w:w="736"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131FD8" w:rsidP="00C71E6F">
            <w:pPr>
              <w:pStyle w:val="Tabulka"/>
              <w:keepNext/>
              <w:keepLines/>
              <w:jc w:val="left"/>
              <w:rPr>
                <w:rFonts w:cs="Calibri"/>
                <w:lang w:val="cs-CZ" w:eastAsia="cs-CZ"/>
              </w:rPr>
            </w:pPr>
            <w:r w:rsidRPr="008B53A9">
              <w:rPr>
                <w:rFonts w:cs="Calibri"/>
                <w:lang w:val="cs-CZ" w:eastAsia="cs-CZ"/>
              </w:rPr>
              <w:t>Podíl energie z obnovitelných zdrojů na hrubé konečné spotřebě energie</w:t>
            </w:r>
          </w:p>
        </w:tc>
        <w:tc>
          <w:tcPr>
            <w:tcW w:w="539"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131FD8" w:rsidP="00C71E6F">
            <w:pPr>
              <w:pStyle w:val="Tabulka"/>
              <w:keepNext/>
              <w:keepLines/>
              <w:rPr>
                <w:rFonts w:cs="Calibri"/>
                <w:lang w:val="cs-CZ" w:eastAsia="cs-CZ"/>
              </w:rPr>
            </w:pPr>
            <w:r w:rsidRPr="008B53A9">
              <w:rPr>
                <w:rFonts w:cs="Calibri"/>
                <w:lang w:val="cs-CZ" w:eastAsia="cs-CZ"/>
              </w:rPr>
              <w:t>%</w:t>
            </w:r>
          </w:p>
        </w:tc>
        <w:tc>
          <w:tcPr>
            <w:tcW w:w="647"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131FD8" w:rsidP="00C71E6F">
            <w:pPr>
              <w:pStyle w:val="Tabulka"/>
              <w:keepNext/>
              <w:keepLines/>
              <w:rPr>
                <w:rFonts w:cs="Calibri"/>
                <w:lang w:val="cs-CZ" w:eastAsia="cs-CZ"/>
              </w:rPr>
            </w:pPr>
            <w:r w:rsidRPr="008B53A9">
              <w:rPr>
                <w:rFonts w:cs="Calibri"/>
                <w:lang w:val="cs-CZ" w:eastAsia="cs-CZ"/>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131FD8" w:rsidP="00C71E6F">
            <w:pPr>
              <w:pStyle w:val="Tabulka"/>
              <w:keepNext/>
              <w:keepLines/>
              <w:rPr>
                <w:rFonts w:cs="Calibri"/>
                <w:lang w:val="cs-CZ" w:eastAsia="cs-CZ"/>
              </w:rPr>
            </w:pPr>
            <w:r w:rsidRPr="008B53A9">
              <w:rPr>
                <w:rFonts w:cs="Calibri"/>
                <w:lang w:val="cs-CZ" w:eastAsia="cs-CZ"/>
              </w:rPr>
              <w:t>11,2</w:t>
            </w:r>
          </w:p>
        </w:tc>
        <w:tc>
          <w:tcPr>
            <w:tcW w:w="468"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131FD8" w:rsidP="00C71E6F">
            <w:pPr>
              <w:pStyle w:val="Tabulka"/>
              <w:keepNext/>
              <w:keepLines/>
              <w:rPr>
                <w:rFonts w:cs="Calibri"/>
                <w:lang w:val="cs-CZ" w:eastAsia="cs-CZ"/>
              </w:rPr>
            </w:pPr>
            <w:r w:rsidRPr="008B53A9">
              <w:rPr>
                <w:rFonts w:cs="Calibri"/>
                <w:lang w:val="cs-CZ" w:eastAsia="cs-CZ"/>
              </w:rPr>
              <w:t>2012</w:t>
            </w:r>
          </w:p>
        </w:tc>
        <w:tc>
          <w:tcPr>
            <w:tcW w:w="545"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131FD8" w:rsidP="00C71E6F">
            <w:pPr>
              <w:pStyle w:val="Tabulka"/>
              <w:keepNext/>
              <w:keepLines/>
              <w:rPr>
                <w:rFonts w:cs="Calibri"/>
                <w:lang w:val="cs-CZ" w:eastAsia="cs-CZ"/>
              </w:rPr>
            </w:pPr>
            <w:r w:rsidRPr="008B53A9">
              <w:rPr>
                <w:rFonts w:cs="Calibri"/>
                <w:lang w:val="cs-CZ" w:eastAsia="cs-CZ"/>
              </w:rPr>
              <w:t>13</w:t>
            </w:r>
          </w:p>
        </w:tc>
        <w:tc>
          <w:tcPr>
            <w:tcW w:w="483"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131FD8" w:rsidP="00AB615E">
            <w:pPr>
              <w:pStyle w:val="Tabulka"/>
              <w:keepNext/>
              <w:keepLines/>
              <w:rPr>
                <w:rFonts w:cs="Calibri"/>
                <w:lang w:val="cs-CZ" w:eastAsia="cs-CZ"/>
              </w:rPr>
            </w:pPr>
            <w:r w:rsidRPr="008B53A9">
              <w:rPr>
                <w:rFonts w:cs="Calibri"/>
                <w:lang w:val="cs-CZ" w:eastAsia="cs-CZ"/>
              </w:rPr>
              <w:t>Eurostat</w:t>
            </w:r>
          </w:p>
        </w:tc>
        <w:tc>
          <w:tcPr>
            <w:tcW w:w="535"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131FD8" w:rsidP="00C71E6F">
            <w:pPr>
              <w:pStyle w:val="Tabulka"/>
              <w:keepNext/>
              <w:keepLines/>
              <w:rPr>
                <w:rFonts w:cs="Calibri"/>
                <w:lang w:val="cs-CZ" w:eastAsia="cs-CZ"/>
              </w:rPr>
            </w:pPr>
            <w:r w:rsidRPr="008B53A9">
              <w:rPr>
                <w:rFonts w:cs="Calibri"/>
                <w:lang w:val="cs-CZ" w:eastAsia="cs-CZ"/>
              </w:rPr>
              <w:t>ročně</w:t>
            </w:r>
          </w:p>
        </w:tc>
      </w:tr>
    </w:tbl>
    <w:p w:rsidR="00B5004C" w:rsidRPr="008B53A9" w:rsidRDefault="001B2E5C" w:rsidP="005F43DF">
      <w:pPr>
        <w:pStyle w:val="kapitola2A0"/>
        <w:numPr>
          <w:ilvl w:val="2"/>
          <w:numId w:val="17"/>
        </w:numPr>
      </w:pPr>
      <w:bookmarkStart w:id="63" w:name="_Toc391539631"/>
      <w:r w:rsidRPr="008B53A9">
        <w:t>Opatření, jež má být podpořeno v rámci investiční priority</w:t>
      </w:r>
      <w:bookmarkEnd w:id="63"/>
    </w:p>
    <w:p w:rsidR="00B5004C" w:rsidRPr="008B53A9" w:rsidRDefault="00D479AF" w:rsidP="005F43DF">
      <w:pPr>
        <w:pStyle w:val="Nadpis5"/>
        <w:numPr>
          <w:ilvl w:val="4"/>
          <w:numId w:val="18"/>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B5004C" w:rsidRPr="008B53A9" w:rsidRDefault="00177462" w:rsidP="00DF4F92">
      <w:pPr>
        <w:pStyle w:val="Standardntext"/>
        <w:rPr>
          <w:b/>
        </w:rPr>
      </w:pPr>
      <w:r w:rsidRPr="008B53A9">
        <w:rPr>
          <w:b/>
        </w:rPr>
        <w:t>Indikativní výčet podporovaných aktivit:</w:t>
      </w:r>
      <w:r w:rsidR="00B5004C" w:rsidRPr="008B53A9">
        <w:rPr>
          <w:b/>
        </w:rPr>
        <w:t xml:space="preserve"> </w:t>
      </w:r>
    </w:p>
    <w:p w:rsidR="00B36879" w:rsidRPr="008B53A9" w:rsidRDefault="003E3D99" w:rsidP="005F43DF">
      <w:pPr>
        <w:pStyle w:val="Standardntext"/>
        <w:numPr>
          <w:ilvl w:val="0"/>
          <w:numId w:val="44"/>
        </w:numPr>
      </w:pPr>
      <w:r w:rsidRPr="008B53A9">
        <w:t xml:space="preserve">Výstavba nových a rekonstrukce a modernizace stávajících výroben elektřiny a tepla z OZE s tím, že vyrobená energie bude určena primárně pro distribuci, nikoli vlastní </w:t>
      </w:r>
      <w:r w:rsidR="00B36879" w:rsidRPr="008B53A9">
        <w:t>spotřebu; z</w:t>
      </w:r>
      <w:r w:rsidRPr="008B53A9">
        <w:t>ejména se bude jednat o</w:t>
      </w:r>
      <w:r w:rsidR="00B36879" w:rsidRPr="008B53A9">
        <w:t>:</w:t>
      </w:r>
    </w:p>
    <w:p w:rsidR="00B36879" w:rsidRPr="008B53A9" w:rsidRDefault="00B36879" w:rsidP="005F43DF">
      <w:pPr>
        <w:pStyle w:val="Standardntext"/>
        <w:numPr>
          <w:ilvl w:val="1"/>
          <w:numId w:val="44"/>
        </w:numPr>
      </w:pPr>
      <w:r w:rsidRPr="008B53A9">
        <w:t xml:space="preserve">podporu výstavby a rekonstrukce a modernizace </w:t>
      </w:r>
      <w:r w:rsidR="0036276B" w:rsidRPr="008B53A9">
        <w:t xml:space="preserve">malých </w:t>
      </w:r>
      <w:r w:rsidRPr="008B53A9">
        <w:t>vodních elektráren,</w:t>
      </w:r>
    </w:p>
    <w:p w:rsidR="00B36879" w:rsidRPr="008B53A9" w:rsidRDefault="0036276B" w:rsidP="005F43DF">
      <w:pPr>
        <w:pStyle w:val="Standardntext"/>
        <w:numPr>
          <w:ilvl w:val="1"/>
          <w:numId w:val="44"/>
        </w:numPr>
      </w:pPr>
      <w:r w:rsidRPr="008B53A9">
        <w:t>vyvedení tepla ze stávajících bioplynových stanic pomocí tepelných rozvodných zařízení do místa spotřeby, instalac</w:t>
      </w:r>
      <w:r w:rsidR="00B36879" w:rsidRPr="008B53A9">
        <w:t>e</w:t>
      </w:r>
      <w:r w:rsidRPr="008B53A9">
        <w:t xml:space="preserve"> vzdálené kogenerační jednotky využívající bioplyn ze stávající bioplynové stanice za účelem využití užitečného tepla v soustavě zásobování teplem či ji</w:t>
      </w:r>
      <w:r w:rsidR="00B36879" w:rsidRPr="008B53A9">
        <w:t>ným vysoce efektivním způsobem,</w:t>
      </w:r>
    </w:p>
    <w:p w:rsidR="00B5004C" w:rsidRPr="008B53A9" w:rsidRDefault="0036276B" w:rsidP="005F43DF">
      <w:pPr>
        <w:pStyle w:val="Standardntext"/>
        <w:numPr>
          <w:ilvl w:val="1"/>
          <w:numId w:val="44"/>
        </w:numPr>
      </w:pPr>
      <w:r w:rsidRPr="008B53A9">
        <w:t>výstavb</w:t>
      </w:r>
      <w:r w:rsidR="00B36879" w:rsidRPr="008B53A9">
        <w:t>u</w:t>
      </w:r>
      <w:r w:rsidRPr="008B53A9">
        <w:t xml:space="preserve"> a rekonstrukc</w:t>
      </w:r>
      <w:r w:rsidR="00B36879" w:rsidRPr="008B53A9">
        <w:t>i</w:t>
      </w:r>
      <w:r w:rsidRPr="008B53A9">
        <w:t xml:space="preserve"> zdrojů tepla a kombinované výroby elektřiny a tepla z</w:t>
      </w:r>
      <w:r w:rsidR="00A5734F" w:rsidRPr="008B53A9">
        <w:t> </w:t>
      </w:r>
      <w:r w:rsidRPr="008B53A9">
        <w:t>biomasy</w:t>
      </w:r>
      <w:r w:rsidR="00A5734F" w:rsidRPr="008B53A9">
        <w:rPr>
          <w:lang w:val="cs-CZ"/>
        </w:rPr>
        <w:t xml:space="preserve"> a vyvedení tepla</w:t>
      </w:r>
      <w:r w:rsidRPr="008B53A9">
        <w:t>.</w:t>
      </w:r>
    </w:p>
    <w:p w:rsidR="001B4E71" w:rsidRPr="008B53A9" w:rsidRDefault="00A72338" w:rsidP="00E00F77">
      <w:pPr>
        <w:pStyle w:val="Standardntext"/>
      </w:pPr>
      <w:r w:rsidRPr="008B53A9">
        <w:lastRenderedPageBreak/>
        <w:t>V kontextu</w:t>
      </w:r>
      <w:r w:rsidR="009D1769" w:rsidRPr="008B53A9">
        <w:t xml:space="preserve"> zkušeností získaných v programovacím období 2007 – 2013 v</w:t>
      </w:r>
      <w:r w:rsidRPr="008B53A9">
        <w:t xml:space="preserve"> oblasti podpory obnovitelných zdrojů energie jsou podporované aktivity zaměřeny zejména na zdroje se stabilní dodávkou energie, maximálně efektivním poměrem nákladů k vyrobené energii, a to s ohledem na potenciál klimatických podmínek v ČR. Dále je kladen důraz na aplikaci vysokoúčinné kombinované výroby elektřiny a tepla s maximálně efektivním využitím tepelné energie. Půjde o menší až střední zařízení</w:t>
      </w:r>
      <w:r w:rsidR="001B4E71" w:rsidRPr="008B53A9">
        <w:t xml:space="preserve"> s maximálním instalovaným výkonem do </w:t>
      </w:r>
      <w:r w:rsidR="00453052" w:rsidRPr="008B53A9">
        <w:t>1</w:t>
      </w:r>
      <w:r w:rsidR="001B4E71" w:rsidRPr="008B53A9">
        <w:t>0 MW</w:t>
      </w:r>
      <w:r w:rsidRPr="008B53A9">
        <w:t>, kter</w:t>
      </w:r>
      <w:r w:rsidR="00435AB7" w:rsidRPr="008B53A9">
        <w:t>á</w:t>
      </w:r>
      <w:r w:rsidRPr="008B53A9">
        <w:t xml:space="preserve"> respektuj</w:t>
      </w:r>
      <w:r w:rsidR="00435AB7" w:rsidRPr="008B53A9">
        <w:t>í</w:t>
      </w:r>
      <w:r w:rsidRPr="008B53A9">
        <w:t xml:space="preserve"> potenciál biomasy v daném regionu</w:t>
      </w:r>
      <w:r w:rsidR="00435AB7" w:rsidRPr="008B53A9">
        <w:t xml:space="preserve"> v souladu s udržitelností zdrojů a ochranou přírody a krajiny (např. malé městské či komunitní zdroje tepla)</w:t>
      </w:r>
      <w:r w:rsidRPr="008B53A9">
        <w:t xml:space="preserve">. </w:t>
      </w:r>
      <w:r w:rsidR="001B4E71" w:rsidRPr="008B53A9">
        <w:t>Nicméně v </w:t>
      </w:r>
      <w:r w:rsidR="00622C4A" w:rsidRPr="008B53A9">
        <w:rPr>
          <w:lang w:val="cs-CZ"/>
        </w:rPr>
        <w:t>relevantních</w:t>
      </w:r>
      <w:r w:rsidR="001B4E71" w:rsidRPr="008B53A9">
        <w:t xml:space="preserve"> případech budou podporovány i zdroje ve výtopenském režimu (zvláště u menších projektů).</w:t>
      </w:r>
    </w:p>
    <w:p w:rsidR="00F41B56" w:rsidRPr="008B53A9" w:rsidRDefault="00F41B56" w:rsidP="00E00F77">
      <w:pPr>
        <w:pStyle w:val="Standardntext"/>
      </w:pPr>
      <w:r w:rsidRPr="008B53A9">
        <w:t xml:space="preserve">Typovým projektem v rámci tohoto specifického cíle bude např. výstavba malé vodní elektrárny, či </w:t>
      </w:r>
      <w:r w:rsidR="00A72338" w:rsidRPr="008B53A9">
        <w:t>teplárny</w:t>
      </w:r>
      <w:r w:rsidRPr="008B53A9">
        <w:t xml:space="preserve"> spalující biomasu a vyrábějící elektřinu a teplo</w:t>
      </w:r>
      <w:r w:rsidR="00E00F77" w:rsidRPr="008B53A9">
        <w:t xml:space="preserve">. </w:t>
      </w:r>
      <w:r w:rsidR="00B36879" w:rsidRPr="008B53A9">
        <w:t>Další a</w:t>
      </w:r>
      <w:r w:rsidR="00E00F77" w:rsidRPr="008B53A9">
        <w:t xml:space="preserve">ktivitou </w:t>
      </w:r>
      <w:r w:rsidR="00B36879" w:rsidRPr="008B53A9">
        <w:t>je vyšší využití tepla, které bude realizováno prostřednictvím</w:t>
      </w:r>
      <w:r w:rsidR="00E00F77" w:rsidRPr="008B53A9">
        <w:t xml:space="preserve"> vzdálené kogenerační</w:t>
      </w:r>
      <w:r w:rsidRPr="008B53A9">
        <w:t xml:space="preserve"> </w:t>
      </w:r>
      <w:r w:rsidR="00E00F77" w:rsidRPr="008B53A9">
        <w:t>jednotky</w:t>
      </w:r>
      <w:r w:rsidR="00B36879" w:rsidRPr="008B53A9">
        <w:t>, a to</w:t>
      </w:r>
      <w:r w:rsidR="00E00F77" w:rsidRPr="008B53A9">
        <w:t xml:space="preserve"> </w:t>
      </w:r>
      <w:r w:rsidRPr="008B53A9">
        <w:t xml:space="preserve">výstavba plynovodu a přemístění kogenerační jednotky k místu spotřeby případně výstavba teplovodu k místu spotřeby. Způsobilé výdaje budou veškeré investiční náklady přímo spojené s výstavbou zařízení </w:t>
      </w:r>
      <w:r w:rsidR="00B36879" w:rsidRPr="008B53A9">
        <w:t>a pořízení technologie, zpracování projektové dokumentace a energetického auditu.</w:t>
      </w:r>
    </w:p>
    <w:p w:rsidR="00F41B56" w:rsidRPr="008B53A9" w:rsidRDefault="00FF7D38" w:rsidP="00E00F77">
      <w:pPr>
        <w:pStyle w:val="Standardntext"/>
      </w:pPr>
      <w:r w:rsidRPr="008B53A9">
        <w:t>Výstupy výše uvedených aktivit přispějí k dosažení hlavního výsledku tohoto specifického cíle, kterým je</w:t>
      </w:r>
      <w:r w:rsidR="00F41B56" w:rsidRPr="008B53A9">
        <w:t xml:space="preserve"> zvýšení podílu OZE na </w:t>
      </w:r>
      <w:r w:rsidRPr="008B53A9">
        <w:t xml:space="preserve">hrubé </w:t>
      </w:r>
      <w:r w:rsidR="00F41B56" w:rsidRPr="008B53A9">
        <w:t>konečné spotřebě energie, což přinese</w:t>
      </w:r>
      <w:r w:rsidR="00B36879" w:rsidRPr="008B53A9">
        <w:t xml:space="preserve"> významný</w:t>
      </w:r>
      <w:r w:rsidR="00F41B56" w:rsidRPr="008B53A9">
        <w:t xml:space="preserve"> příspěvek k naplňování </w:t>
      </w:r>
      <w:r w:rsidRPr="008B53A9">
        <w:t>Národního akčního plánu ČR pro energii z obnovitelných zdrojů</w:t>
      </w:r>
      <w:r w:rsidR="00F41B56" w:rsidRPr="008B53A9">
        <w:t>.</w:t>
      </w:r>
      <w:r w:rsidR="00947FAC" w:rsidRPr="008B53A9">
        <w:t xml:space="preserve"> Tento specifický cíl</w:t>
      </w:r>
      <w:r w:rsidR="003F6ABF" w:rsidRPr="008B53A9">
        <w:t xml:space="preserve">, </w:t>
      </w:r>
      <w:r w:rsidR="00947FAC" w:rsidRPr="008B53A9">
        <w:t xml:space="preserve">ani celá </w:t>
      </w:r>
      <w:r w:rsidR="003F6ABF" w:rsidRPr="008B53A9">
        <w:t xml:space="preserve">předmětná </w:t>
      </w:r>
      <w:r w:rsidR="00947FAC" w:rsidRPr="008B53A9">
        <w:t xml:space="preserve">prioritní osa </w:t>
      </w:r>
      <w:r w:rsidR="003F6ABF" w:rsidRPr="008B53A9">
        <w:t xml:space="preserve">operačního programu </w:t>
      </w:r>
      <w:r w:rsidR="00947FAC" w:rsidRPr="008B53A9">
        <w:t xml:space="preserve">nejsou svými intervencemi zaměřeny na podporu </w:t>
      </w:r>
      <w:r w:rsidR="001B4E71" w:rsidRPr="008B53A9">
        <w:t>zařízení na energetické využití odpadu nebo spaloven odpadu.</w:t>
      </w:r>
      <w:r w:rsidR="00947FAC" w:rsidRPr="008B53A9">
        <w:t xml:space="preserve"> </w:t>
      </w:r>
    </w:p>
    <w:p w:rsidR="00B5004C" w:rsidRPr="008B53A9" w:rsidRDefault="00B5004C" w:rsidP="001D35B1">
      <w:pPr>
        <w:pStyle w:val="Standardntext"/>
      </w:pPr>
      <w:r w:rsidRPr="008B53A9">
        <w:rPr>
          <w:b/>
        </w:rPr>
        <w:t xml:space="preserve">Hlavní cílová skupina: </w:t>
      </w:r>
      <w:r w:rsidR="00127389" w:rsidRPr="008B53A9">
        <w:t>P</w:t>
      </w:r>
      <w:r w:rsidR="0036276B" w:rsidRPr="008B53A9">
        <w:t>odnikatelé z oblasti především MSP, kteří se hodlají soustředit/již soustředí na oblast výroby energie z OZE.</w:t>
      </w:r>
    </w:p>
    <w:p w:rsidR="00B5004C" w:rsidRPr="008B53A9" w:rsidRDefault="00B5004C" w:rsidP="001D35B1">
      <w:pPr>
        <w:pStyle w:val="Standardntext"/>
        <w:rPr>
          <w:color w:val="FF0000"/>
        </w:rPr>
      </w:pPr>
      <w:r w:rsidRPr="008B53A9">
        <w:rPr>
          <w:b/>
        </w:rPr>
        <w:t xml:space="preserve">Cílové území: </w:t>
      </w:r>
      <w:r w:rsidR="009D1769" w:rsidRPr="008B53A9">
        <w:t>V</w:t>
      </w:r>
      <w:r w:rsidR="0036276B" w:rsidRPr="008B53A9">
        <w:t>šech</w:t>
      </w:r>
      <w:r w:rsidR="009D1769" w:rsidRPr="008B53A9">
        <w:t>ny</w:t>
      </w:r>
      <w:r w:rsidR="0036276B" w:rsidRPr="008B53A9">
        <w:t xml:space="preserve"> region</w:t>
      </w:r>
      <w:r w:rsidR="009D1769" w:rsidRPr="008B53A9">
        <w:t>y</w:t>
      </w:r>
      <w:r w:rsidR="0036276B" w:rsidRPr="008B53A9">
        <w:t xml:space="preserve"> v ČR kromě hl. m. Prahy.</w:t>
      </w:r>
      <w:r w:rsidR="00015039" w:rsidRPr="008B53A9">
        <w:t xml:space="preserve"> </w:t>
      </w:r>
      <w:r w:rsidR="00A46CD6" w:rsidRPr="008B53A9">
        <w:t>Předpokládá se plošné směrování intervencí bez vymezení územní dimenze.</w:t>
      </w:r>
      <w:r w:rsidR="00A46CD6" w:rsidRPr="008B53A9" w:rsidDel="00A46CD6">
        <w:t xml:space="preserve"> </w:t>
      </w:r>
      <w:r w:rsidR="00015039" w:rsidRPr="008B53A9">
        <w:t xml:space="preserve"> </w:t>
      </w:r>
      <w:r w:rsidR="00A46CD6" w:rsidRPr="008B53A9">
        <w:t>Nicméně d</w:t>
      </w:r>
      <w:r w:rsidR="00BF1EEF" w:rsidRPr="008B53A9">
        <w:t xml:space="preserve">ůležitým prvkem pro oblast OZE je krajinný charakter území (např. rurální, urbánní, nížinný, horský, podhorský) jako podmínka pro </w:t>
      </w:r>
      <w:r w:rsidR="00A46CD6" w:rsidRPr="008B53A9">
        <w:t>realizaci</w:t>
      </w:r>
      <w:r w:rsidR="00BF1EEF" w:rsidRPr="008B53A9">
        <w:t xml:space="preserve"> konkrétního projektu.</w:t>
      </w:r>
    </w:p>
    <w:p w:rsidR="00B5004C" w:rsidRPr="008B53A9" w:rsidRDefault="00B5004C" w:rsidP="001D35B1">
      <w:pPr>
        <w:pStyle w:val="Standardntext"/>
      </w:pPr>
      <w:r w:rsidRPr="008B53A9">
        <w:rPr>
          <w:b/>
        </w:rPr>
        <w:t xml:space="preserve">Typy příjemců: </w:t>
      </w:r>
      <w:r w:rsidRPr="008B53A9">
        <w:t>Podnikatelské subjekty (malé, střední a případně velké podniky).</w:t>
      </w:r>
      <w:r w:rsidR="00B36879" w:rsidRPr="008B53A9">
        <w:t xml:space="preserve"> </w:t>
      </w:r>
      <w:r w:rsidR="00B36879" w:rsidRPr="008B53A9">
        <w:rPr>
          <w:szCs w:val="22"/>
        </w:rPr>
        <w:t xml:space="preserve">Zahrnutí podpory velkých firem </w:t>
      </w:r>
      <w:r w:rsidR="00B36879" w:rsidRPr="008B53A9">
        <w:t xml:space="preserve">(dle čl. 3 odst. 1 písm. b) nařízení o EFRR) </w:t>
      </w:r>
      <w:r w:rsidR="00B36879" w:rsidRPr="008B53A9">
        <w:rPr>
          <w:szCs w:val="22"/>
        </w:rPr>
        <w:t>v rámci tohoto specifického cíle je zdůvodněno maximální snahou o využití veškerého dostupného potenciálu nejefektivnějších obnovitelných zdrojů energie v ČR. Omezení bude nastaveno z technického hlediska projektu a nikoliv velikostí podniku, tak aby byly realizovaný menší a střední projekty s významným příspěvkem pro regionální rozvoj.</w:t>
      </w:r>
    </w:p>
    <w:p w:rsidR="00B5004C" w:rsidRPr="008B53A9" w:rsidRDefault="00BA6461" w:rsidP="005F43DF">
      <w:pPr>
        <w:pStyle w:val="Nadpis5"/>
        <w:numPr>
          <w:ilvl w:val="4"/>
          <w:numId w:val="18"/>
        </w:numPr>
      </w:pPr>
      <w:r w:rsidRPr="008B53A9">
        <w:t>Hlavní zásady pro výběr operací</w:t>
      </w:r>
    </w:p>
    <w:p w:rsidR="0042487A" w:rsidRPr="008B53A9" w:rsidRDefault="0036276B" w:rsidP="0042487A">
      <w:pPr>
        <w:pStyle w:val="Standardntext"/>
      </w:pPr>
      <w:r w:rsidRPr="008B53A9">
        <w:t xml:space="preserve">V rámci této investiční priority budou vyhlašovány výzvy na předkládání individuálních projektů. </w:t>
      </w:r>
      <w:r w:rsidR="00855A0B" w:rsidRPr="008B53A9">
        <w:t>Předložené projekty budou  nejdříve posuzovány ze strany řídícího orgánu / zprostředkujícího subjektu z pohledu jejich souladu s podmínkami daného programu podpory.</w:t>
      </w:r>
      <w:r w:rsidRPr="008B53A9">
        <w:t xml:space="preserve"> Projektové žádosti, které úspěšně projdou tímto procesem, bu</w:t>
      </w:r>
      <w:r w:rsidR="00B36879" w:rsidRPr="008B53A9">
        <w:t xml:space="preserve">dou následně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w:t>
      </w:r>
      <w:r w:rsidR="006B1736" w:rsidRPr="008B53A9">
        <w:t>kritérií odpovídajících charakteru</w:t>
      </w:r>
      <w:r w:rsidRPr="008B53A9">
        <w:t xml:space="preserve"> jednotlivých specifických cílů. </w:t>
      </w:r>
      <w:r w:rsidR="00952A8B" w:rsidRPr="008B53A9">
        <w:t xml:space="preserve">Ve finální fázi hodnocení </w:t>
      </w:r>
      <w:r w:rsidRPr="008B53A9">
        <w:t xml:space="preserve">budou doporučené projekty posuzovány hodnotitelskou komisí, která bude tvořena zástupci ŘO a dalšími relevantními partnery </w:t>
      </w:r>
      <w:r w:rsidR="00963119" w:rsidRPr="008B53A9">
        <w:t xml:space="preserve">a experty </w:t>
      </w:r>
      <w:r w:rsidRPr="008B53A9">
        <w:t xml:space="preserve">na </w:t>
      </w:r>
      <w:r w:rsidR="00C840F5" w:rsidRPr="008B53A9">
        <w:t>danou problematiku</w:t>
      </w:r>
      <w:r w:rsidR="003D3A17" w:rsidRPr="008B53A9">
        <w:t xml:space="preserve">, popř. </w:t>
      </w:r>
      <w:r w:rsidR="00C840F5" w:rsidRPr="008B53A9">
        <w:t>regionálními partnery</w:t>
      </w:r>
      <w:r w:rsidR="003D3A17" w:rsidRPr="008B53A9">
        <w:t xml:space="preserve">. </w:t>
      </w:r>
      <w:r w:rsidR="0020084D" w:rsidRPr="008B53A9">
        <w:t xml:space="preserve">Výběr </w:t>
      </w:r>
      <w:r w:rsidR="002730C3" w:rsidRPr="008B53A9">
        <w:t>odborných hodnotitelů</w:t>
      </w:r>
      <w:r w:rsidR="0020084D" w:rsidRPr="008B53A9">
        <w:t xml:space="preserve"> a členů hodnotící </w:t>
      </w:r>
      <w:r w:rsidR="0020084D" w:rsidRPr="008B53A9">
        <w:lastRenderedPageBreak/>
        <w:t>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20084D" w:rsidRPr="008B53A9">
        <w:rPr>
          <w:rStyle w:val="Znakapoznpodarou"/>
        </w:rPr>
        <w:footnoteReference w:id="50"/>
      </w:r>
      <w:r w:rsidR="0020084D" w:rsidRPr="008B53A9">
        <w:t xml:space="preserve"> Hodnotitelé budou průběžně školeni tak, aby byl zajištěn jejich rovný přístup ke všem projektům. </w:t>
      </w:r>
      <w:r w:rsidR="0042487A" w:rsidRPr="008B53A9">
        <w:t>Tento systém bude nastaven maximálně transparentně, s cílem zajistit kvalitní a objektivní hodnocení projektů, a realizací schválených projektů dosažení stanovených cílů programu.</w:t>
      </w:r>
    </w:p>
    <w:p w:rsidR="00BA0383" w:rsidRPr="008B53A9" w:rsidRDefault="0036276B" w:rsidP="0036276B">
      <w:pPr>
        <w:pStyle w:val="Standardntext"/>
      </w:pPr>
      <w:r w:rsidRPr="008B53A9">
        <w:t xml:space="preserve"> V rámci výběru a hodnocení projektů </w:t>
      </w:r>
      <w:r w:rsidR="00BA0383" w:rsidRPr="008B53A9">
        <w:t xml:space="preserve">budou posuzována </w:t>
      </w:r>
      <w:r w:rsidR="00184371" w:rsidRPr="008B53A9">
        <w:t xml:space="preserve">především </w:t>
      </w:r>
      <w:r w:rsidR="00BA0383" w:rsidRPr="008B53A9">
        <w:t>následující kritéria</w:t>
      </w:r>
      <w:r w:rsidR="00A35694" w:rsidRPr="008B53A9">
        <w:t>:</w:t>
      </w:r>
    </w:p>
    <w:p w:rsidR="00184371" w:rsidRPr="008B53A9" w:rsidRDefault="00184371" w:rsidP="005F43DF">
      <w:pPr>
        <w:pStyle w:val="Standardntext"/>
        <w:numPr>
          <w:ilvl w:val="0"/>
          <w:numId w:val="44"/>
        </w:numPr>
      </w:pPr>
      <w:r w:rsidRPr="008B53A9">
        <w:t xml:space="preserve">Kvalita a potřebnost </w:t>
      </w:r>
      <w:r w:rsidR="00BE7900" w:rsidRPr="008B53A9">
        <w:t xml:space="preserve">projektu </w:t>
      </w:r>
      <w:r w:rsidRPr="008B53A9">
        <w:t xml:space="preserve">s ohledem na </w:t>
      </w:r>
      <w:r w:rsidR="00BE7900" w:rsidRPr="008B53A9">
        <w:t xml:space="preserve">jeho </w:t>
      </w:r>
      <w:r w:rsidRPr="008B53A9">
        <w:t>ekologické přín</w:t>
      </w:r>
      <w:r w:rsidR="00DC4382" w:rsidRPr="008B53A9">
        <w:t>osy a ekonomickou efektivnost; z</w:t>
      </w:r>
      <w:r w:rsidRPr="008B53A9">
        <w:t>ejména bude kladen důraz na poměr investičních nákladů k instalovanému výkonu a vyrobené energii, poměrnou dobu ročního využití instalovaného výkonu a celkových ekologických přínosů projektu.</w:t>
      </w:r>
    </w:p>
    <w:p w:rsidR="00BA0383" w:rsidRPr="008B53A9" w:rsidRDefault="00BA0383" w:rsidP="005F43DF">
      <w:pPr>
        <w:pStyle w:val="Standardntext"/>
        <w:numPr>
          <w:ilvl w:val="0"/>
          <w:numId w:val="44"/>
        </w:numPr>
      </w:pPr>
      <w:r w:rsidRPr="008B53A9">
        <w:t>S</w:t>
      </w:r>
      <w:r w:rsidR="0036276B" w:rsidRPr="008B53A9">
        <w:t xml:space="preserve">oulad </w:t>
      </w:r>
      <w:r w:rsidR="00BE7900" w:rsidRPr="008B53A9">
        <w:t xml:space="preserve">projektu </w:t>
      </w:r>
      <w:r w:rsidR="0036276B" w:rsidRPr="008B53A9">
        <w:t>s územní dimenzí této investiční priority</w:t>
      </w:r>
      <w:r w:rsidR="00C63CF5" w:rsidRPr="008B53A9">
        <w:t xml:space="preserve"> (viz </w:t>
      </w:r>
      <w:r w:rsidR="00C63CF5" w:rsidRPr="008B53A9">
        <w:rPr>
          <w:i/>
        </w:rPr>
        <w:t>Cílové území</w:t>
      </w:r>
      <w:r w:rsidR="00C63CF5" w:rsidRPr="008B53A9">
        <w:t xml:space="preserve"> v oddíle 2.A.6.1 a dále oddíl 4)</w:t>
      </w:r>
      <w:r w:rsidRPr="008B53A9">
        <w:t>.</w:t>
      </w:r>
      <w:r w:rsidR="0036276B" w:rsidRPr="008B53A9">
        <w:t> </w:t>
      </w:r>
    </w:p>
    <w:p w:rsidR="00184371" w:rsidRPr="008B53A9" w:rsidRDefault="00BE7900" w:rsidP="005F43DF">
      <w:pPr>
        <w:pStyle w:val="Standardntext"/>
        <w:numPr>
          <w:ilvl w:val="0"/>
          <w:numId w:val="44"/>
        </w:numPr>
      </w:pPr>
      <w:r w:rsidRPr="008B53A9">
        <w:t>Soulad projektu s</w:t>
      </w:r>
      <w:r w:rsidR="0036276B" w:rsidRPr="008B53A9">
        <w:t xml:space="preserve"> horizontální</w:t>
      </w:r>
      <w:r w:rsidRPr="008B53A9">
        <w:t>mi</w:t>
      </w:r>
      <w:r w:rsidR="0036276B" w:rsidRPr="008B53A9">
        <w:t xml:space="preserve"> princip</w:t>
      </w:r>
      <w:r w:rsidRPr="008B53A9">
        <w:t>y</w:t>
      </w:r>
      <w:r w:rsidR="00BA0383" w:rsidRPr="008B53A9">
        <w:t xml:space="preserve">, mezi něž patří </w:t>
      </w:r>
      <w:r w:rsidR="0036276B" w:rsidRPr="008B53A9">
        <w:t>udržitelný rozvoj, rovné příležitosti a ochrana před diskri</w:t>
      </w:r>
      <w:r w:rsidR="00BE166B" w:rsidRPr="008B53A9">
        <w:t>minací</w:t>
      </w:r>
      <w:r w:rsidR="0036276B" w:rsidRPr="008B53A9">
        <w:t xml:space="preserve">. Projekt, který bude v rozporu s těmito principy, nebude v rámci OP </w:t>
      </w:r>
      <w:r w:rsidR="00FB0590" w:rsidRPr="008B53A9">
        <w:t xml:space="preserve">PIK podpořen (blíže viz </w:t>
      </w:r>
      <w:r w:rsidR="00BA0383" w:rsidRPr="008B53A9">
        <w:t xml:space="preserve">oddíl </w:t>
      </w:r>
      <w:r w:rsidR="00FB0590" w:rsidRPr="008B53A9">
        <w:t>11).</w:t>
      </w:r>
      <w:r w:rsidR="00360BED" w:rsidRPr="008B53A9">
        <w:t xml:space="preserve"> </w:t>
      </w:r>
    </w:p>
    <w:p w:rsidR="00A35694" w:rsidRPr="008B53A9" w:rsidRDefault="00A35694" w:rsidP="005F43DF">
      <w:pPr>
        <w:pStyle w:val="Standardntext"/>
        <w:numPr>
          <w:ilvl w:val="0"/>
          <w:numId w:val="44"/>
        </w:numPr>
      </w:pPr>
      <w:r w:rsidRPr="008B53A9">
        <w:t>Vliv projektu na oblast klimatu</w:t>
      </w:r>
      <w:r w:rsidR="00620030" w:rsidRPr="008B53A9">
        <w:t xml:space="preserve"> a energii z OZE</w:t>
      </w:r>
      <w:r w:rsidRPr="008B53A9">
        <w:t>. Nad rámec výše uvedených i</w:t>
      </w:r>
      <w:r w:rsidR="00620030" w:rsidRPr="008B53A9">
        <w:t>ndikátorů specifického cíle budou</w:t>
      </w:r>
      <w:r w:rsidRPr="008B53A9">
        <w:t xml:space="preserve"> na projektové úrovni interně monitorován</w:t>
      </w:r>
      <w:r w:rsidR="00620030" w:rsidRPr="008B53A9">
        <w:t>y</w:t>
      </w:r>
      <w:r w:rsidRPr="008B53A9">
        <w:t xml:space="preserve"> vliv</w:t>
      </w:r>
      <w:r w:rsidR="00620030" w:rsidRPr="008B53A9">
        <w:t>y</w:t>
      </w:r>
      <w:r w:rsidRPr="008B53A9">
        <w:t xml:space="preserve"> daného projektu na oblast klimatu prostřednictvím indikátor</w:t>
      </w:r>
      <w:r w:rsidR="00FB1FDE" w:rsidRPr="008B53A9">
        <w:t>ů</w:t>
      </w:r>
      <w:r w:rsidRPr="008B53A9">
        <w:t xml:space="preserve"> „Snížení emisí CO2“</w:t>
      </w:r>
      <w:r w:rsidR="00FB1FDE" w:rsidRPr="008B53A9">
        <w:t>, „Snížení emisí primárních částic a prekurzorů sekundárních částic“</w:t>
      </w:r>
      <w:r w:rsidR="00620030" w:rsidRPr="008B53A9">
        <w:t xml:space="preserve"> a dále indikátory „Výroba tepla z obnovitelných zdrojů celkem“ a „Výroba elektrické energie z obnovitelných zdrojů“</w:t>
      </w:r>
      <w:r w:rsidRPr="008B53A9">
        <w:t xml:space="preserve">. </w:t>
      </w:r>
      <w:r w:rsidR="0094035A" w:rsidRPr="008B53A9">
        <w:t xml:space="preserve">Tyto </w:t>
      </w:r>
      <w:r w:rsidR="00032047" w:rsidRPr="008B53A9">
        <w:t xml:space="preserve">environmentální </w:t>
      </w:r>
      <w:r w:rsidRPr="008B53A9">
        <w:t>indikátor</w:t>
      </w:r>
      <w:r w:rsidR="0094035A" w:rsidRPr="008B53A9">
        <w:t>y budou</w:t>
      </w:r>
      <w:r w:rsidRPr="008B53A9">
        <w:t xml:space="preserve"> dále agregován</w:t>
      </w:r>
      <w:r w:rsidR="0094035A" w:rsidRPr="008B53A9">
        <w:t>y</w:t>
      </w:r>
      <w:r w:rsidRPr="008B53A9">
        <w:t xml:space="preserve"> pro potřeby Dohody o partnerství.</w:t>
      </w:r>
    </w:p>
    <w:p w:rsidR="00BE7900" w:rsidRPr="008B53A9" w:rsidRDefault="00BE7900" w:rsidP="005F43DF">
      <w:pPr>
        <w:pStyle w:val="Standardntext"/>
        <w:numPr>
          <w:ilvl w:val="0"/>
          <w:numId w:val="44"/>
        </w:numPr>
      </w:pPr>
      <w:r w:rsidRPr="008B53A9">
        <w:t xml:space="preserve">Projekt musí splňovat požadavky </w:t>
      </w:r>
      <w:r w:rsidR="00A808D6" w:rsidRPr="008B53A9">
        <w:t>na úrovni kladené spodní polovinou intervalu nejlepších dostupných technik</w:t>
      </w:r>
      <w:r w:rsidR="00A808D6" w:rsidRPr="008B53A9" w:rsidDel="00A808D6">
        <w:t xml:space="preserve"> </w:t>
      </w:r>
      <w:r w:rsidR="00B12F31" w:rsidRPr="008B53A9">
        <w:rPr>
          <w:rStyle w:val="Znakapoznpodarou"/>
        </w:rPr>
        <w:footnoteReference w:id="51"/>
      </w:r>
      <w:r w:rsidRPr="008B53A9">
        <w:t>.</w:t>
      </w:r>
    </w:p>
    <w:p w:rsidR="00BA0383" w:rsidRPr="008B53A9" w:rsidRDefault="00360BED" w:rsidP="005F43DF">
      <w:pPr>
        <w:pStyle w:val="Standardntext"/>
        <w:numPr>
          <w:ilvl w:val="0"/>
          <w:numId w:val="44"/>
        </w:numPr>
      </w:pPr>
      <w:r w:rsidRPr="008B53A9">
        <w:t xml:space="preserve">Součástí </w:t>
      </w:r>
      <w:r w:rsidR="00B12F31" w:rsidRPr="008B53A9">
        <w:t>projektu</w:t>
      </w:r>
      <w:r w:rsidRPr="008B53A9">
        <w:t xml:space="preserve"> </w:t>
      </w:r>
      <w:r w:rsidR="00184371" w:rsidRPr="008B53A9">
        <w:t>musí být</w:t>
      </w:r>
      <w:r w:rsidRPr="008B53A9">
        <w:t xml:space="preserve"> energetický audit.</w:t>
      </w:r>
      <w:r w:rsidR="002B15A3" w:rsidRPr="008B53A9">
        <w:t xml:space="preserve"> </w:t>
      </w:r>
    </w:p>
    <w:p w:rsidR="00184371" w:rsidRPr="008B53A9" w:rsidRDefault="00184371" w:rsidP="005F43DF">
      <w:pPr>
        <w:pStyle w:val="Standardntext"/>
        <w:numPr>
          <w:ilvl w:val="0"/>
          <w:numId w:val="44"/>
        </w:numPr>
      </w:pPr>
      <w:r w:rsidRPr="008B53A9">
        <w:t>Žadatel nesmí mít právní formu akciové společnosti s listinnými akciemi na majitele.</w:t>
      </w:r>
    </w:p>
    <w:p w:rsidR="00B5004C" w:rsidRPr="008B53A9" w:rsidRDefault="00BA6461" w:rsidP="005F43DF">
      <w:pPr>
        <w:pStyle w:val="Nadpis5"/>
        <w:numPr>
          <w:ilvl w:val="4"/>
          <w:numId w:val="18"/>
        </w:numPr>
        <w:rPr>
          <w:rFonts w:cs="Calibri"/>
        </w:rPr>
      </w:pPr>
      <w:r w:rsidRPr="008B53A9">
        <w:t>Plánované využití finančních nástrojů (použije-li se)</w:t>
      </w:r>
    </w:p>
    <w:p w:rsidR="00B5004C" w:rsidRPr="008B53A9" w:rsidRDefault="00352703" w:rsidP="002A4D1D">
      <w:pPr>
        <w:pStyle w:val="Standardntext"/>
        <w:rPr>
          <w:color w:val="FF0000"/>
        </w:rPr>
      </w:pPr>
      <w:r w:rsidRPr="008B53A9">
        <w:t xml:space="preserve">Řídící orgán nepředpokládá využití finančních nástrojů v této investiční prioritě. Případné odchylky stanoví konečná verze předběžného posouzení finančních nástrojů OP PIK dle čl. 37 </w:t>
      </w:r>
      <w:r w:rsidRPr="008B53A9">
        <w:lastRenderedPageBreak/>
        <w:t>odst. 2 obecného nařízení, které provede ŘO OP PIK, případně jeho revize podle čl. 37 odst. 2 písm. g) obecného nařízení.</w:t>
      </w:r>
    </w:p>
    <w:p w:rsidR="00B5004C" w:rsidRPr="008B53A9" w:rsidRDefault="00BA6461" w:rsidP="005F43DF">
      <w:pPr>
        <w:pStyle w:val="Nadpis5"/>
        <w:numPr>
          <w:ilvl w:val="4"/>
          <w:numId w:val="18"/>
        </w:numPr>
      </w:pPr>
      <w:r w:rsidRPr="008B53A9">
        <w:t>Plánované využití velkých projektů (použije-li se)</w:t>
      </w:r>
    </w:p>
    <w:p w:rsidR="002A4D1D" w:rsidRPr="008B53A9" w:rsidRDefault="002A4D1D" w:rsidP="002A4D1D">
      <w:pPr>
        <w:pStyle w:val="Standardntext"/>
      </w:pPr>
      <w:r w:rsidRPr="008B53A9">
        <w:t xml:space="preserve">Velké projekty ve smyslu čl. </w:t>
      </w:r>
      <w:r w:rsidR="00C17C7C" w:rsidRPr="008B53A9">
        <w:t>10</w:t>
      </w:r>
      <w:r w:rsidRPr="008B53A9">
        <w:t>0 obecného nařízení nejsou plánovány.</w:t>
      </w:r>
    </w:p>
    <w:p w:rsidR="00B5004C" w:rsidRPr="008B53A9" w:rsidRDefault="00BA6461" w:rsidP="005F43DF">
      <w:pPr>
        <w:pStyle w:val="Nadpis5"/>
        <w:keepNext w:val="0"/>
        <w:keepLines w:val="0"/>
        <w:numPr>
          <w:ilvl w:val="4"/>
          <w:numId w:val="18"/>
        </w:numPr>
      </w:pPr>
      <w:r w:rsidRPr="008B53A9">
        <w:t>Ukazatele výstupů podle investiční priority a případně podle kategorie regionů</w:t>
      </w:r>
    </w:p>
    <w:p w:rsidR="00B5004C" w:rsidRPr="008B53A9" w:rsidRDefault="00B5004C" w:rsidP="007D5585">
      <w:pPr>
        <w:pStyle w:val="Titulek"/>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1154"/>
        <w:gridCol w:w="2193"/>
        <w:gridCol w:w="1050"/>
        <w:gridCol w:w="665"/>
        <w:gridCol w:w="1222"/>
        <w:gridCol w:w="1124"/>
        <w:gridCol w:w="729"/>
        <w:gridCol w:w="1189"/>
      </w:tblGrid>
      <w:tr w:rsidR="001B2E5C" w:rsidRPr="008B53A9">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Kategorie regionu</w:t>
            </w:r>
          </w:p>
        </w:tc>
        <w:tc>
          <w:tcPr>
            <w:tcW w:w="112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956C4F">
            <w:pPr>
              <w:pStyle w:val="Tabulka"/>
              <w:rPr>
                <w:rFonts w:cs="Calibri"/>
                <w:b/>
                <w:lang w:val="cs-CZ" w:eastAsia="cs-CZ"/>
              </w:rPr>
            </w:pPr>
            <w:r w:rsidRPr="008B53A9">
              <w:rPr>
                <w:rFonts w:cs="Calibri"/>
                <w:b/>
                <w:lang w:val="cs-CZ" w:eastAsia="cs-CZ"/>
              </w:rPr>
              <w:t>Cílová hodnota</w:t>
            </w:r>
            <w:r w:rsidR="00956C4F" w:rsidRPr="008B53A9">
              <w:rPr>
                <w:rFonts w:cs="Calibri"/>
                <w:b/>
                <w:lang w:val="cs-CZ" w:eastAsia="cs-CZ"/>
              </w:rPr>
              <w:t xml:space="preserve"> </w:t>
            </w:r>
            <w:r w:rsidRPr="008B53A9">
              <w:rPr>
                <w:rFonts w:cs="Calibri"/>
                <w:b/>
                <w:lang w:val="cs-CZ" w:eastAsia="cs-CZ"/>
              </w:rPr>
              <w:t>(2023)</w:t>
            </w:r>
          </w:p>
        </w:tc>
        <w:tc>
          <w:tcPr>
            <w:tcW w:w="72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Četnost podávání zpráv</w:t>
            </w:r>
          </w:p>
        </w:tc>
      </w:tr>
      <w:tr w:rsidR="00826B6B"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C113F" w:rsidP="007D5585">
            <w:pPr>
              <w:pStyle w:val="Tabulka"/>
              <w:rPr>
                <w:rFonts w:cs="Calibri"/>
                <w:lang w:val="cs-CZ" w:eastAsia="cs-CZ"/>
              </w:rPr>
            </w:pPr>
            <w:r w:rsidRPr="008B53A9">
              <w:rPr>
                <w:rFonts w:cs="Calibri"/>
                <w:lang w:val="cs-CZ" w:eastAsia="cs-CZ"/>
              </w:rPr>
              <w:t>C</w:t>
            </w:r>
            <w:r w:rsidR="00CC4F9D" w:rsidRPr="008B53A9">
              <w:rPr>
                <w:rFonts w:cs="Calibri"/>
                <w:lang w:val="cs-CZ" w:eastAsia="cs-CZ"/>
              </w:rPr>
              <w:t>/EFRR/0</w:t>
            </w:r>
            <w:r w:rsidR="00826B6B" w:rsidRPr="008B53A9">
              <w:rPr>
                <w:rFonts w:cs="Calibri"/>
                <w:lang w:val="cs-CZ" w:eastAsia="cs-CZ"/>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7D6298" w:rsidP="007D5585">
            <w:pPr>
              <w:pStyle w:val="Tabulka"/>
              <w:jc w:val="left"/>
              <w:rPr>
                <w:rFonts w:cs="Calibri"/>
                <w:lang w:val="cs-CZ" w:eastAsia="cs-CZ"/>
              </w:rPr>
            </w:pPr>
            <w:r w:rsidRPr="008B53A9">
              <w:rPr>
                <w:rFonts w:cs="Calibri"/>
                <w:lang w:val="cs-CZ" w:eastAsia="cs-CZ"/>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2B3F69" w:rsidP="007D5585">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rPr>
                <w:rFonts w:cs="Calibri"/>
                <w:lang w:val="cs-CZ" w:eastAsia="cs-CZ"/>
              </w:rPr>
            </w:pPr>
            <w:r w:rsidRPr="008B53A9">
              <w:rPr>
                <w:rFonts w:cs="Calibri"/>
                <w:lang w:val="cs-CZ" w:eastAsia="cs-CZ"/>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rsidR="00826B6B" w:rsidRPr="008B53A9" w:rsidRDefault="00361807" w:rsidP="007D5585">
            <w:pPr>
              <w:pStyle w:val="Tabulka"/>
              <w:rPr>
                <w:rFonts w:cs="Calibri"/>
                <w:lang w:val="cs-CZ" w:eastAsia="cs-CZ"/>
              </w:rPr>
            </w:pPr>
            <w:r w:rsidRPr="008B53A9">
              <w:rPr>
                <w:rFonts w:cs="Calibri"/>
                <w:lang w:val="cs-CZ" w:eastAsia="cs-CZ"/>
              </w:rPr>
              <w:t>20</w:t>
            </w:r>
            <w:r w:rsidR="00826B6B" w:rsidRPr="008B53A9">
              <w:rPr>
                <w:rFonts w:cs="Calibri"/>
                <w:lang w:val="cs-CZ" w:eastAsia="cs-CZ"/>
              </w:rPr>
              <w:t>0</w:t>
            </w:r>
          </w:p>
        </w:tc>
        <w:tc>
          <w:tcPr>
            <w:tcW w:w="729" w:type="dxa"/>
            <w:tcBorders>
              <w:top w:val="single" w:sz="4" w:space="0" w:color="000000"/>
              <w:left w:val="single" w:sz="4" w:space="0" w:color="000000"/>
              <w:bottom w:val="single" w:sz="4" w:space="0" w:color="000000"/>
              <w:right w:val="single" w:sz="4" w:space="0" w:color="000000"/>
            </w:tcBorders>
            <w:vAlign w:val="center"/>
          </w:tcPr>
          <w:p w:rsidR="00826B6B" w:rsidRPr="008B53A9" w:rsidRDefault="00DF5B4B" w:rsidP="007D5585">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rPr>
                <w:rFonts w:cs="Calibri"/>
                <w:lang w:val="cs-CZ" w:eastAsia="cs-CZ"/>
              </w:rPr>
            </w:pPr>
            <w:r w:rsidRPr="008B53A9">
              <w:rPr>
                <w:rFonts w:cs="Calibri"/>
                <w:lang w:val="cs-CZ" w:eastAsia="cs-CZ"/>
              </w:rPr>
              <w:t>průběžně</w:t>
            </w:r>
          </w:p>
        </w:tc>
      </w:tr>
      <w:tr w:rsidR="00826B6B"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C113F" w:rsidP="007D5585">
            <w:pPr>
              <w:pStyle w:val="Tabulka"/>
              <w:rPr>
                <w:rFonts w:cs="Calibri"/>
                <w:lang w:val="cs-CZ" w:eastAsia="cs-CZ"/>
              </w:rPr>
            </w:pPr>
            <w:r w:rsidRPr="008B53A9">
              <w:rPr>
                <w:rFonts w:cs="Calibri"/>
                <w:lang w:val="cs-CZ" w:eastAsia="cs-CZ"/>
              </w:rPr>
              <w:t>C</w:t>
            </w:r>
            <w:r w:rsidR="00CC4F9D" w:rsidRPr="008B53A9">
              <w:rPr>
                <w:rFonts w:cs="Calibri"/>
                <w:lang w:val="cs-CZ" w:eastAsia="cs-CZ"/>
              </w:rPr>
              <w:t>/EFRR/0</w:t>
            </w:r>
            <w:r w:rsidR="00826B6B" w:rsidRPr="008B53A9">
              <w:rPr>
                <w:rFonts w:cs="Calibri"/>
                <w:lang w:val="cs-CZ" w:eastAsia="cs-CZ"/>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jc w:val="left"/>
              <w:rPr>
                <w:rFonts w:cs="Calibri"/>
                <w:lang w:val="cs-CZ" w:eastAsia="cs-CZ"/>
              </w:rPr>
            </w:pPr>
            <w:r w:rsidRPr="008B53A9">
              <w:rPr>
                <w:rFonts w:cs="Calibri"/>
                <w:lang w:val="cs-CZ" w:eastAsia="cs-CZ"/>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2B3F69" w:rsidP="007D5585">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rPr>
                <w:rFonts w:cs="Calibri"/>
                <w:lang w:val="cs-CZ" w:eastAsia="cs-CZ"/>
              </w:rPr>
            </w:pPr>
            <w:r w:rsidRPr="008B53A9">
              <w:rPr>
                <w:rFonts w:cs="Calibri"/>
                <w:lang w:val="cs-CZ" w:eastAsia="cs-CZ"/>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rsidR="00826B6B" w:rsidRPr="008B53A9" w:rsidRDefault="00361807" w:rsidP="007D5585">
            <w:pPr>
              <w:pStyle w:val="Tabulka"/>
              <w:rPr>
                <w:rFonts w:cs="Calibri"/>
                <w:lang w:val="cs-CZ" w:eastAsia="cs-CZ"/>
              </w:rPr>
            </w:pPr>
            <w:r w:rsidRPr="008B53A9">
              <w:rPr>
                <w:rFonts w:cs="Calibri"/>
                <w:lang w:val="cs-CZ" w:eastAsia="cs-CZ"/>
              </w:rPr>
              <w:t>20</w:t>
            </w:r>
            <w:r w:rsidR="00826B6B" w:rsidRPr="008B53A9">
              <w:rPr>
                <w:rFonts w:cs="Calibri"/>
                <w:lang w:val="cs-CZ" w:eastAsia="cs-CZ"/>
              </w:rPr>
              <w:t>0</w:t>
            </w:r>
          </w:p>
        </w:tc>
        <w:tc>
          <w:tcPr>
            <w:tcW w:w="729" w:type="dxa"/>
            <w:tcBorders>
              <w:top w:val="single" w:sz="4" w:space="0" w:color="000000"/>
              <w:left w:val="single" w:sz="4" w:space="0" w:color="000000"/>
              <w:bottom w:val="single" w:sz="4" w:space="0" w:color="000000"/>
              <w:right w:val="single" w:sz="4" w:space="0" w:color="000000"/>
            </w:tcBorders>
            <w:vAlign w:val="center"/>
          </w:tcPr>
          <w:p w:rsidR="00826B6B" w:rsidRPr="008B53A9" w:rsidRDefault="00DF5B4B" w:rsidP="007D5585">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rPr>
                <w:rFonts w:cs="Calibri"/>
                <w:lang w:val="cs-CZ" w:eastAsia="cs-CZ"/>
              </w:rPr>
            </w:pPr>
            <w:r w:rsidRPr="008B53A9">
              <w:rPr>
                <w:rFonts w:cs="Calibri"/>
                <w:lang w:val="cs-CZ" w:eastAsia="cs-CZ"/>
              </w:rPr>
              <w:t>průběžně</w:t>
            </w:r>
          </w:p>
        </w:tc>
      </w:tr>
      <w:tr w:rsidR="00826B6B"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C113F" w:rsidP="007D5585">
            <w:pPr>
              <w:pStyle w:val="Tabulka"/>
              <w:rPr>
                <w:rFonts w:cs="Calibri"/>
                <w:lang w:val="cs-CZ" w:eastAsia="cs-CZ"/>
              </w:rPr>
            </w:pPr>
            <w:r w:rsidRPr="008B53A9">
              <w:rPr>
                <w:rFonts w:cs="Calibri"/>
                <w:lang w:val="cs-CZ" w:eastAsia="cs-CZ"/>
              </w:rPr>
              <w:t>C</w:t>
            </w:r>
            <w:r w:rsidR="00CC4F9D" w:rsidRPr="008B53A9">
              <w:rPr>
                <w:rFonts w:cs="Calibri"/>
                <w:lang w:val="cs-CZ" w:eastAsia="cs-CZ"/>
              </w:rPr>
              <w:t>/EFRR/0</w:t>
            </w:r>
            <w:r w:rsidR="00826B6B" w:rsidRPr="008B53A9">
              <w:rPr>
                <w:rFonts w:cs="Calibri"/>
                <w:lang w:val="cs-CZ" w:eastAsia="cs-CZ"/>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A2DBD" w:rsidP="007D5585">
            <w:pPr>
              <w:pStyle w:val="Tabulka"/>
              <w:jc w:val="left"/>
              <w:rPr>
                <w:rFonts w:cs="Calibri"/>
                <w:lang w:val="cs-CZ" w:eastAsia="cs-CZ"/>
              </w:rPr>
            </w:pPr>
            <w:r w:rsidRPr="008B53A9">
              <w:rPr>
                <w:rFonts w:cs="Calibri"/>
                <w:lang w:val="cs-CZ" w:eastAsia="cs-CZ"/>
              </w:rPr>
              <w:t>Soukromé investice v projektech s veřejnou podporou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2B3F69" w:rsidP="007D5585">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rPr>
                <w:rFonts w:cs="Calibri"/>
                <w:lang w:val="cs-CZ" w:eastAsia="cs-CZ"/>
              </w:rPr>
            </w:pPr>
            <w:r w:rsidRPr="008B53A9">
              <w:rPr>
                <w:rFonts w:cs="Calibri"/>
                <w:lang w:val="cs-CZ" w:eastAsia="cs-CZ"/>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rsidR="00826B6B" w:rsidRPr="008B53A9" w:rsidRDefault="00361807" w:rsidP="007D5585">
            <w:pPr>
              <w:pStyle w:val="Tabulka"/>
              <w:rPr>
                <w:rFonts w:cs="Calibri"/>
                <w:lang w:val="cs-CZ" w:eastAsia="cs-CZ"/>
              </w:rPr>
            </w:pPr>
            <w:r w:rsidRPr="008B53A9">
              <w:rPr>
                <w:rFonts w:cs="Calibri"/>
                <w:lang w:val="cs-CZ" w:eastAsia="cs-CZ"/>
              </w:rPr>
              <w:t>93 000 000</w:t>
            </w:r>
          </w:p>
        </w:tc>
        <w:tc>
          <w:tcPr>
            <w:tcW w:w="729" w:type="dxa"/>
            <w:tcBorders>
              <w:top w:val="single" w:sz="4" w:space="0" w:color="000000"/>
              <w:left w:val="single" w:sz="4" w:space="0" w:color="000000"/>
              <w:bottom w:val="single" w:sz="4" w:space="0" w:color="000000"/>
              <w:right w:val="single" w:sz="4" w:space="0" w:color="000000"/>
            </w:tcBorders>
            <w:vAlign w:val="center"/>
          </w:tcPr>
          <w:p w:rsidR="00826B6B" w:rsidRPr="008B53A9" w:rsidRDefault="00DF5B4B" w:rsidP="007D5585">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7D5585">
            <w:pPr>
              <w:pStyle w:val="Tabulka"/>
              <w:rPr>
                <w:rFonts w:cs="Calibri"/>
                <w:lang w:val="cs-CZ" w:eastAsia="cs-CZ"/>
              </w:rPr>
            </w:pPr>
            <w:r w:rsidRPr="008B53A9">
              <w:rPr>
                <w:rFonts w:cs="Calibri"/>
                <w:lang w:val="cs-CZ" w:eastAsia="cs-CZ"/>
              </w:rPr>
              <w:t>průběžně</w:t>
            </w:r>
          </w:p>
        </w:tc>
      </w:tr>
      <w:tr w:rsidR="00BD68DE"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BD68DE" w:rsidRPr="008B53A9" w:rsidRDefault="00BD68DE" w:rsidP="008F41A1">
            <w:pPr>
              <w:pStyle w:val="Tabulka"/>
              <w:keepNext/>
              <w:keepLines/>
              <w:rPr>
                <w:rFonts w:cs="Calibri"/>
                <w:lang w:val="cs-CZ" w:eastAsia="cs-CZ"/>
              </w:rPr>
            </w:pPr>
            <w:r w:rsidRPr="008B53A9">
              <w:rPr>
                <w:rFonts w:cs="Calibri"/>
                <w:lang w:val="cs-CZ" w:eastAsia="cs-CZ"/>
              </w:rPr>
              <w:t>C</w:t>
            </w:r>
            <w:r w:rsidR="00CC4F9D" w:rsidRPr="008B53A9">
              <w:rPr>
                <w:rFonts w:cs="Calibri"/>
                <w:lang w:val="cs-CZ" w:eastAsia="cs-CZ"/>
              </w:rPr>
              <w:t>/EFRR/</w:t>
            </w:r>
            <w:r w:rsidRPr="008B53A9">
              <w:rPr>
                <w:rFonts w:cs="Calibri"/>
                <w:lang w:val="cs-CZ" w:eastAsia="cs-CZ"/>
              </w:rPr>
              <w:t>30</w:t>
            </w:r>
          </w:p>
        </w:tc>
        <w:tc>
          <w:tcPr>
            <w:tcW w:w="0" w:type="auto"/>
            <w:tcBorders>
              <w:top w:val="single" w:sz="4" w:space="0" w:color="000000"/>
              <w:left w:val="single" w:sz="4" w:space="0" w:color="000000"/>
              <w:bottom w:val="single" w:sz="4" w:space="0" w:color="000000"/>
              <w:right w:val="single" w:sz="4" w:space="0" w:color="000000"/>
            </w:tcBorders>
            <w:vAlign w:val="center"/>
          </w:tcPr>
          <w:p w:rsidR="00BD68DE" w:rsidRPr="008B53A9" w:rsidRDefault="00BD68DE" w:rsidP="008F41A1">
            <w:pPr>
              <w:pStyle w:val="Tabulka"/>
              <w:keepNext/>
              <w:keepLines/>
              <w:jc w:val="left"/>
              <w:rPr>
                <w:rFonts w:cs="Calibri"/>
                <w:lang w:val="cs-CZ" w:eastAsia="cs-CZ"/>
              </w:rPr>
            </w:pPr>
            <w:r w:rsidRPr="008B53A9">
              <w:rPr>
                <w:rFonts w:cs="Calibri"/>
                <w:lang w:val="cs-CZ" w:eastAsia="cs-CZ"/>
              </w:rPr>
              <w:t>Nová kapacita zařízení pro výrobu energie z obnovitelných zdrojů</w:t>
            </w:r>
          </w:p>
        </w:tc>
        <w:tc>
          <w:tcPr>
            <w:tcW w:w="0" w:type="auto"/>
            <w:tcBorders>
              <w:top w:val="single" w:sz="4" w:space="0" w:color="000000"/>
              <w:left w:val="single" w:sz="4" w:space="0" w:color="000000"/>
              <w:bottom w:val="single" w:sz="4" w:space="0" w:color="000000"/>
              <w:right w:val="single" w:sz="4" w:space="0" w:color="000000"/>
            </w:tcBorders>
            <w:vAlign w:val="center"/>
          </w:tcPr>
          <w:p w:rsidR="00BD68DE" w:rsidRPr="008B53A9" w:rsidRDefault="00BD68DE" w:rsidP="008F41A1">
            <w:pPr>
              <w:pStyle w:val="Tabulka"/>
              <w:keepNext/>
              <w:keepLines/>
              <w:rPr>
                <w:rFonts w:cs="Calibri"/>
                <w:lang w:val="cs-CZ" w:eastAsia="cs-CZ"/>
              </w:rPr>
            </w:pPr>
            <w:r w:rsidRPr="008B53A9">
              <w:rPr>
                <w:rFonts w:cs="Calibri"/>
                <w:lang w:val="cs-CZ" w:eastAsia="cs-CZ"/>
              </w:rPr>
              <w:t>MW</w:t>
            </w:r>
          </w:p>
        </w:tc>
        <w:tc>
          <w:tcPr>
            <w:tcW w:w="0" w:type="auto"/>
            <w:tcBorders>
              <w:top w:val="single" w:sz="4" w:space="0" w:color="000000"/>
              <w:left w:val="single" w:sz="4" w:space="0" w:color="000000"/>
              <w:bottom w:val="single" w:sz="4" w:space="0" w:color="000000"/>
              <w:right w:val="single" w:sz="4" w:space="0" w:color="000000"/>
            </w:tcBorders>
            <w:vAlign w:val="center"/>
          </w:tcPr>
          <w:p w:rsidR="00BD68DE" w:rsidRPr="008B53A9" w:rsidRDefault="00BD68DE" w:rsidP="007D5585">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BD68DE" w:rsidRPr="008B53A9" w:rsidRDefault="00BD68DE" w:rsidP="007D5585">
            <w:pPr>
              <w:pStyle w:val="Tabulka"/>
              <w:rPr>
                <w:rFonts w:cs="Calibri"/>
                <w:lang w:val="cs-CZ" w:eastAsia="cs-CZ"/>
              </w:rPr>
            </w:pPr>
            <w:r w:rsidRPr="008B53A9">
              <w:rPr>
                <w:rFonts w:cs="Calibri"/>
                <w:lang w:val="cs-CZ" w:eastAsia="cs-CZ"/>
              </w:rPr>
              <w:t>Méně rozvinuté regiony</w:t>
            </w:r>
          </w:p>
        </w:tc>
        <w:tc>
          <w:tcPr>
            <w:tcW w:w="1124" w:type="dxa"/>
            <w:tcBorders>
              <w:top w:val="single" w:sz="4" w:space="0" w:color="000000"/>
              <w:left w:val="single" w:sz="4" w:space="0" w:color="000000"/>
              <w:bottom w:val="single" w:sz="4" w:space="0" w:color="000000"/>
              <w:right w:val="single" w:sz="4" w:space="0" w:color="000000"/>
            </w:tcBorders>
            <w:vAlign w:val="center"/>
          </w:tcPr>
          <w:p w:rsidR="00BD68DE" w:rsidRPr="008B53A9" w:rsidRDefault="00F81FD4" w:rsidP="007D5585">
            <w:pPr>
              <w:pStyle w:val="Tabulka"/>
              <w:rPr>
                <w:rFonts w:cs="Calibri"/>
                <w:lang w:val="cs-CZ" w:eastAsia="cs-CZ"/>
              </w:rPr>
            </w:pPr>
            <w:r w:rsidRPr="008B53A9">
              <w:rPr>
                <w:rFonts w:cs="Calibri"/>
                <w:lang w:val="cs-CZ" w:eastAsia="cs-CZ"/>
              </w:rPr>
              <w:t>83</w:t>
            </w:r>
          </w:p>
        </w:tc>
        <w:tc>
          <w:tcPr>
            <w:tcW w:w="729" w:type="dxa"/>
            <w:tcBorders>
              <w:top w:val="single" w:sz="4" w:space="0" w:color="000000"/>
              <w:left w:val="single" w:sz="4" w:space="0" w:color="000000"/>
              <w:bottom w:val="single" w:sz="4" w:space="0" w:color="000000"/>
              <w:right w:val="single" w:sz="4" w:space="0" w:color="000000"/>
            </w:tcBorders>
            <w:vAlign w:val="center"/>
          </w:tcPr>
          <w:p w:rsidR="00BD68DE" w:rsidRPr="008B53A9" w:rsidRDefault="00BD68DE" w:rsidP="008F41A1">
            <w:pPr>
              <w:pStyle w:val="Tabulka"/>
              <w:keepNext/>
              <w:keepLines/>
              <w:rPr>
                <w:rFonts w:cs="Calibri"/>
                <w:lang w:val="cs-CZ" w:eastAsia="cs-CZ"/>
              </w:rPr>
            </w:pPr>
            <w:r w:rsidRPr="008B53A9">
              <w:rPr>
                <w:rFonts w:cs="Calibri"/>
                <w:lang w:val="cs-CZ" w:eastAsia="cs-CZ"/>
              </w:rPr>
              <w:t>Ž/P</w:t>
            </w:r>
          </w:p>
        </w:tc>
        <w:tc>
          <w:tcPr>
            <w:tcW w:w="0" w:type="auto"/>
            <w:tcBorders>
              <w:top w:val="single" w:sz="4" w:space="0" w:color="000000"/>
              <w:left w:val="single" w:sz="4" w:space="0" w:color="000000"/>
              <w:bottom w:val="single" w:sz="4" w:space="0" w:color="000000"/>
              <w:right w:val="single" w:sz="4" w:space="0" w:color="000000"/>
            </w:tcBorders>
            <w:vAlign w:val="center"/>
          </w:tcPr>
          <w:p w:rsidR="00BD68DE" w:rsidRPr="008B53A9" w:rsidRDefault="00BD68DE" w:rsidP="008F41A1">
            <w:pPr>
              <w:pStyle w:val="Tabulka"/>
              <w:keepNext/>
              <w:keepLines/>
              <w:rPr>
                <w:rFonts w:cs="Calibri"/>
                <w:lang w:val="cs-CZ" w:eastAsia="cs-CZ"/>
              </w:rPr>
            </w:pPr>
            <w:r w:rsidRPr="008B53A9">
              <w:rPr>
                <w:rFonts w:cs="Calibri"/>
                <w:lang w:val="cs-CZ" w:eastAsia="cs-CZ"/>
              </w:rPr>
              <w:t>průběžně</w:t>
            </w:r>
          </w:p>
        </w:tc>
      </w:tr>
    </w:tbl>
    <w:p w:rsidR="00AA66A2" w:rsidRPr="008B53A9" w:rsidRDefault="00AA66A2" w:rsidP="005F43DF">
      <w:pPr>
        <w:pStyle w:val="kapitola2A0"/>
        <w:numPr>
          <w:ilvl w:val="2"/>
          <w:numId w:val="71"/>
        </w:numPr>
      </w:pPr>
      <w:bookmarkStart w:id="64" w:name="_Toc391539632"/>
      <w:r w:rsidRPr="008B53A9">
        <w:t>INVESTIČNÍ PRIORITA 2 prioritní osy 3: Podpora energetické účinnosti a využívání energie z obnovitelných zdrojů v podnicích</w:t>
      </w:r>
      <w:bookmarkEnd w:id="64"/>
    </w:p>
    <w:p w:rsidR="003B05CA" w:rsidRPr="008B53A9" w:rsidRDefault="008C7D72" w:rsidP="005F43DF">
      <w:pPr>
        <w:pStyle w:val="kapitola2A0"/>
        <w:numPr>
          <w:ilvl w:val="2"/>
          <w:numId w:val="71"/>
        </w:numPr>
      </w:pPr>
      <w:bookmarkStart w:id="65" w:name="_Toc391539633"/>
      <w:r w:rsidRPr="008B53A9">
        <w:t>Specifické cíle odpovídající investiční prioritě a očekávané výsledky</w:t>
      </w:r>
      <w:bookmarkEnd w:id="65"/>
    </w:p>
    <w:p w:rsidR="00EC0F1D" w:rsidRPr="008B53A9" w:rsidRDefault="00EC0F1D" w:rsidP="00396141">
      <w:pPr>
        <w:pStyle w:val="Modrnadpis"/>
      </w:pPr>
      <w:r w:rsidRPr="008B53A9">
        <w:t xml:space="preserve">SPECIFICKÝ CÍL </w:t>
      </w:r>
      <w:r w:rsidR="00C71E6F" w:rsidRPr="008B53A9">
        <w:t>3.</w:t>
      </w:r>
      <w:r w:rsidRPr="008B53A9">
        <w:t xml:space="preserve">2: </w:t>
      </w:r>
      <w:r w:rsidR="00A72338" w:rsidRPr="008B53A9">
        <w:t>Zvýšit energetickou účinnost podnikatelského sektoru</w:t>
      </w:r>
    </w:p>
    <w:p w:rsidR="00982AE9" w:rsidRPr="008B53A9" w:rsidRDefault="00A22765" w:rsidP="00FB0590">
      <w:pPr>
        <w:pStyle w:val="Standardntext"/>
      </w:pPr>
      <w:r w:rsidRPr="008B53A9">
        <w:t xml:space="preserve">Energetická účinnost je jedním z faktorů ovlivňujících konkurenceschopnost podniků, resp. celé ekonomiky. </w:t>
      </w:r>
      <w:r w:rsidR="00727C15" w:rsidRPr="008B53A9">
        <w:t>V oblasti snižování energetické náročnosti průmyslových procesů učinila Česká republika za dobu své existence zásadní pokrok. Přesto je v ČR stále nevyčerpán ekonomický potenciál úspor energie v tomto sektoru.</w:t>
      </w:r>
      <w:r w:rsidRPr="008B53A9">
        <w:t xml:space="preserve"> </w:t>
      </w:r>
      <w:r w:rsidR="008A674D" w:rsidRPr="008B53A9">
        <w:t>Hlavním cílem je podpora konkurenceschopnosti podnikatelských subjektů</w:t>
      </w:r>
      <w:r w:rsidR="00727C15" w:rsidRPr="008B53A9">
        <w:t xml:space="preserve"> a udržitelnosti české ekonomiky</w:t>
      </w:r>
      <w:r w:rsidR="008A674D" w:rsidRPr="008B53A9">
        <w:t xml:space="preserve"> prostřednictvím </w:t>
      </w:r>
      <w:r w:rsidR="00727C15" w:rsidRPr="008B53A9">
        <w:t>snížení energetické náročnosti podnikatelského sektoru.</w:t>
      </w:r>
    </w:p>
    <w:p w:rsidR="0056661C" w:rsidRPr="008B53A9" w:rsidRDefault="003508A9" w:rsidP="0056661C">
      <w:pPr>
        <w:pStyle w:val="Modrnadpis"/>
      </w:pPr>
      <w:r w:rsidRPr="008B53A9">
        <w:t>Výsledky, kterých chce ČR dosáhnout s podporou Unie</w:t>
      </w:r>
    </w:p>
    <w:p w:rsidR="003F4488" w:rsidRPr="008B53A9" w:rsidRDefault="00982AE9" w:rsidP="005F43DF">
      <w:pPr>
        <w:pStyle w:val="Standardntext"/>
        <w:numPr>
          <w:ilvl w:val="0"/>
          <w:numId w:val="44"/>
        </w:numPr>
      </w:pPr>
      <w:r w:rsidRPr="008B53A9">
        <w:t>Příspěvek k naplněn</w:t>
      </w:r>
      <w:r w:rsidR="001F2A61" w:rsidRPr="008B53A9">
        <w:t>í</w:t>
      </w:r>
      <w:r w:rsidRPr="008B53A9">
        <w:t xml:space="preserve"> Směrnice Evropského parlamentu a Rady 2012/27/EU o energetické účinnosti, která stanovuje zavedení orientačních vnitrostátních cílů energetické účinnosti do roku 2020. Vnitrostátní orientační cíl ČR je na základě současných analýz stanoven ve výši 47,84 PJ (13,29 TWh) úspor v konečné spotřebě energie.</w:t>
      </w:r>
    </w:p>
    <w:p w:rsidR="00557339" w:rsidRPr="008B53A9" w:rsidRDefault="00727C15" w:rsidP="005F43DF">
      <w:pPr>
        <w:pStyle w:val="Standardntext"/>
        <w:numPr>
          <w:ilvl w:val="0"/>
          <w:numId w:val="44"/>
        </w:numPr>
      </w:pPr>
      <w:r w:rsidRPr="008B53A9">
        <w:lastRenderedPageBreak/>
        <w:t xml:space="preserve">Zvýšení možnosti podniků rozvíjet svou činnost, investovat do výzkumu, vývoje a inovací </w:t>
      </w:r>
      <w:r w:rsidR="00557339" w:rsidRPr="008B53A9">
        <w:t xml:space="preserve">tím, že podniky nebudou muset vynakládat takové množství prostředků na energie při výrobních procesech. </w:t>
      </w:r>
      <w:r w:rsidR="009B3FCE" w:rsidRPr="008B53A9">
        <w:t>S tím souvisí s</w:t>
      </w:r>
      <w:r w:rsidR="00557339" w:rsidRPr="008B53A9">
        <w:t xml:space="preserve">nížení citlivosti podnikatelských subjektů na změny vstupních nákladů, jejichž zvyšování, nebo udržování na současných hodnotách, by mohlo v důsledku ohrozit celkový výkon výroby ve prospěch levné zahraniční konkurence. </w:t>
      </w:r>
      <w:r w:rsidR="009B3FCE" w:rsidRPr="008B53A9">
        <w:t>Výsledkem specifického cíle tak bude</w:t>
      </w:r>
      <w:r w:rsidR="00557339" w:rsidRPr="008B53A9">
        <w:t xml:space="preserve"> posílení konkurenceschopnosti podnikatelských subjektů, resp. ekonomiky jako celku.</w:t>
      </w:r>
    </w:p>
    <w:p w:rsidR="00557339" w:rsidRPr="008B53A9" w:rsidRDefault="00557339" w:rsidP="005F43DF">
      <w:pPr>
        <w:pStyle w:val="Standardntext"/>
        <w:numPr>
          <w:ilvl w:val="0"/>
          <w:numId w:val="44"/>
        </w:numPr>
      </w:pPr>
      <w:r w:rsidRPr="008B53A9">
        <w:t>Přiblížení se v úrovni energetické náročnosti průmyslové výroby k ostatním členským zemím EU, neboť česká ekonomika dosud vykazovala vyšší míru nákladovosti</w:t>
      </w:r>
      <w:r w:rsidR="001900F1" w:rsidRPr="008B53A9">
        <w:t>,</w:t>
      </w:r>
      <w:r w:rsidRPr="008B53A9">
        <w:t xml:space="preserve"> než činil průměr EU.</w:t>
      </w:r>
    </w:p>
    <w:p w:rsidR="004C2EE3" w:rsidRPr="008B53A9" w:rsidRDefault="008A674D" w:rsidP="005F43DF">
      <w:pPr>
        <w:pStyle w:val="Standardntext"/>
        <w:numPr>
          <w:ilvl w:val="0"/>
          <w:numId w:val="44"/>
        </w:numPr>
      </w:pPr>
      <w:r w:rsidRPr="008B53A9">
        <w:t>Rozvoj</w:t>
      </w:r>
      <w:r w:rsidR="004C2EE3" w:rsidRPr="008B53A9">
        <w:t xml:space="preserve"> energetických služeb, které jsou důležitým nástrojem přispívajícím k nákladově efektivnímu způsobu zvyšování energetické účinnosti.</w:t>
      </w:r>
      <w:r w:rsidRPr="008B53A9">
        <w:rPr>
          <w:rStyle w:val="Znakapoznpodarou"/>
        </w:rPr>
        <w:footnoteReference w:id="52"/>
      </w:r>
    </w:p>
    <w:p w:rsidR="00002031" w:rsidRPr="008B53A9" w:rsidRDefault="00002031" w:rsidP="008000BE">
      <w:pPr>
        <w:pStyle w:val="Titulek"/>
        <w:keepNext/>
        <w:keepLines/>
        <w:rPr>
          <w:rFonts w:cs="Calibri"/>
        </w:rPr>
      </w:pPr>
      <w:r w:rsidRPr="008B53A9">
        <w:rPr>
          <w:rFonts w:cs="Calibri"/>
        </w:rPr>
        <w:t xml:space="preserve">Tabulka </w:t>
      </w:r>
      <w:r w:rsidR="00F7325F" w:rsidRPr="008B53A9">
        <w:rPr>
          <w:rFonts w:cs="Calibri"/>
        </w:rPr>
        <w:fldChar w:fldCharType="begin"/>
      </w:r>
      <w:r w:rsidR="00F7325F" w:rsidRPr="008B53A9">
        <w:rPr>
          <w:rFonts w:cs="Calibri"/>
        </w:rPr>
        <w:instrText xml:space="preserve"> SEQ Tabulka \* ARABIC \r3 </w:instrText>
      </w:r>
      <w:r w:rsidR="00F7325F" w:rsidRPr="008B53A9">
        <w:rPr>
          <w:rFonts w:cs="Calibri"/>
        </w:rPr>
        <w:fldChar w:fldCharType="separate"/>
      </w:r>
      <w:r w:rsidR="00E54216" w:rsidRPr="008B53A9">
        <w:rPr>
          <w:rFonts w:cs="Calibri"/>
          <w:noProof/>
        </w:rPr>
        <w:t>3</w:t>
      </w:r>
      <w:r w:rsidR="00F7325F" w:rsidRPr="008B53A9">
        <w:rPr>
          <w:rFonts w:cs="Calibri"/>
        </w:rPr>
        <w:fldChar w:fldCharType="end"/>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68"/>
        <w:gridCol w:w="1248"/>
        <w:gridCol w:w="946"/>
        <w:gridCol w:w="1151"/>
        <w:gridCol w:w="885"/>
        <w:gridCol w:w="873"/>
        <w:gridCol w:w="1117"/>
        <w:gridCol w:w="975"/>
        <w:gridCol w:w="1063"/>
      </w:tblGrid>
      <w:tr w:rsidR="00CF739D" w:rsidRPr="008B53A9">
        <w:trPr>
          <w:trHeight w:hRule="exact" w:val="1297"/>
        </w:trPr>
        <w:tc>
          <w:tcPr>
            <w:tcW w:w="57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ID</w:t>
            </w:r>
          </w:p>
        </w:tc>
        <w:tc>
          <w:tcPr>
            <w:tcW w:w="669"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Ukazatel</w:t>
            </w:r>
          </w:p>
        </w:tc>
        <w:tc>
          <w:tcPr>
            <w:tcW w:w="50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Měrná</w:t>
            </w:r>
          </w:p>
          <w:p w:rsidR="00CF739D" w:rsidRPr="008B53A9" w:rsidRDefault="00CF739D" w:rsidP="008000BE">
            <w:pPr>
              <w:pStyle w:val="Tabulka"/>
              <w:keepNext/>
              <w:keepLines/>
              <w:rPr>
                <w:rFonts w:cs="Calibri"/>
                <w:b/>
                <w:bCs/>
                <w:lang w:val="cs-CZ" w:eastAsia="cs-CZ"/>
              </w:rPr>
            </w:pPr>
            <w:r w:rsidRPr="008B53A9">
              <w:rPr>
                <w:rFonts w:cs="Calibri"/>
                <w:b/>
                <w:bCs/>
                <w:lang w:val="cs-CZ" w:eastAsia="cs-CZ"/>
              </w:rPr>
              <w:t>jednotka</w:t>
            </w:r>
          </w:p>
        </w:tc>
        <w:tc>
          <w:tcPr>
            <w:tcW w:w="61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8000BE">
            <w:pPr>
              <w:pStyle w:val="Tabulka"/>
              <w:keepNext/>
              <w:keepLines/>
              <w:rPr>
                <w:rFonts w:cs="Calibri"/>
                <w:b/>
                <w:bCs/>
                <w:lang w:val="cs-CZ" w:eastAsia="cs-CZ"/>
              </w:rPr>
            </w:pPr>
            <w:r w:rsidRPr="008B53A9">
              <w:rPr>
                <w:rFonts w:cs="Calibri"/>
                <w:b/>
                <w:bCs/>
                <w:lang w:val="cs-CZ" w:eastAsia="cs-CZ"/>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keepNext/>
              <w:keepLines/>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599"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Cílová hodnota (2023)</w:t>
            </w:r>
          </w:p>
        </w:tc>
        <w:tc>
          <w:tcPr>
            <w:tcW w:w="52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Zdroj údajů</w:t>
            </w:r>
          </w:p>
        </w:tc>
        <w:tc>
          <w:tcPr>
            <w:tcW w:w="570"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8000BE">
            <w:pPr>
              <w:pStyle w:val="Tabulka"/>
              <w:keepNext/>
              <w:keepLines/>
              <w:rPr>
                <w:rFonts w:cs="Calibri"/>
                <w:b/>
                <w:bCs/>
                <w:lang w:val="cs-CZ" w:eastAsia="cs-CZ"/>
              </w:rPr>
            </w:pPr>
            <w:r w:rsidRPr="008B53A9">
              <w:rPr>
                <w:rFonts w:cs="Calibri"/>
                <w:b/>
                <w:bCs/>
                <w:lang w:val="cs-CZ" w:eastAsia="cs-CZ"/>
              </w:rPr>
              <w:t>Četnost podávání zpráv</w:t>
            </w:r>
          </w:p>
        </w:tc>
      </w:tr>
      <w:tr w:rsidR="00EC0F1D" w:rsidRPr="008B53A9">
        <w:trPr>
          <w:trHeight w:hRule="exact" w:val="1157"/>
        </w:trPr>
        <w:tc>
          <w:tcPr>
            <w:tcW w:w="573"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7E40DB" w:rsidP="00EC113F">
            <w:pPr>
              <w:pStyle w:val="Tabulka"/>
              <w:keepNext/>
              <w:keepLines/>
              <w:rPr>
                <w:rFonts w:cs="Calibri"/>
                <w:lang w:val="cs-CZ" w:eastAsia="cs-CZ"/>
              </w:rPr>
            </w:pPr>
            <w:r w:rsidRPr="008B53A9">
              <w:rPr>
                <w:rFonts w:cs="Calibri"/>
                <w:lang w:val="cs-CZ" w:eastAsia="cs-CZ"/>
              </w:rPr>
              <w:t>32200</w:t>
            </w:r>
          </w:p>
        </w:tc>
        <w:tc>
          <w:tcPr>
            <w:tcW w:w="669"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0C37B9" w:rsidP="008000BE">
            <w:pPr>
              <w:pStyle w:val="Tabulka"/>
              <w:keepNext/>
              <w:keepLines/>
              <w:jc w:val="left"/>
              <w:rPr>
                <w:rFonts w:cs="Calibri"/>
                <w:lang w:val="cs-CZ" w:eastAsia="cs-CZ"/>
              </w:rPr>
            </w:pPr>
            <w:r w:rsidRPr="008B53A9">
              <w:rPr>
                <w:rFonts w:cs="Calibri"/>
                <w:lang w:val="cs-CZ" w:eastAsia="cs-CZ"/>
              </w:rPr>
              <w:t>Čistá konečná spotřeba energie</w:t>
            </w:r>
          </w:p>
        </w:tc>
        <w:tc>
          <w:tcPr>
            <w:tcW w:w="507"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0C37B9" w:rsidP="008000BE">
            <w:pPr>
              <w:pStyle w:val="Tabulka"/>
              <w:keepNext/>
              <w:keepLines/>
              <w:rPr>
                <w:rFonts w:cs="Calibri"/>
                <w:lang w:val="cs-CZ" w:eastAsia="cs-CZ"/>
              </w:rPr>
            </w:pPr>
            <w:r w:rsidRPr="008B53A9">
              <w:rPr>
                <w:rFonts w:cs="Calibri"/>
                <w:lang w:val="cs-CZ" w:eastAsia="cs-CZ"/>
              </w:rPr>
              <w:t>TJ</w:t>
            </w:r>
          </w:p>
        </w:tc>
        <w:tc>
          <w:tcPr>
            <w:tcW w:w="617"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6C17A1" w:rsidP="008000BE">
            <w:pPr>
              <w:pStyle w:val="Tabulka"/>
              <w:keepNext/>
              <w:keepLines/>
              <w:rPr>
                <w:rFonts w:cs="Calibri"/>
                <w:lang w:val="cs-CZ" w:eastAsia="cs-CZ"/>
              </w:rPr>
            </w:pPr>
            <w:r w:rsidRPr="008B53A9">
              <w:rPr>
                <w:rFonts w:cs="Calibri"/>
                <w:lang w:val="cs-CZ" w:eastAsia="cs-CZ"/>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D502CC" w:rsidP="008000BE">
            <w:pPr>
              <w:pStyle w:val="Tabulka"/>
              <w:keepNext/>
              <w:keepLines/>
              <w:rPr>
                <w:rFonts w:cs="Calibri"/>
                <w:lang w:val="cs-CZ" w:eastAsia="cs-CZ"/>
              </w:rPr>
            </w:pPr>
            <w:r w:rsidRPr="008B53A9">
              <w:rPr>
                <w:rFonts w:cs="Calibri"/>
                <w:lang w:val="cs-CZ" w:eastAsia="cs-CZ"/>
              </w:rPr>
              <w:t>434</w:t>
            </w:r>
            <w:r w:rsidR="000C37B9" w:rsidRPr="008B53A9">
              <w:rPr>
                <w:rFonts w:cs="Calibri"/>
                <w:lang w:val="cs-CZ" w:eastAsia="cs-CZ"/>
              </w:rPr>
              <w:t xml:space="preserve"> </w:t>
            </w:r>
            <w:r w:rsidRPr="008B53A9">
              <w:rPr>
                <w:rFonts w:cs="Calibri"/>
                <w:lang w:val="cs-CZ" w:eastAsia="cs-CZ"/>
              </w:rPr>
              <w:t>000</w:t>
            </w:r>
          </w:p>
        </w:tc>
        <w:tc>
          <w:tcPr>
            <w:tcW w:w="468"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0C37B9" w:rsidP="00D502CC">
            <w:pPr>
              <w:pStyle w:val="Tabulka"/>
              <w:keepNext/>
              <w:keepLines/>
              <w:rPr>
                <w:rFonts w:cs="Calibri"/>
                <w:lang w:val="cs-CZ" w:eastAsia="cs-CZ"/>
              </w:rPr>
            </w:pPr>
            <w:r w:rsidRPr="008B53A9">
              <w:rPr>
                <w:rFonts w:cs="Calibri"/>
                <w:lang w:val="cs-CZ" w:eastAsia="cs-CZ"/>
              </w:rPr>
              <w:t>201</w:t>
            </w:r>
            <w:r w:rsidR="00D502CC" w:rsidRPr="008B53A9">
              <w:rPr>
                <w:rFonts w:cs="Calibri"/>
                <w:lang w:val="cs-CZ" w:eastAsia="cs-CZ"/>
              </w:rPr>
              <w:t>2</w:t>
            </w:r>
          </w:p>
        </w:tc>
        <w:tc>
          <w:tcPr>
            <w:tcW w:w="599"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D502CC" w:rsidP="008000BE">
            <w:pPr>
              <w:pStyle w:val="Tabulka"/>
              <w:keepNext/>
              <w:keepLines/>
              <w:rPr>
                <w:rFonts w:cs="Calibri"/>
                <w:lang w:val="cs-CZ" w:eastAsia="cs-CZ"/>
              </w:rPr>
            </w:pPr>
            <w:r w:rsidRPr="008B53A9">
              <w:rPr>
                <w:rFonts w:cs="Calibri"/>
                <w:lang w:val="cs-CZ" w:eastAsia="cs-CZ"/>
              </w:rPr>
              <w:t>455</w:t>
            </w:r>
            <w:r w:rsidR="000C37B9" w:rsidRPr="008B53A9">
              <w:rPr>
                <w:rFonts w:cs="Calibri"/>
                <w:lang w:val="cs-CZ" w:eastAsia="cs-CZ"/>
              </w:rPr>
              <w:t xml:space="preserve"> 000</w:t>
            </w:r>
          </w:p>
        </w:tc>
        <w:tc>
          <w:tcPr>
            <w:tcW w:w="523"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AC072C" w:rsidP="008000BE">
            <w:pPr>
              <w:pStyle w:val="Tabulka"/>
              <w:keepNext/>
              <w:keepLines/>
              <w:rPr>
                <w:rFonts w:cs="Calibri"/>
                <w:lang w:val="cs-CZ" w:eastAsia="cs-CZ"/>
              </w:rPr>
            </w:pPr>
            <w:r w:rsidRPr="008B53A9">
              <w:rPr>
                <w:rFonts w:cs="Calibri"/>
                <w:lang w:val="cs-CZ" w:eastAsia="cs-CZ"/>
              </w:rPr>
              <w:t>MPO, ČSÚ</w:t>
            </w:r>
          </w:p>
        </w:tc>
        <w:tc>
          <w:tcPr>
            <w:tcW w:w="570" w:type="pct"/>
            <w:tcBorders>
              <w:top w:val="single" w:sz="4" w:space="0" w:color="000000"/>
              <w:left w:val="single" w:sz="4" w:space="0" w:color="000000"/>
              <w:bottom w:val="single" w:sz="4" w:space="0" w:color="000000"/>
              <w:right w:val="single" w:sz="4" w:space="0" w:color="000000"/>
            </w:tcBorders>
            <w:vAlign w:val="center"/>
          </w:tcPr>
          <w:p w:rsidR="00EC0F1D" w:rsidRPr="008B53A9" w:rsidRDefault="000C37B9" w:rsidP="008000BE">
            <w:pPr>
              <w:pStyle w:val="Tabulka"/>
              <w:keepNext/>
              <w:keepLines/>
              <w:rPr>
                <w:rFonts w:cs="Calibri"/>
                <w:lang w:val="cs-CZ" w:eastAsia="cs-CZ"/>
              </w:rPr>
            </w:pPr>
            <w:r w:rsidRPr="008B53A9">
              <w:rPr>
                <w:rFonts w:cs="Calibri"/>
                <w:lang w:val="cs-CZ" w:eastAsia="cs-CZ"/>
              </w:rPr>
              <w:t>ročně</w:t>
            </w:r>
          </w:p>
        </w:tc>
      </w:tr>
    </w:tbl>
    <w:p w:rsidR="00AA66A2" w:rsidRPr="008B53A9" w:rsidRDefault="00AA66A2" w:rsidP="005F43DF">
      <w:pPr>
        <w:pStyle w:val="kapitola2A0"/>
        <w:numPr>
          <w:ilvl w:val="2"/>
          <w:numId w:val="71"/>
        </w:numPr>
      </w:pPr>
      <w:bookmarkStart w:id="66" w:name="_Toc391539634"/>
      <w:r w:rsidRPr="008B53A9">
        <w:t>Opatření, jež má být podpořeno v rámci investiční priority</w:t>
      </w:r>
      <w:bookmarkEnd w:id="66"/>
    </w:p>
    <w:p w:rsidR="0058402E" w:rsidRPr="008B53A9" w:rsidRDefault="00D479AF" w:rsidP="005F43DF">
      <w:pPr>
        <w:pStyle w:val="Nadpis5"/>
        <w:numPr>
          <w:ilvl w:val="4"/>
          <w:numId w:val="21"/>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58402E" w:rsidRPr="008B53A9" w:rsidRDefault="00177462" w:rsidP="0056661C">
      <w:pPr>
        <w:pStyle w:val="Standardntext"/>
        <w:rPr>
          <w:b/>
        </w:rPr>
      </w:pPr>
      <w:r w:rsidRPr="008B53A9">
        <w:rPr>
          <w:b/>
        </w:rPr>
        <w:t>Indikativní výčet podporovaných aktivit:</w:t>
      </w:r>
      <w:r w:rsidR="0058402E" w:rsidRPr="008B53A9">
        <w:rPr>
          <w:b/>
        </w:rPr>
        <w:t xml:space="preserve"> </w:t>
      </w:r>
    </w:p>
    <w:p w:rsidR="00334BD2" w:rsidRPr="008B53A9" w:rsidRDefault="00622C4A" w:rsidP="00334BD2">
      <w:pPr>
        <w:pStyle w:val="Standardntext"/>
        <w:numPr>
          <w:ilvl w:val="0"/>
          <w:numId w:val="8"/>
        </w:numPr>
      </w:pPr>
      <w:r w:rsidRPr="008B53A9">
        <w:rPr>
          <w:lang w:val="cs-CZ"/>
        </w:rPr>
        <w:t>Modernizace</w:t>
      </w:r>
      <w:r w:rsidR="00334BD2" w:rsidRPr="008B53A9">
        <w:t xml:space="preserve"> a rekonstrukce rozvodů elektřiny, plynu a tepla v budovách a v energetických hospodářstvích výrobních závodů za účelem zvýšení účinnosti</w:t>
      </w:r>
    </w:p>
    <w:p w:rsidR="0058402E" w:rsidRPr="008B53A9" w:rsidRDefault="0058402E" w:rsidP="005F43DF">
      <w:pPr>
        <w:pStyle w:val="Standardntext"/>
        <w:numPr>
          <w:ilvl w:val="0"/>
          <w:numId w:val="8"/>
        </w:numPr>
      </w:pPr>
      <w:r w:rsidRPr="008B53A9">
        <w:t>zavádění a modernizace systémů měření a regulace,</w:t>
      </w:r>
    </w:p>
    <w:p w:rsidR="0058402E" w:rsidRPr="008B53A9" w:rsidRDefault="0058402E" w:rsidP="005F43DF">
      <w:pPr>
        <w:pStyle w:val="Standardntext"/>
        <w:numPr>
          <w:ilvl w:val="0"/>
          <w:numId w:val="8"/>
        </w:numPr>
      </w:pPr>
      <w:r w:rsidRPr="008B53A9">
        <w:t>modernizace, rekonstrukce a snižování ztrát v rozvodech elektřiny a tepla,</w:t>
      </w:r>
      <w:r w:rsidR="004B2602" w:rsidRPr="008B53A9">
        <w:t xml:space="preserve"> v budovách a výrobních závodech,</w:t>
      </w:r>
    </w:p>
    <w:p w:rsidR="0058402E" w:rsidRPr="008B53A9" w:rsidRDefault="00322C22" w:rsidP="005F43DF">
      <w:pPr>
        <w:pStyle w:val="Standardntext"/>
        <w:numPr>
          <w:ilvl w:val="0"/>
          <w:numId w:val="8"/>
        </w:numPr>
      </w:pPr>
      <w:r w:rsidRPr="008B53A9">
        <w:t xml:space="preserve">realizace opatření ke snižování </w:t>
      </w:r>
      <w:r w:rsidR="00A22765" w:rsidRPr="008B53A9">
        <w:t xml:space="preserve">energetické náročnosti budov v podnikatelském sektoru (zateplení obvodového pláště, výměna a renovace otvorových výplní, další stavební </w:t>
      </w:r>
      <w:r w:rsidR="00A22765" w:rsidRPr="008B53A9">
        <w:lastRenderedPageBreak/>
        <w:t>opatření mající prokazatelně vliv na energetickou náročnost budovy, instalace vzduchotechniky</w:t>
      </w:r>
      <w:r w:rsidR="0056661C" w:rsidRPr="008B53A9">
        <w:t xml:space="preserve"> s rekuperací odpadního tepla</w:t>
      </w:r>
      <w:r w:rsidR="00A22765" w:rsidRPr="008B53A9">
        <w:t>)</w:t>
      </w:r>
      <w:r w:rsidR="0058402E" w:rsidRPr="008B53A9">
        <w:t>,</w:t>
      </w:r>
    </w:p>
    <w:p w:rsidR="0058402E" w:rsidRPr="008B53A9" w:rsidRDefault="0058402E" w:rsidP="005F43DF">
      <w:pPr>
        <w:pStyle w:val="Standardntext"/>
        <w:numPr>
          <w:ilvl w:val="0"/>
          <w:numId w:val="8"/>
        </w:numPr>
      </w:pPr>
      <w:r w:rsidRPr="008B53A9">
        <w:t>využití odpadní energie ve výrobních procesech,</w:t>
      </w:r>
    </w:p>
    <w:p w:rsidR="0058402E" w:rsidRPr="008B53A9" w:rsidRDefault="0058402E" w:rsidP="005F43DF">
      <w:pPr>
        <w:pStyle w:val="Standardntext"/>
        <w:numPr>
          <w:ilvl w:val="0"/>
          <w:numId w:val="8"/>
        </w:numPr>
      </w:pPr>
      <w:r w:rsidRPr="008B53A9">
        <w:t>snižování energetické náročnosti/zvyšování energetické účinnosti výrobních a technologických procesů</w:t>
      </w:r>
      <w:r w:rsidR="0056661C" w:rsidRPr="008B53A9">
        <w:t>,</w:t>
      </w:r>
    </w:p>
    <w:p w:rsidR="0056661C" w:rsidRPr="008B53A9" w:rsidRDefault="0056661C" w:rsidP="005F43DF">
      <w:pPr>
        <w:pStyle w:val="Standardntext"/>
        <w:numPr>
          <w:ilvl w:val="0"/>
          <w:numId w:val="8"/>
        </w:numPr>
      </w:pPr>
      <w:r w:rsidRPr="008B53A9">
        <w:t>instalace OZE pro vlastní spotřebu podniku,</w:t>
      </w:r>
    </w:p>
    <w:p w:rsidR="0056661C" w:rsidRPr="008B53A9" w:rsidRDefault="0056661C" w:rsidP="005F43DF">
      <w:pPr>
        <w:pStyle w:val="Standardntext"/>
        <w:numPr>
          <w:ilvl w:val="0"/>
          <w:numId w:val="8"/>
        </w:numPr>
      </w:pPr>
      <w:r w:rsidRPr="008B53A9">
        <w:t>instalace kogenerační jednotky s maximálním využití</w:t>
      </w:r>
      <w:r w:rsidR="001900F1" w:rsidRPr="008B53A9">
        <w:t>m</w:t>
      </w:r>
      <w:r w:rsidRPr="008B53A9">
        <w:t xml:space="preserve"> elektrické a tepelné energ</w:t>
      </w:r>
      <w:r w:rsidR="00B36879" w:rsidRPr="008B53A9">
        <w:t>ie pro vlastní spotřebu podniku,</w:t>
      </w:r>
    </w:p>
    <w:p w:rsidR="00B36879" w:rsidRPr="008B53A9" w:rsidRDefault="00B36879" w:rsidP="005F43DF">
      <w:pPr>
        <w:pStyle w:val="Standardntext"/>
        <w:numPr>
          <w:ilvl w:val="0"/>
          <w:numId w:val="8"/>
        </w:numPr>
      </w:pPr>
      <w:r w:rsidRPr="008B53A9">
        <w:t xml:space="preserve">podpora vícenákladů na dosažení standardu budovy s téměř nulovou spotřebou a pasivního energetického standardu v případě </w:t>
      </w:r>
      <w:r w:rsidR="004B2602" w:rsidRPr="008B53A9">
        <w:t xml:space="preserve">rekonstrukce či </w:t>
      </w:r>
      <w:r w:rsidRPr="008B53A9">
        <w:t xml:space="preserve">výstavby nových </w:t>
      </w:r>
      <w:r w:rsidR="004B2602" w:rsidRPr="008B53A9">
        <w:t xml:space="preserve">podnikatelských </w:t>
      </w:r>
      <w:r w:rsidRPr="008B53A9">
        <w:t>budov. Vícenáklady budou odvozeny od modelových příkladů a pro účely podpory stanoveny jako pevná částka na jasně měřitelnou veličinu (např. na metr čtvereční energeticky vztažné plochy).</w:t>
      </w:r>
    </w:p>
    <w:p w:rsidR="00FF7D38" w:rsidRPr="008B53A9" w:rsidRDefault="009D1769" w:rsidP="00627F71">
      <w:pPr>
        <w:pStyle w:val="Standardntext"/>
      </w:pPr>
      <w:r w:rsidRPr="008B53A9">
        <w:t>V rámci tohoto specifického cíle budou v maximální míře aplikovány zkušenosti</w:t>
      </w:r>
      <w:r w:rsidR="003D3A17" w:rsidRPr="008B53A9">
        <w:t xml:space="preserve"> (</w:t>
      </w:r>
      <w:r w:rsidRPr="008B53A9">
        <w:t>„good practices“</w:t>
      </w:r>
      <w:r w:rsidR="003D3A17" w:rsidRPr="008B53A9">
        <w:t>)</w:t>
      </w:r>
      <w:r w:rsidRPr="008B53A9">
        <w:t xml:space="preserve"> z programovacího období 2007 - 2013, konkrétně z prioritní osy 3 OPPI, oblasti podpory </w:t>
      </w:r>
      <w:r w:rsidRPr="008B53A9">
        <w:rPr>
          <w:i/>
        </w:rPr>
        <w:t>Efektivní energie</w:t>
      </w:r>
      <w:r w:rsidRPr="008B53A9">
        <w:t xml:space="preserve">. </w:t>
      </w:r>
      <w:r w:rsidR="00627F71" w:rsidRPr="008B53A9">
        <w:t xml:space="preserve">Vzhledem k dlouhodobé poptávce ze strany podnikatelských subjektů z předchozího programovacího období budou realizována zejména níže uvedená úsporná </w:t>
      </w:r>
      <w:r w:rsidR="00FF7D38" w:rsidRPr="008B53A9">
        <w:t>opatření. Jedná se např. o zateplování vnitřních a vnějších obálek budov, výměna starých kotlů na uhlí, nebo mazuty za nové kotle na biomasu či instalace tepelných čerpadel, také instalace solárních kolektorů na ohřev vody, výměna oken, vrat, využití odpadního tepla v průmyslových procesech, rekonstrukce tepelných</w:t>
      </w:r>
      <w:r w:rsidR="00334BD2" w:rsidRPr="008B53A9">
        <w:t xml:space="preserve">, plynových </w:t>
      </w:r>
      <w:r w:rsidR="00FF7D38" w:rsidRPr="008B53A9">
        <w:t>i elekt</w:t>
      </w:r>
      <w:r w:rsidR="00C776B7" w:rsidRPr="008B53A9">
        <w:t>rických rozvodů v rámci podniku</w:t>
      </w:r>
      <w:r w:rsidR="00FF7D38" w:rsidRPr="008B53A9">
        <w:t xml:space="preserve"> atd.</w:t>
      </w:r>
    </w:p>
    <w:p w:rsidR="00627F71" w:rsidRPr="008B53A9" w:rsidRDefault="00627F71" w:rsidP="00627F71">
      <w:pPr>
        <w:pStyle w:val="Standardntext"/>
      </w:pPr>
      <w:r w:rsidRPr="008B53A9">
        <w:t>Výše uvedená opatření budou realizována samostatně či jako souhrn několika opatření (komplexní projekty) dle doporučení vyplývající z energetického auditu. Způsobilé výdaje budou veškeré investiční náklady mající vliv na úsporu energie, stavební náklady, pořízení technologie, zpracování projektové dokumentace a energetického auditu atd.</w:t>
      </w:r>
    </w:p>
    <w:p w:rsidR="00FF7D38" w:rsidRPr="008B53A9" w:rsidRDefault="00C776B7" w:rsidP="00FF7D38">
      <w:pPr>
        <w:pStyle w:val="Standardntext"/>
      </w:pPr>
      <w:r w:rsidRPr="008B53A9">
        <w:t xml:space="preserve">Výstupy </w:t>
      </w:r>
      <w:r w:rsidR="00FF7D38" w:rsidRPr="008B53A9">
        <w:t xml:space="preserve">všech těchto opatření </w:t>
      </w:r>
      <w:r w:rsidR="00E37DD9" w:rsidRPr="008B53A9">
        <w:t xml:space="preserve">představují </w:t>
      </w:r>
      <w:r w:rsidRPr="008B53A9">
        <w:t xml:space="preserve">zásadní příspěvek k naplnění směrnice 2012/27/EU o energetické účinnosti, což je </w:t>
      </w:r>
      <w:r w:rsidR="00E37DD9" w:rsidRPr="008B53A9">
        <w:t>i výsledkem</w:t>
      </w:r>
      <w:r w:rsidRPr="008B53A9">
        <w:t xml:space="preserve"> tohoto specifického cíle.</w:t>
      </w:r>
    </w:p>
    <w:p w:rsidR="0058402E" w:rsidRPr="008B53A9" w:rsidRDefault="0058402E" w:rsidP="001D35B1">
      <w:pPr>
        <w:pStyle w:val="Standardntext"/>
      </w:pPr>
      <w:r w:rsidRPr="008B53A9">
        <w:rPr>
          <w:b/>
        </w:rPr>
        <w:t xml:space="preserve">Hlavní cílová skupina: </w:t>
      </w:r>
      <w:r w:rsidR="00127389" w:rsidRPr="008B53A9">
        <w:t>P</w:t>
      </w:r>
      <w:r w:rsidRPr="008B53A9">
        <w:t>odnikatelé z oblasti především MSP,</w:t>
      </w:r>
      <w:r w:rsidR="00A22765" w:rsidRPr="008B53A9">
        <w:t xml:space="preserve"> ale i možných velkých podniků.</w:t>
      </w:r>
    </w:p>
    <w:p w:rsidR="0058402E" w:rsidRPr="008B53A9" w:rsidRDefault="0058402E" w:rsidP="001D35B1">
      <w:pPr>
        <w:pStyle w:val="Standardntext"/>
        <w:rPr>
          <w:color w:val="FF0000"/>
        </w:rPr>
      </w:pPr>
      <w:r w:rsidRPr="008B53A9">
        <w:rPr>
          <w:b/>
        </w:rPr>
        <w:t xml:space="preserve">Cílové území: </w:t>
      </w:r>
      <w:r w:rsidR="001E0AA2" w:rsidRPr="008B53A9">
        <w:t xml:space="preserve">Území České republiky, </w:t>
      </w:r>
      <w:r w:rsidR="000D70DC" w:rsidRPr="008B53A9">
        <w:t xml:space="preserve">včetně hl. m. Prahy za využití čl. 70 obecného nařízení. Dle přílohy Územní energetické koncepce města Prahy je největší potenciál úspory v oblasti průmyslu, kde je technický potenciál úspor energie odhadnut až ve výši 5,2 PJ. </w:t>
      </w:r>
      <w:r w:rsidR="00015039" w:rsidRPr="008B53A9">
        <w:t>Předpokládá se plošné směrování intervencí bez vymezení územní dimenze (bude vymezeno sektory průmyslové činnosti).</w:t>
      </w:r>
    </w:p>
    <w:p w:rsidR="00545498" w:rsidRPr="008B53A9" w:rsidRDefault="00545498" w:rsidP="00627F71">
      <w:pPr>
        <w:pStyle w:val="Standardntext"/>
      </w:pPr>
      <w:r w:rsidRPr="008B53A9">
        <w:rPr>
          <w:b/>
        </w:rPr>
        <w:t xml:space="preserve">Typy příjemců: </w:t>
      </w:r>
      <w:r w:rsidRPr="008B53A9">
        <w:t>Podnikatelské subjekty (malé, střední a případně velké podniky); pro intervence v oblasti úspor energie (zateplování výrobních a podnikatelských objektů</w:t>
      </w:r>
      <w:r w:rsidR="00112C3A" w:rsidRPr="008B53A9">
        <w:t>, komplexní řešení úspor energie</w:t>
      </w:r>
      <w:r w:rsidRPr="008B53A9">
        <w:t>) rovněž zemědělští podnikatelé, podnikatelé v potravinářství, a maloobchodní organizace</w:t>
      </w:r>
      <w:r w:rsidR="00E24193" w:rsidRPr="008B53A9">
        <w:t>, podnikatelé v oblasti akvakultury</w:t>
      </w:r>
      <w:r w:rsidRPr="008B53A9">
        <w:t>.</w:t>
      </w:r>
      <w:r w:rsidR="00627F71" w:rsidRPr="008B53A9">
        <w:t xml:space="preserve"> </w:t>
      </w:r>
    </w:p>
    <w:p w:rsidR="00627F71" w:rsidRPr="008B53A9" w:rsidRDefault="00627F71" w:rsidP="00627F71">
      <w:pPr>
        <w:pStyle w:val="Standardntext"/>
      </w:pPr>
      <w:r w:rsidRPr="008B53A9">
        <w:t xml:space="preserve">K začlenění velkých podniků mezi podporované typy příjemců (dle čl. 3 odst. 1 písm. b) nařízení o EFRR) je nutné upozornit na specifickou situaci České republiky, tj. vysoký podíl velkých firem vzhledem ke struktuře ekonomiky a nadprůměrný podíl průmyslu a jeho dlouhodobý význam a tradice. Vzhledem k tomuto vysokému podílu velkých podniků a </w:t>
      </w:r>
      <w:r w:rsidRPr="008B53A9">
        <w:lastRenderedPageBreak/>
        <w:t>zejména jejich značnému potenciálu úspory energie je nezbytné jejich začlenění mezi podporované subjekty. Vyloučení či omezení podpory velkých podniků může ohrozit splnění směrnice o energetické účinnosti pro ČR a tím pádem i plnění společných cílů EU v oblasti energetické účinnosti.</w:t>
      </w:r>
    </w:p>
    <w:p w:rsidR="0058402E" w:rsidRPr="008B53A9" w:rsidRDefault="00627F71" w:rsidP="00627F71">
      <w:pPr>
        <w:pStyle w:val="Standardntext"/>
      </w:pPr>
      <w:r w:rsidRPr="008B53A9">
        <w:t xml:space="preserve">V souvislosti s podporou velkých podniků je také důležité zmínit, že při realizaci projektů (např. při zpracování projektové dokumentace, samotných stavebních pracích či různých dodávkách zařízení) se vytváří prostor pro dodávky či subdodávky ze strany MSP, a tudíž podpora velkých podniků </w:t>
      </w:r>
      <w:r w:rsidR="009D1769" w:rsidRPr="008B53A9">
        <w:t>má pozitivní efekty i pro sektor MSP</w:t>
      </w:r>
      <w:r w:rsidRPr="008B53A9">
        <w:t>.</w:t>
      </w:r>
    </w:p>
    <w:p w:rsidR="0058402E" w:rsidRPr="008B53A9" w:rsidRDefault="00BA6461" w:rsidP="005F43DF">
      <w:pPr>
        <w:pStyle w:val="Nadpis5"/>
        <w:numPr>
          <w:ilvl w:val="4"/>
          <w:numId w:val="21"/>
        </w:numPr>
      </w:pPr>
      <w:r w:rsidRPr="008B53A9">
        <w:t>Hlavní zásady pro výběr operací</w:t>
      </w:r>
    </w:p>
    <w:p w:rsidR="0042487A" w:rsidRPr="008B53A9" w:rsidRDefault="00A22765" w:rsidP="0042487A">
      <w:pPr>
        <w:pStyle w:val="Standardntext"/>
      </w:pPr>
      <w:r w:rsidRPr="008B53A9">
        <w:t xml:space="preserve">V rámci této investiční priority budou vyhlašovány výzvy na předkládání individuálních projektů. </w:t>
      </w:r>
      <w:r w:rsidR="00855A0B" w:rsidRPr="008B53A9">
        <w:t>Předložené projekty budou  nejdříve posuzovány ze strany řídícího orgánu / zprostředkujícího subjektu z pohledu jejich souladu s podmínkami daného programu podpory.</w:t>
      </w:r>
      <w:r w:rsidRPr="008B53A9">
        <w:t xml:space="preserve"> Projektové žádosti, které úspěšně projdou tímto procesem, bu</w:t>
      </w:r>
      <w:r w:rsidR="00627F71" w:rsidRPr="008B53A9">
        <w:t xml:space="preserve">dou následně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w:t>
      </w:r>
      <w:r w:rsidR="006B1736" w:rsidRPr="008B53A9">
        <w:t>kritérií odpovídajících charakteru</w:t>
      </w:r>
      <w:r w:rsidRPr="008B53A9">
        <w:t xml:space="preserve"> jednotlivých specifických cílů. </w:t>
      </w:r>
      <w:r w:rsidR="00952A8B" w:rsidRPr="008B53A9">
        <w:t xml:space="preserve">Ve finální fázi hodnocení </w:t>
      </w:r>
      <w:r w:rsidRPr="008B53A9">
        <w:t xml:space="preserve">budou doporučené projekty posuzovány hodnotitelskou komisí, která bude tvořena zástupci ŘO a dalšími relevantními partnery </w:t>
      </w:r>
      <w:r w:rsidR="00963119" w:rsidRPr="008B53A9">
        <w:t xml:space="preserve">a experty </w:t>
      </w:r>
      <w:r w:rsidRPr="008B53A9">
        <w:t xml:space="preserve">na </w:t>
      </w:r>
      <w:r w:rsidR="00F77E1E" w:rsidRPr="008B53A9">
        <w:t>danou problematiku</w:t>
      </w:r>
      <w:r w:rsidR="003D3A17" w:rsidRPr="008B53A9">
        <w:t>, popř. r</w:t>
      </w:r>
      <w:r w:rsidR="00F77E1E" w:rsidRPr="008B53A9">
        <w:t>egionálními partnery</w:t>
      </w:r>
      <w:r w:rsidR="003D3A17" w:rsidRPr="008B53A9">
        <w:t xml:space="preserve">. </w:t>
      </w:r>
      <w:r w:rsidR="0020084D" w:rsidRPr="008B53A9">
        <w:t xml:space="preserve">Výběr </w:t>
      </w:r>
      <w:r w:rsidR="002730C3" w:rsidRPr="008B53A9">
        <w:t>odborných hodnotitelů</w:t>
      </w:r>
      <w:r w:rsidR="0020084D"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20084D" w:rsidRPr="008B53A9">
        <w:rPr>
          <w:rStyle w:val="Znakapoznpodarou"/>
        </w:rPr>
        <w:footnoteReference w:id="53"/>
      </w:r>
      <w:r w:rsidR="0020084D" w:rsidRPr="008B53A9">
        <w:t xml:space="preserve"> Hodnotitelé budou průběžně školeni tak, aby byl zajištěn jejich rovný přístup ke všem projektům. </w:t>
      </w:r>
      <w:r w:rsidR="0042487A" w:rsidRPr="008B53A9">
        <w:t>Tento systém bude nastaven maximálně transparentně, s cílem zajistit kvalitní a objektivní hodnocení projektů, a realizací schválených projektů dosažení stanovených cílů programu.</w:t>
      </w:r>
    </w:p>
    <w:p w:rsidR="00B12F31" w:rsidRPr="008B53A9" w:rsidRDefault="00B12F31" w:rsidP="00B12F31">
      <w:pPr>
        <w:pStyle w:val="Standardntext"/>
      </w:pPr>
      <w:r w:rsidRPr="008B53A9">
        <w:t>V rámci výběru a hodnocení projektů budou posuzována především následující kritéria:</w:t>
      </w:r>
    </w:p>
    <w:p w:rsidR="00B12F31" w:rsidRPr="008B53A9" w:rsidRDefault="00B12F31" w:rsidP="005F43DF">
      <w:pPr>
        <w:pStyle w:val="Standardntext"/>
        <w:numPr>
          <w:ilvl w:val="0"/>
          <w:numId w:val="44"/>
        </w:numPr>
      </w:pPr>
      <w:r w:rsidRPr="008B53A9">
        <w:t xml:space="preserve">Kvalita a potřebnost </w:t>
      </w:r>
      <w:r w:rsidR="00C0640C" w:rsidRPr="008B53A9">
        <w:t xml:space="preserve">projektu </w:t>
      </w:r>
      <w:r w:rsidRPr="008B53A9">
        <w:t xml:space="preserve">s ohledem na </w:t>
      </w:r>
      <w:r w:rsidR="00DC4382" w:rsidRPr="008B53A9">
        <w:t>jeho</w:t>
      </w:r>
      <w:r w:rsidRPr="008B53A9">
        <w:t xml:space="preserve"> ekologické příno</w:t>
      </w:r>
      <w:r w:rsidR="00DC4382" w:rsidRPr="008B53A9">
        <w:t>sy a nově zavedené technologie; z</w:t>
      </w:r>
      <w:r w:rsidRPr="008B53A9">
        <w:t>ejména bude kladen důraz na poměr investičních nákladů k úspoře energii a redukci emisí znečišťujících látek.</w:t>
      </w:r>
    </w:p>
    <w:p w:rsidR="00B12F31" w:rsidRPr="008B53A9" w:rsidRDefault="00B12F31"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B12F31" w:rsidRPr="008B53A9" w:rsidRDefault="00B12F31" w:rsidP="005F43DF">
      <w:pPr>
        <w:pStyle w:val="Standardntext"/>
        <w:numPr>
          <w:ilvl w:val="0"/>
          <w:numId w:val="44"/>
        </w:numPr>
      </w:pPr>
      <w:r w:rsidRPr="008B53A9">
        <w:t>Vliv projektu na oblast klimatu a ovzduší. Nad rámec výše uvedených indikátorů specifického cíle bude na projektové úrovni interně monitorován vliv daného projektu na oblast klimatu prostřednictvím indikátoru „Snížení emisí CO2“ a dále na vliv na oblast ovzduší prostřednictvím indikátoru „</w:t>
      </w:r>
      <w:r w:rsidR="00FB1FDE" w:rsidRPr="008B53A9">
        <w:t>Snížení emisí primárních částic a prekurzorů sekundárních částic</w:t>
      </w:r>
      <w:r w:rsidRPr="008B53A9">
        <w:t xml:space="preserve">“. Tyto </w:t>
      </w:r>
      <w:r w:rsidR="00032047" w:rsidRPr="008B53A9">
        <w:t xml:space="preserve">environmentální </w:t>
      </w:r>
      <w:r w:rsidRPr="008B53A9">
        <w:t>indikátory budou dále agregovány pro potřeby Dohody o partnerství.</w:t>
      </w:r>
    </w:p>
    <w:p w:rsidR="00B12F31" w:rsidRPr="008B53A9" w:rsidRDefault="00B12F31" w:rsidP="005F43DF">
      <w:pPr>
        <w:pStyle w:val="Standardntext"/>
        <w:numPr>
          <w:ilvl w:val="0"/>
          <w:numId w:val="44"/>
        </w:numPr>
      </w:pPr>
      <w:r w:rsidRPr="008B53A9">
        <w:lastRenderedPageBreak/>
        <w:t xml:space="preserve">Projekt musí splňovat požadavky </w:t>
      </w:r>
      <w:r w:rsidR="00A808D6" w:rsidRPr="008B53A9">
        <w:t>na úrovni kladené spodní polovinou intervalu nejlepších dostupných technik</w:t>
      </w:r>
      <w:r w:rsidR="00A808D6" w:rsidRPr="008B53A9" w:rsidDel="00A808D6">
        <w:t xml:space="preserve"> </w:t>
      </w:r>
      <w:r w:rsidRPr="008B53A9">
        <w:rPr>
          <w:rStyle w:val="Znakapoznpodarou"/>
        </w:rPr>
        <w:footnoteReference w:id="54"/>
      </w:r>
      <w:r w:rsidRPr="008B53A9">
        <w:t>.</w:t>
      </w:r>
    </w:p>
    <w:p w:rsidR="001B4E71" w:rsidRPr="008B53A9" w:rsidRDefault="001B4E71" w:rsidP="005F43DF">
      <w:pPr>
        <w:pStyle w:val="Standardntext"/>
        <w:numPr>
          <w:ilvl w:val="0"/>
          <w:numId w:val="44"/>
        </w:numPr>
      </w:pPr>
      <w:r w:rsidRPr="008B53A9">
        <w:t>Projekt musí splnit nákladově optimální úroveň, která bude stanovena v prováděcí dokumentaci.</w:t>
      </w:r>
    </w:p>
    <w:p w:rsidR="00B12F31" w:rsidRPr="008B53A9" w:rsidRDefault="00B12F31" w:rsidP="005F43DF">
      <w:pPr>
        <w:pStyle w:val="Standardntext"/>
        <w:numPr>
          <w:ilvl w:val="0"/>
          <w:numId w:val="44"/>
        </w:numPr>
      </w:pPr>
      <w:r w:rsidRPr="008B53A9">
        <w:t xml:space="preserve">Součástí projektu musí být energetický audit. </w:t>
      </w:r>
    </w:p>
    <w:p w:rsidR="00B12F31" w:rsidRPr="008B53A9" w:rsidRDefault="00B12F31" w:rsidP="005F43DF">
      <w:pPr>
        <w:pStyle w:val="Standardntext"/>
        <w:numPr>
          <w:ilvl w:val="0"/>
          <w:numId w:val="44"/>
        </w:numPr>
      </w:pPr>
      <w:r w:rsidRPr="008B53A9">
        <w:t>Žadatel nesmí mít právní formu akciové společnosti s listinnými akciemi na majitele.</w:t>
      </w:r>
    </w:p>
    <w:p w:rsidR="00832CB9" w:rsidRPr="008B53A9" w:rsidRDefault="00832CB9" w:rsidP="005F43DF">
      <w:pPr>
        <w:pStyle w:val="Standardntext"/>
        <w:numPr>
          <w:ilvl w:val="0"/>
          <w:numId w:val="44"/>
        </w:numPr>
      </w:pPr>
      <w:r w:rsidRPr="008B53A9">
        <w:t>V případě podpory formou finančních nástrojů bude výběr operací proveden podle zásad uvedených v bodě 2.A.6.3.</w:t>
      </w:r>
    </w:p>
    <w:p w:rsidR="0058402E" w:rsidRPr="008B53A9" w:rsidRDefault="00BA6461" w:rsidP="005F43DF">
      <w:pPr>
        <w:pStyle w:val="Nadpis5"/>
        <w:numPr>
          <w:ilvl w:val="4"/>
          <w:numId w:val="21"/>
        </w:numPr>
        <w:rPr>
          <w:rFonts w:cs="Calibri"/>
        </w:rPr>
      </w:pPr>
      <w:r w:rsidRPr="008B53A9">
        <w:t>Plánované využití finančních nástrojů (použije-li se)</w:t>
      </w:r>
    </w:p>
    <w:p w:rsidR="0058402E" w:rsidRPr="008B53A9" w:rsidRDefault="00352703" w:rsidP="002A4D1D">
      <w:pPr>
        <w:pStyle w:val="Standardntext"/>
      </w:pPr>
      <w:r w:rsidRPr="008B53A9">
        <w:t>Při provádění této investiční priority budou koneční příjemci podpořeni finančními nástroji ve formě poskytování úvěrů kombinovaných s granty</w:t>
      </w:r>
      <w:r w:rsidR="008C5E50" w:rsidRPr="008B53A9">
        <w:t>, zejména na technickou podporu přípravy investice konečného příjemce v souladu s čl. 5 nařízení Komise v přenesené pravomoci (EU) č. 480 2014 ze dne 3. března 2014 a/</w:t>
      </w:r>
      <w:r w:rsidRPr="008B53A9">
        <w:t xml:space="preserve">nebo subvencemi úrokových sazeb podle čl. 37 odst. 7 obecného nařízení. </w:t>
      </w:r>
      <w:r w:rsidR="008C5E50" w:rsidRPr="008B53A9">
        <w:t xml:space="preserve">Grant na technickou podporu konečného příjemce bude financován ze zdrojů specifického cíle 3.2. </w:t>
      </w:r>
      <w:r w:rsidRPr="008B53A9">
        <w:t>V souladu s čl. 38 odst. 1 písm. b) obecného nařízení půjde o finanční nástroje zřízené na celostátní úrovni. Pro řízení finančních nástrojů ŘO OP PIK využije možnosti investovat do kapitálu stávajících nebo nově vytvořených právnických osob, které se ujmou prováděcích úkolů podle čl. 38 odst. 4 písm. a) nebo prováděcí úkoly svěří podle čl. 38 odst. 4 písm. b) obecného nařízení. Implementace finančních nástrojů zahrne fond fondů</w:t>
      </w:r>
      <w:r w:rsidR="008C5E50" w:rsidRPr="008B53A9">
        <w:t xml:space="preserve"> nebo</w:t>
      </w:r>
      <w:r w:rsidRPr="008B53A9">
        <w:t xml:space="preserve"> samostatné finanční nástroje. </w:t>
      </w:r>
      <w:r w:rsidR="008C5E50" w:rsidRPr="008B53A9">
        <w:t>V případě, že bude využita struktura fondu fondů, budou f</w:t>
      </w:r>
      <w:r w:rsidRPr="008B53A9">
        <w:t>inanční zprostředkovatelé na vla</w:t>
      </w:r>
      <w:r w:rsidR="001F0603" w:rsidRPr="008B53A9">
        <w:t>stní odpovědnost příjemce, manaž</w:t>
      </w:r>
      <w:r w:rsidRPr="008B53A9">
        <w:t>era fondu fondů, splňovat kritéria stanovená v čl. 140 odst. 1, 2 a 4 finančního nařízení</w:t>
      </w:r>
      <w:r w:rsidRPr="008B53A9">
        <w:rPr>
          <w:rStyle w:val="Znakapoznpodarou"/>
        </w:rPr>
        <w:footnoteReference w:id="55"/>
      </w:r>
      <w:r w:rsidRPr="008B53A9">
        <w:t>. Při výběru finančních zprostředkovatelů a projektů konečných příjemců budou aplikována předem stanovená výběrová kritéria za využití otevřených, transparentních, přiměřených a nediskriminačních postupů. Detaily a případné odchylky stanoví předběžné posouzení finančních nástrojů OP PIK dle čl. 37 odst. 2 obecného nařízení, případně jeho revize podle čl. 37 odst. 2 písm. g) obecného nařízení. Předběžné posouzení finančních nástrojů provede ŘO OP PIK a musí být dokončeno před datem, kdy řídicí orgán rozhodne, že fond fondů/finanční nástroj obdrží příspěvek z programu.</w:t>
      </w:r>
    </w:p>
    <w:p w:rsidR="0058402E" w:rsidRPr="008B53A9" w:rsidRDefault="00BA6461" w:rsidP="005F43DF">
      <w:pPr>
        <w:pStyle w:val="Nadpis5"/>
        <w:numPr>
          <w:ilvl w:val="4"/>
          <w:numId w:val="21"/>
        </w:numPr>
      </w:pPr>
      <w:r w:rsidRPr="008B53A9">
        <w:t>Plánované využití velkých projektů (použije-li se)</w:t>
      </w:r>
    </w:p>
    <w:p w:rsidR="002A4D1D" w:rsidRPr="008B53A9" w:rsidRDefault="002A4D1D" w:rsidP="002A4D1D">
      <w:pPr>
        <w:pStyle w:val="Standardntext"/>
      </w:pPr>
      <w:r w:rsidRPr="008B53A9">
        <w:t xml:space="preserve">Velké projekty ve smyslu čl. </w:t>
      </w:r>
      <w:r w:rsidR="008F52F8" w:rsidRPr="008B53A9">
        <w:t>10</w:t>
      </w:r>
      <w:r w:rsidRPr="008B53A9">
        <w:t>0 obecného nařízení nejsou plánovány.</w:t>
      </w:r>
    </w:p>
    <w:p w:rsidR="0058402E" w:rsidRPr="008B53A9" w:rsidRDefault="00BA6461" w:rsidP="005F43DF">
      <w:pPr>
        <w:pStyle w:val="Nadpis5"/>
        <w:numPr>
          <w:ilvl w:val="4"/>
          <w:numId w:val="21"/>
        </w:numPr>
      </w:pPr>
      <w:r w:rsidRPr="008B53A9">
        <w:lastRenderedPageBreak/>
        <w:t>Ukazatele výstupů podle investiční priority a případně podle kategorie regionů</w:t>
      </w:r>
    </w:p>
    <w:p w:rsidR="0058402E" w:rsidRPr="008B53A9" w:rsidRDefault="0058402E" w:rsidP="00AA66A2">
      <w:pPr>
        <w:pStyle w:val="Titulek"/>
        <w:keepNext/>
        <w:keepLines/>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1155"/>
        <w:gridCol w:w="2080"/>
        <w:gridCol w:w="1067"/>
        <w:gridCol w:w="665"/>
        <w:gridCol w:w="1251"/>
        <w:gridCol w:w="1114"/>
        <w:gridCol w:w="771"/>
        <w:gridCol w:w="1223"/>
      </w:tblGrid>
      <w:tr w:rsidR="001B2E5C" w:rsidRPr="008B53A9" w:rsidTr="00081C97">
        <w:trPr>
          <w:trHeight w:hRule="exact" w:val="1032"/>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AA66A2">
            <w:pPr>
              <w:pStyle w:val="Tabulka"/>
              <w:keepNext/>
              <w:keepLines/>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AA66A2">
            <w:pPr>
              <w:pStyle w:val="Tabulka"/>
              <w:keepNext/>
              <w:keepLines/>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AA66A2">
            <w:pPr>
              <w:pStyle w:val="Tabulka"/>
              <w:keepNext/>
              <w:keepLines/>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AA66A2">
            <w:pPr>
              <w:pStyle w:val="Tabulka"/>
              <w:keepNext/>
              <w:keepLines/>
              <w:rPr>
                <w:rFonts w:cs="Calibri"/>
                <w:b/>
                <w:lang w:val="cs-CZ" w:eastAsia="cs-CZ"/>
              </w:rPr>
            </w:pPr>
            <w:r w:rsidRPr="008B53A9">
              <w:rPr>
                <w:rFonts w:cs="Calibri"/>
                <w:b/>
                <w:lang w:val="cs-CZ" w:eastAsia="cs-CZ"/>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AA66A2">
            <w:pPr>
              <w:pStyle w:val="Tabulka"/>
              <w:keepNext/>
              <w:keepLines/>
              <w:rPr>
                <w:rFonts w:cs="Calibri"/>
                <w:b/>
                <w:lang w:val="cs-CZ" w:eastAsia="cs-CZ"/>
              </w:rPr>
            </w:pPr>
            <w:r w:rsidRPr="008B53A9">
              <w:rPr>
                <w:rFonts w:cs="Calibri"/>
                <w:b/>
                <w:lang w:val="cs-CZ" w:eastAsia="cs-CZ"/>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9F18F5">
            <w:pPr>
              <w:pStyle w:val="Tabulka"/>
              <w:keepNext/>
              <w:keepLines/>
              <w:rPr>
                <w:rFonts w:cs="Calibri"/>
                <w:b/>
                <w:lang w:val="cs-CZ" w:eastAsia="cs-CZ"/>
              </w:rPr>
            </w:pPr>
            <w:r w:rsidRPr="008B53A9">
              <w:rPr>
                <w:rFonts w:cs="Calibri"/>
                <w:b/>
                <w:lang w:val="cs-CZ" w:eastAsia="cs-CZ"/>
              </w:rPr>
              <w:t>Cílová hodnota</w:t>
            </w:r>
            <w:r w:rsidR="009F18F5" w:rsidRPr="008B53A9">
              <w:rPr>
                <w:rFonts w:cs="Calibri"/>
                <w:b/>
                <w:lang w:val="cs-CZ" w:eastAsia="cs-CZ"/>
              </w:rPr>
              <w:t xml:space="preserve"> </w:t>
            </w:r>
            <w:r w:rsidRPr="008B53A9">
              <w:rPr>
                <w:rFonts w:cs="Calibri"/>
                <w:b/>
                <w:lang w:val="cs-CZ" w:eastAsia="cs-CZ"/>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AA66A2">
            <w:pPr>
              <w:pStyle w:val="Tabulka"/>
              <w:keepNext/>
              <w:keepLines/>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AA66A2">
            <w:pPr>
              <w:pStyle w:val="Tabulka"/>
              <w:keepNext/>
              <w:keepLines/>
              <w:rPr>
                <w:rFonts w:cs="Calibri"/>
                <w:b/>
                <w:lang w:val="cs-CZ" w:eastAsia="cs-CZ"/>
              </w:rPr>
            </w:pPr>
            <w:r w:rsidRPr="008B53A9">
              <w:rPr>
                <w:rFonts w:cs="Calibri"/>
                <w:b/>
                <w:lang w:val="cs-CZ" w:eastAsia="cs-CZ"/>
              </w:rPr>
              <w:t>Četnost podávání zpráv</w:t>
            </w:r>
          </w:p>
        </w:tc>
      </w:tr>
      <w:tr w:rsidR="00826B6B" w:rsidRPr="008B53A9"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C113F" w:rsidP="00AA66A2">
            <w:pPr>
              <w:pStyle w:val="Tabulka"/>
              <w:keepNext/>
              <w:keepLines/>
              <w:rPr>
                <w:rFonts w:cs="Calibri"/>
                <w:lang w:val="cs-CZ" w:eastAsia="cs-CZ"/>
              </w:rPr>
            </w:pPr>
            <w:r w:rsidRPr="008B53A9">
              <w:rPr>
                <w:rFonts w:cs="Calibri"/>
                <w:lang w:val="cs-CZ" w:eastAsia="cs-CZ"/>
              </w:rPr>
              <w:t>C</w:t>
            </w:r>
            <w:r w:rsidR="00081C97" w:rsidRPr="008B53A9">
              <w:rPr>
                <w:rFonts w:cs="Calibri"/>
                <w:lang w:val="cs-CZ" w:eastAsia="cs-CZ"/>
              </w:rPr>
              <w:t>/EFRR/0</w:t>
            </w:r>
            <w:r w:rsidR="00826B6B" w:rsidRPr="008B53A9">
              <w:rPr>
                <w:rFonts w:cs="Calibri"/>
                <w:lang w:val="cs-CZ" w:eastAsia="cs-CZ"/>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7D6298" w:rsidP="00AA66A2">
            <w:pPr>
              <w:pStyle w:val="Tabulka"/>
              <w:keepNext/>
              <w:keepLines/>
              <w:jc w:val="left"/>
              <w:rPr>
                <w:rFonts w:cs="Calibri"/>
                <w:lang w:val="cs-CZ" w:eastAsia="cs-CZ"/>
              </w:rPr>
            </w:pPr>
            <w:r w:rsidRPr="008B53A9">
              <w:rPr>
                <w:rFonts w:cs="Calibri"/>
                <w:lang w:val="cs-CZ" w:eastAsia="cs-CZ"/>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AA66A2">
            <w:pPr>
              <w:pStyle w:val="Tabulka"/>
              <w:keepNext/>
              <w:keepLines/>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2B3F69" w:rsidP="00AA66A2">
            <w:pPr>
              <w:pStyle w:val="Tabulka"/>
              <w:keepNext/>
              <w:keepLines/>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AA66A2">
            <w:pPr>
              <w:pStyle w:val="Tabulka"/>
              <w:keepNext/>
              <w:keepLines/>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757F45" w:rsidP="006A09AD">
            <w:pPr>
              <w:pStyle w:val="Tabulka"/>
              <w:keepNext/>
              <w:keepLines/>
              <w:rPr>
                <w:rFonts w:cs="Calibri"/>
                <w:lang w:val="cs-CZ" w:eastAsia="cs-CZ"/>
              </w:rPr>
            </w:pPr>
            <w:r w:rsidRPr="008B53A9">
              <w:rPr>
                <w:rFonts w:cs="Calibri"/>
                <w:lang w:val="cs-CZ" w:eastAsia="cs-CZ"/>
              </w:rPr>
              <w:t>3 250</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DF5B4B" w:rsidP="00AA66A2">
            <w:pPr>
              <w:pStyle w:val="Tabulka"/>
              <w:keepNext/>
              <w:keepLines/>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AA66A2">
            <w:pPr>
              <w:pStyle w:val="Tabulka"/>
              <w:keepNext/>
              <w:keepLines/>
              <w:rPr>
                <w:rFonts w:cs="Calibri"/>
                <w:lang w:val="cs-CZ" w:eastAsia="cs-CZ"/>
              </w:rPr>
            </w:pPr>
            <w:r w:rsidRPr="008B53A9">
              <w:rPr>
                <w:rFonts w:cs="Calibri"/>
                <w:lang w:val="cs-CZ" w:eastAsia="cs-CZ"/>
              </w:rPr>
              <w:t>průběžně</w:t>
            </w:r>
          </w:p>
        </w:tc>
      </w:tr>
      <w:tr w:rsidR="00826B6B" w:rsidRPr="008B53A9"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C113F" w:rsidP="00E2570C">
            <w:pPr>
              <w:pStyle w:val="Tabulka"/>
              <w:rPr>
                <w:rFonts w:cs="Calibri"/>
                <w:lang w:val="cs-CZ" w:eastAsia="cs-CZ"/>
              </w:rPr>
            </w:pPr>
            <w:r w:rsidRPr="008B53A9">
              <w:rPr>
                <w:rFonts w:cs="Calibri"/>
                <w:lang w:val="cs-CZ" w:eastAsia="cs-CZ"/>
              </w:rPr>
              <w:t>C</w:t>
            </w:r>
            <w:r w:rsidR="00081C97" w:rsidRPr="008B53A9">
              <w:rPr>
                <w:rFonts w:cs="Calibri"/>
                <w:lang w:val="cs-CZ" w:eastAsia="cs-CZ"/>
              </w:rPr>
              <w:t>/EFRR/0</w:t>
            </w:r>
            <w:r w:rsidR="00826B6B" w:rsidRPr="008B53A9">
              <w:rPr>
                <w:rFonts w:cs="Calibri"/>
                <w:lang w:val="cs-CZ" w:eastAsia="cs-CZ"/>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E2570C">
            <w:pPr>
              <w:pStyle w:val="Tabulka"/>
              <w:jc w:val="left"/>
              <w:rPr>
                <w:rFonts w:cs="Calibri"/>
                <w:lang w:val="cs-CZ" w:eastAsia="cs-CZ"/>
              </w:rPr>
            </w:pPr>
            <w:r w:rsidRPr="008B53A9">
              <w:rPr>
                <w:rFonts w:cs="Calibri"/>
                <w:lang w:val="cs-CZ" w:eastAsia="cs-CZ"/>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E2570C">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2B3F69" w:rsidP="00E2570C">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E2570C">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757F45" w:rsidP="001C51E1">
            <w:pPr>
              <w:pStyle w:val="Tabulka"/>
              <w:rPr>
                <w:rFonts w:cs="Calibri"/>
                <w:lang w:val="cs-CZ" w:eastAsia="cs-CZ"/>
              </w:rPr>
            </w:pPr>
            <w:r w:rsidRPr="008B53A9">
              <w:rPr>
                <w:rFonts w:cs="Calibri"/>
                <w:lang w:val="cs-CZ" w:eastAsia="cs-CZ"/>
              </w:rPr>
              <w:t>3 190</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DF5B4B" w:rsidP="00826B6B">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826B6B">
            <w:pPr>
              <w:pStyle w:val="Tabulka"/>
              <w:rPr>
                <w:rFonts w:cs="Calibri"/>
                <w:lang w:val="cs-CZ" w:eastAsia="cs-CZ"/>
              </w:rPr>
            </w:pPr>
            <w:r w:rsidRPr="008B53A9">
              <w:rPr>
                <w:rFonts w:cs="Calibri"/>
                <w:lang w:val="cs-CZ" w:eastAsia="cs-CZ"/>
              </w:rPr>
              <w:t>průběžně</w:t>
            </w:r>
          </w:p>
        </w:tc>
      </w:tr>
      <w:tr w:rsidR="00826B6B" w:rsidRPr="008B53A9"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C113F" w:rsidP="00E2570C">
            <w:pPr>
              <w:pStyle w:val="Tabulka"/>
              <w:rPr>
                <w:rFonts w:cs="Calibri"/>
                <w:lang w:val="cs-CZ" w:eastAsia="cs-CZ"/>
              </w:rPr>
            </w:pPr>
            <w:r w:rsidRPr="008B53A9">
              <w:rPr>
                <w:rFonts w:cs="Calibri"/>
                <w:lang w:val="cs-CZ" w:eastAsia="cs-CZ"/>
              </w:rPr>
              <w:t>C</w:t>
            </w:r>
            <w:r w:rsidR="00081C97" w:rsidRPr="008B53A9">
              <w:rPr>
                <w:rFonts w:cs="Calibri"/>
                <w:lang w:val="cs-CZ" w:eastAsia="cs-CZ"/>
              </w:rPr>
              <w:t>/EFRR/0</w:t>
            </w:r>
            <w:r w:rsidR="00826B6B" w:rsidRPr="008B53A9">
              <w:rPr>
                <w:rFonts w:cs="Calibri"/>
                <w:lang w:val="cs-CZ" w:eastAsia="cs-CZ"/>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A2DBD" w:rsidP="00E2570C">
            <w:pPr>
              <w:pStyle w:val="Tabulka"/>
              <w:jc w:val="left"/>
              <w:rPr>
                <w:rFonts w:cs="Calibri"/>
                <w:lang w:val="cs-CZ" w:eastAsia="cs-CZ"/>
              </w:rPr>
            </w:pPr>
            <w:r w:rsidRPr="008B53A9">
              <w:rPr>
                <w:rFonts w:cs="Calibri"/>
                <w:lang w:val="cs-CZ" w:eastAsia="cs-CZ"/>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E2570C">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2B3F69" w:rsidP="00E2570C">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E2570C">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757F45" w:rsidP="001C51E1">
            <w:pPr>
              <w:pStyle w:val="Tabulka"/>
              <w:rPr>
                <w:rFonts w:cs="Calibri"/>
                <w:lang w:val="cs-CZ" w:eastAsia="cs-CZ"/>
              </w:rPr>
            </w:pPr>
            <w:r w:rsidRPr="008B53A9">
              <w:rPr>
                <w:rFonts w:cs="Calibri"/>
                <w:lang w:val="cs-CZ" w:eastAsia="cs-CZ"/>
              </w:rPr>
              <w:t>60</w:t>
            </w:r>
            <w:r w:rsidR="00F20222" w:rsidRPr="008B53A9">
              <w:rPr>
                <w:rStyle w:val="Znakapoznpodarou"/>
                <w:rFonts w:cs="Calibri"/>
                <w:lang w:val="cs-CZ" w:eastAsia="cs-CZ"/>
              </w:rPr>
              <w:footnoteReference w:id="56"/>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DF5B4B" w:rsidP="00826B6B">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826B6B">
            <w:pPr>
              <w:pStyle w:val="Tabulka"/>
              <w:rPr>
                <w:rFonts w:cs="Calibri"/>
                <w:lang w:val="cs-CZ" w:eastAsia="cs-CZ"/>
              </w:rPr>
            </w:pPr>
            <w:r w:rsidRPr="008B53A9">
              <w:rPr>
                <w:rFonts w:cs="Calibri"/>
                <w:lang w:val="cs-CZ" w:eastAsia="cs-CZ"/>
              </w:rPr>
              <w:t>průběžně</w:t>
            </w:r>
          </w:p>
        </w:tc>
      </w:tr>
      <w:tr w:rsidR="00826B6B" w:rsidRPr="008B53A9"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C113F" w:rsidP="00E2570C">
            <w:pPr>
              <w:pStyle w:val="Tabulka"/>
              <w:rPr>
                <w:rFonts w:cs="Calibri"/>
                <w:lang w:val="cs-CZ" w:eastAsia="cs-CZ"/>
              </w:rPr>
            </w:pPr>
            <w:r w:rsidRPr="008B53A9">
              <w:rPr>
                <w:rFonts w:cs="Calibri"/>
                <w:lang w:val="cs-CZ" w:eastAsia="cs-CZ"/>
              </w:rPr>
              <w:t>C</w:t>
            </w:r>
            <w:r w:rsidR="00081C97" w:rsidRPr="008B53A9">
              <w:rPr>
                <w:rFonts w:cs="Calibri"/>
                <w:lang w:val="cs-CZ" w:eastAsia="cs-CZ"/>
              </w:rPr>
              <w:t>/EFRR/0</w:t>
            </w:r>
            <w:r w:rsidR="00826B6B" w:rsidRPr="008B53A9">
              <w:rPr>
                <w:rFonts w:cs="Calibri"/>
                <w:lang w:val="cs-CZ" w:eastAsia="cs-CZ"/>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A2DBD" w:rsidP="00E2570C">
            <w:pPr>
              <w:pStyle w:val="Tabulka"/>
              <w:jc w:val="left"/>
              <w:rPr>
                <w:rFonts w:cs="Calibri"/>
                <w:lang w:val="cs-CZ" w:eastAsia="cs-CZ"/>
              </w:rPr>
            </w:pPr>
            <w:r w:rsidRPr="008B53A9">
              <w:rPr>
                <w:rFonts w:cs="Calibri"/>
                <w:lang w:val="cs-CZ" w:eastAsia="cs-CZ"/>
              </w:rPr>
              <w:t>Soukromé investice v projektech s veřejnou podporou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E2570C">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2B3F69" w:rsidP="00E2570C">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E2570C">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F21878" w:rsidP="00757F45">
            <w:pPr>
              <w:pStyle w:val="Tabulka"/>
              <w:rPr>
                <w:rFonts w:cs="Calibri"/>
                <w:lang w:val="cs-CZ" w:eastAsia="cs-CZ"/>
              </w:rPr>
            </w:pPr>
            <w:r w:rsidRPr="008B53A9">
              <w:rPr>
                <w:rFonts w:cs="Calibri"/>
                <w:lang w:val="cs-CZ" w:eastAsia="cs-CZ"/>
              </w:rPr>
              <w:t>1</w:t>
            </w:r>
            <w:r w:rsidR="00E8002C" w:rsidRPr="008B53A9">
              <w:rPr>
                <w:rFonts w:cs="Calibri"/>
                <w:lang w:val="cs-CZ" w:eastAsia="cs-CZ"/>
              </w:rPr>
              <w:t> </w:t>
            </w:r>
            <w:r w:rsidR="00757F45" w:rsidRPr="008B53A9">
              <w:rPr>
                <w:rFonts w:cs="Calibri"/>
                <w:lang w:val="cs-CZ" w:eastAsia="cs-CZ"/>
              </w:rPr>
              <w:t>200</w:t>
            </w:r>
            <w:r w:rsidR="00E8002C" w:rsidRPr="008B53A9">
              <w:rPr>
                <w:rFonts w:cs="Calibri"/>
                <w:lang w:val="cs-CZ" w:eastAsia="cs-CZ"/>
              </w:rPr>
              <w:t xml:space="preserve"> 000</w:t>
            </w:r>
            <w:r w:rsidRPr="008B53A9">
              <w:rPr>
                <w:rFonts w:cs="Calibri"/>
                <w:lang w:val="cs-CZ" w:eastAsia="cs-CZ"/>
              </w:rPr>
              <w:t xml:space="preserve"> </w:t>
            </w:r>
            <w:r w:rsidR="00E8002C" w:rsidRPr="008B53A9">
              <w:rPr>
                <w:rFonts w:cs="Calibri"/>
                <w:lang w:val="cs-CZ" w:eastAsia="cs-CZ"/>
              </w:rPr>
              <w:t>0</w:t>
            </w:r>
            <w:r w:rsidRPr="008B53A9">
              <w:rPr>
                <w:rFonts w:cs="Calibri"/>
                <w:lang w:val="cs-CZ" w:eastAsia="cs-CZ"/>
              </w:rPr>
              <w:t>00</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DF5B4B" w:rsidP="00826B6B">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826B6B">
            <w:pPr>
              <w:pStyle w:val="Tabulka"/>
              <w:rPr>
                <w:rFonts w:cs="Calibri"/>
                <w:lang w:val="cs-CZ" w:eastAsia="cs-CZ"/>
              </w:rPr>
            </w:pPr>
            <w:r w:rsidRPr="008B53A9">
              <w:rPr>
                <w:rFonts w:cs="Calibri"/>
                <w:lang w:val="cs-CZ" w:eastAsia="cs-CZ"/>
              </w:rPr>
              <w:t>průběžně</w:t>
            </w:r>
          </w:p>
        </w:tc>
      </w:tr>
      <w:tr w:rsidR="00826B6B" w:rsidRPr="008B53A9" w:rsidTr="00081C97">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C113F" w:rsidP="00E2570C">
            <w:pPr>
              <w:pStyle w:val="Tabulka"/>
              <w:rPr>
                <w:rFonts w:cs="Calibri"/>
                <w:lang w:val="cs-CZ" w:eastAsia="cs-CZ"/>
              </w:rPr>
            </w:pPr>
            <w:r w:rsidRPr="008B53A9">
              <w:rPr>
                <w:rFonts w:cs="Calibri"/>
                <w:lang w:val="cs-CZ" w:eastAsia="cs-CZ"/>
              </w:rPr>
              <w:t>C</w:t>
            </w:r>
            <w:r w:rsidR="00081C97" w:rsidRPr="008B53A9">
              <w:rPr>
                <w:rFonts w:cs="Calibri"/>
                <w:lang w:val="cs-CZ" w:eastAsia="cs-CZ"/>
              </w:rPr>
              <w:t>/EFRR/0</w:t>
            </w:r>
            <w:r w:rsidR="00826B6B" w:rsidRPr="008B53A9">
              <w:rPr>
                <w:rFonts w:cs="Calibri"/>
                <w:lang w:val="cs-CZ" w:eastAsia="cs-CZ"/>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EA2DBD" w:rsidP="00E2570C">
            <w:pPr>
              <w:pStyle w:val="Tabulka"/>
              <w:jc w:val="left"/>
              <w:rPr>
                <w:rFonts w:cs="Calibri"/>
                <w:lang w:val="cs-CZ" w:eastAsia="cs-CZ"/>
              </w:rPr>
            </w:pPr>
            <w:r w:rsidRPr="008B53A9">
              <w:rPr>
                <w:rFonts w:cs="Calibri"/>
                <w:lang w:val="cs-CZ" w:eastAsia="cs-CZ"/>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E2570C">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2B3F69" w:rsidP="00E2570C">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E2570C">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757F45" w:rsidP="001C51E1">
            <w:pPr>
              <w:pStyle w:val="Tabulka"/>
              <w:rPr>
                <w:rFonts w:cs="Calibri"/>
                <w:lang w:val="cs-CZ" w:eastAsia="cs-CZ"/>
              </w:rPr>
            </w:pPr>
            <w:r w:rsidRPr="008B53A9">
              <w:rPr>
                <w:rFonts w:cs="Calibri"/>
                <w:lang w:val="cs-CZ" w:eastAsia="cs-CZ"/>
              </w:rPr>
              <w:t>34 000 000</w:t>
            </w:r>
            <w:r w:rsidR="00F20222" w:rsidRPr="008B53A9">
              <w:rPr>
                <w:rStyle w:val="Znakapoznpodarou"/>
                <w:rFonts w:cs="Calibri"/>
                <w:lang w:val="cs-CZ" w:eastAsia="cs-CZ"/>
              </w:rPr>
              <w:footnoteReference w:id="57"/>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DF5B4B" w:rsidP="00826B6B">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826B6B" w:rsidRPr="008B53A9" w:rsidRDefault="00826B6B" w:rsidP="00826B6B">
            <w:pPr>
              <w:pStyle w:val="Tabulka"/>
              <w:rPr>
                <w:rFonts w:cs="Calibri"/>
                <w:lang w:val="cs-CZ" w:eastAsia="cs-CZ"/>
              </w:rPr>
            </w:pPr>
            <w:r w:rsidRPr="008B53A9">
              <w:rPr>
                <w:rFonts w:cs="Calibri"/>
                <w:lang w:val="cs-CZ" w:eastAsia="cs-CZ"/>
              </w:rPr>
              <w:t>průběžně</w:t>
            </w:r>
          </w:p>
        </w:tc>
      </w:tr>
    </w:tbl>
    <w:p w:rsidR="00AA66A2" w:rsidRPr="008B53A9" w:rsidRDefault="00AA66A2" w:rsidP="005F43DF">
      <w:pPr>
        <w:pStyle w:val="kapitola2A0"/>
        <w:numPr>
          <w:ilvl w:val="2"/>
          <w:numId w:val="72"/>
        </w:numPr>
      </w:pPr>
      <w:bookmarkStart w:id="67" w:name="_Toc391539635"/>
      <w:r w:rsidRPr="008B53A9">
        <w:t>INVESTIČNÍ PRIORITA 3 prioritní osy 3: Rozvoj a zavádění inteligentních distribučních soustav, jež fungují na hladině nízkého a středního napětí</w:t>
      </w:r>
      <w:bookmarkEnd w:id="67"/>
    </w:p>
    <w:p w:rsidR="003B05CA" w:rsidRPr="008B53A9" w:rsidRDefault="008C7D72" w:rsidP="005F43DF">
      <w:pPr>
        <w:pStyle w:val="kapitola2A0"/>
        <w:numPr>
          <w:ilvl w:val="2"/>
          <w:numId w:val="72"/>
        </w:numPr>
      </w:pPr>
      <w:bookmarkStart w:id="68" w:name="_Toc391539636"/>
      <w:r w:rsidRPr="008B53A9">
        <w:t>Specifické cíle odpovídající investiční prioritě a očekávané výsledky</w:t>
      </w:r>
      <w:bookmarkEnd w:id="68"/>
    </w:p>
    <w:p w:rsidR="009D1769" w:rsidRPr="008B53A9" w:rsidRDefault="00EC0F1D" w:rsidP="009D1769">
      <w:pPr>
        <w:pStyle w:val="Modrnadpis"/>
      </w:pPr>
      <w:r w:rsidRPr="008B53A9">
        <w:t xml:space="preserve">SPECIFICKÝ CÍL </w:t>
      </w:r>
      <w:r w:rsidR="00C71E6F" w:rsidRPr="008B53A9">
        <w:t>3.</w:t>
      </w:r>
      <w:r w:rsidRPr="008B53A9">
        <w:t xml:space="preserve">3: </w:t>
      </w:r>
      <w:r w:rsidR="009D1769" w:rsidRPr="008B53A9">
        <w:t xml:space="preserve"> Zvýšit aplikaci prvků inteligentních sítí v distribučních soustavách</w:t>
      </w:r>
    </w:p>
    <w:p w:rsidR="00F82915" w:rsidRPr="008B53A9" w:rsidRDefault="00C461F7" w:rsidP="00F24686">
      <w:pPr>
        <w:pStyle w:val="Standardntext"/>
      </w:pPr>
      <w:r w:rsidRPr="008B53A9">
        <w:t>S postupně se zvyšující integrací decentralizovaných zdrojů energie vzrůstá potřeba vhodně doplňovat stávající distribuční soustavy technologiemi, které umožňují zajistit spolehlivý provoz. Prvky inteligentních sítí přispějí k aktivnímu řízení distribučních soustav a ke zvýšení spolehlivosti a kvality dodávek energie.</w:t>
      </w:r>
      <w:r w:rsidR="004B2602" w:rsidRPr="008B53A9">
        <w:t xml:space="preserve"> </w:t>
      </w:r>
      <w:r w:rsidR="00F82915" w:rsidRPr="008B53A9">
        <w:t xml:space="preserve">Hlavním cílem je posílení konkurenceschopnosti a udržitelnosti české ekonomiky </w:t>
      </w:r>
      <w:r w:rsidR="00DA544B" w:rsidRPr="008B53A9">
        <w:t>pomocí</w:t>
      </w:r>
      <w:r w:rsidR="00F82915" w:rsidRPr="008B53A9">
        <w:t xml:space="preserve"> rozvoje a modernizace energetické infrastruktury na hladině nízkého a </w:t>
      </w:r>
      <w:r w:rsidRPr="008B53A9">
        <w:t>středního</w:t>
      </w:r>
      <w:r w:rsidR="00F82915" w:rsidRPr="008B53A9">
        <w:t xml:space="preserve"> napětí.</w:t>
      </w:r>
    </w:p>
    <w:p w:rsidR="004F2013" w:rsidRPr="008B53A9" w:rsidRDefault="003508A9" w:rsidP="004F2013">
      <w:pPr>
        <w:pStyle w:val="Modrnadpis"/>
      </w:pPr>
      <w:r w:rsidRPr="008B53A9">
        <w:lastRenderedPageBreak/>
        <w:t>Výsledky, kterých chce ČR dosáhnout s podporou Unie</w:t>
      </w:r>
    </w:p>
    <w:p w:rsidR="004F2013" w:rsidRPr="008B53A9" w:rsidRDefault="00997A9B" w:rsidP="005F43DF">
      <w:pPr>
        <w:pStyle w:val="Standardntext"/>
        <w:numPr>
          <w:ilvl w:val="0"/>
          <w:numId w:val="44"/>
        </w:numPr>
      </w:pPr>
      <w:r w:rsidRPr="008B53A9">
        <w:t>Z</w:t>
      </w:r>
      <w:r w:rsidR="003412FC" w:rsidRPr="008B53A9">
        <w:t xml:space="preserve">lepšení </w:t>
      </w:r>
      <w:r w:rsidR="003A58B4" w:rsidRPr="008B53A9">
        <w:t xml:space="preserve">kvality, </w:t>
      </w:r>
      <w:r w:rsidR="004B2602" w:rsidRPr="008B53A9">
        <w:t xml:space="preserve">spolehlivosti, </w:t>
      </w:r>
      <w:r w:rsidR="003A58B4" w:rsidRPr="008B53A9">
        <w:t>bezpečnosti a udržitelnosti dodávek elektřiny konečným zákazníkům</w:t>
      </w:r>
      <w:r w:rsidR="003412FC" w:rsidRPr="008B53A9">
        <w:t xml:space="preserve"> ve všech regionech České republiky</w:t>
      </w:r>
      <w:r w:rsidR="00E314F2" w:rsidRPr="008B53A9">
        <w:t xml:space="preserve"> </w:t>
      </w:r>
      <w:r w:rsidR="00FA0C8C" w:rsidRPr="008B53A9">
        <w:t>kromě</w:t>
      </w:r>
      <w:r w:rsidR="00E314F2" w:rsidRPr="008B53A9">
        <w:t xml:space="preserve"> </w:t>
      </w:r>
      <w:r w:rsidR="00FA0C8C" w:rsidRPr="008B53A9">
        <w:t xml:space="preserve">hl. m. </w:t>
      </w:r>
      <w:r w:rsidR="00E314F2" w:rsidRPr="008B53A9">
        <w:t>Prah</w:t>
      </w:r>
      <w:r w:rsidR="00FA0C8C" w:rsidRPr="008B53A9">
        <w:t>y</w:t>
      </w:r>
      <w:r w:rsidR="004B2602" w:rsidRPr="008B53A9">
        <w:t xml:space="preserve"> a přiblížení na úroveň obvyklou v zemích EU-15</w:t>
      </w:r>
      <w:r w:rsidR="002471EA" w:rsidRPr="008B53A9">
        <w:t>.</w:t>
      </w:r>
    </w:p>
    <w:p w:rsidR="003412FC" w:rsidRPr="008B53A9" w:rsidRDefault="002471EA" w:rsidP="005F43DF">
      <w:pPr>
        <w:pStyle w:val="Standardntext"/>
        <w:numPr>
          <w:ilvl w:val="0"/>
          <w:numId w:val="44"/>
        </w:numPr>
      </w:pPr>
      <w:r w:rsidRPr="008B53A9">
        <w:t>Minimalizace úzkých profilů a integrace decentralizovaných zdrojů energie.</w:t>
      </w:r>
      <w:r w:rsidR="003412FC" w:rsidRPr="008B53A9">
        <w:t xml:space="preserve"> S tím souvisí z</w:t>
      </w:r>
      <w:r w:rsidRPr="008B53A9">
        <w:t>avedení inteligentních technologických prvků, které budou řešit nepříznivé jevy nepredikovatelných výrobních zdrojů</w:t>
      </w:r>
      <w:r w:rsidR="003412FC" w:rsidRPr="008B53A9">
        <w:t>, zejména OZE</w:t>
      </w:r>
      <w:r w:rsidRPr="008B53A9">
        <w:t>.</w:t>
      </w:r>
      <w:r w:rsidR="003412FC" w:rsidRPr="008B53A9">
        <w:t xml:space="preserve"> </w:t>
      </w:r>
      <w:r w:rsidR="00C1180B" w:rsidRPr="008B53A9">
        <w:t xml:space="preserve">V návaznosti na to dojde k usnadnění připojení nových OZE do sítě, přičemž důsledkem rozvoje OZE bude pozitivní dopad na </w:t>
      </w:r>
      <w:r w:rsidR="00E314F2" w:rsidRPr="008B53A9">
        <w:t>ochranu klimatu a energetickou bezpečnost</w:t>
      </w:r>
      <w:r w:rsidR="00C1180B" w:rsidRPr="008B53A9">
        <w:t>.</w:t>
      </w:r>
    </w:p>
    <w:p w:rsidR="004B2602" w:rsidRPr="008B53A9" w:rsidRDefault="004B2602" w:rsidP="005F43DF">
      <w:pPr>
        <w:pStyle w:val="Standardntext"/>
        <w:numPr>
          <w:ilvl w:val="0"/>
          <w:numId w:val="44"/>
        </w:numPr>
      </w:pPr>
      <w:r w:rsidRPr="008B53A9">
        <w:t>Snížení ztrát a zvýšení účinnosti distribuce elektrické energie.</w:t>
      </w:r>
    </w:p>
    <w:p w:rsidR="004B2602" w:rsidRPr="008B53A9" w:rsidRDefault="004B2602" w:rsidP="005F43DF">
      <w:pPr>
        <w:pStyle w:val="Standardntext"/>
        <w:numPr>
          <w:ilvl w:val="0"/>
          <w:numId w:val="44"/>
        </w:numPr>
      </w:pPr>
      <w:r w:rsidRPr="008B53A9">
        <w:t xml:space="preserve">Zvýšení volné připojovací kapacity a dodatečného výkonu pro integraci decentralizovaných zdrojů energie </w:t>
      </w:r>
      <w:r w:rsidR="00C461F7" w:rsidRPr="008B53A9">
        <w:t>na hladině nízkého (do 1000 V) a středního napětí (1000 V až 50 kV)</w:t>
      </w:r>
      <w:r w:rsidRPr="008B53A9">
        <w:t>.</w:t>
      </w:r>
    </w:p>
    <w:p w:rsidR="002471EA" w:rsidRPr="008B53A9" w:rsidRDefault="002471EA" w:rsidP="005F43DF">
      <w:pPr>
        <w:pStyle w:val="Standardntext"/>
        <w:numPr>
          <w:ilvl w:val="0"/>
          <w:numId w:val="44"/>
        </w:numPr>
      </w:pPr>
      <w:r w:rsidRPr="008B53A9">
        <w:t>Impuls pro rozvoj průmyslu, podnikání a celé ekonomiky díky rozvoji a modernizaci energetické infrastruktury.</w:t>
      </w:r>
    </w:p>
    <w:p w:rsidR="00002031" w:rsidRPr="008B53A9" w:rsidRDefault="00002031" w:rsidP="00DA544B">
      <w:pPr>
        <w:pStyle w:val="Titulek"/>
        <w:keepNext/>
        <w:keepLines/>
        <w:rPr>
          <w:rFonts w:cs="Calibri"/>
        </w:rPr>
      </w:pPr>
      <w:r w:rsidRPr="008B53A9">
        <w:rPr>
          <w:rFonts w:cs="Calibri"/>
        </w:rPr>
        <w:t xml:space="preserve">Tabulka </w:t>
      </w:r>
      <w:r w:rsidR="00F7325F" w:rsidRPr="008B53A9">
        <w:rPr>
          <w:rFonts w:cs="Calibri"/>
        </w:rPr>
        <w:fldChar w:fldCharType="begin"/>
      </w:r>
      <w:r w:rsidR="00F7325F" w:rsidRPr="008B53A9">
        <w:rPr>
          <w:rFonts w:cs="Calibri"/>
        </w:rPr>
        <w:instrText xml:space="preserve"> SEQ Tabulka \* ARABIC \r3 </w:instrText>
      </w:r>
      <w:r w:rsidR="00F7325F" w:rsidRPr="008B53A9">
        <w:rPr>
          <w:rFonts w:cs="Calibri"/>
        </w:rPr>
        <w:fldChar w:fldCharType="separate"/>
      </w:r>
      <w:r w:rsidR="00E54216" w:rsidRPr="008B53A9">
        <w:rPr>
          <w:rFonts w:cs="Calibri"/>
          <w:noProof/>
        </w:rPr>
        <w:t>3</w:t>
      </w:r>
      <w:r w:rsidR="00F7325F" w:rsidRPr="008B53A9">
        <w:rPr>
          <w:rFonts w:cs="Calibri"/>
        </w:rPr>
        <w:fldChar w:fldCharType="end"/>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0" w:type="auto"/>
        <w:tblLayout w:type="fixed"/>
        <w:tblCellMar>
          <w:left w:w="57" w:type="dxa"/>
          <w:right w:w="57" w:type="dxa"/>
        </w:tblCellMar>
        <w:tblLook w:val="01E0" w:firstRow="1" w:lastRow="1" w:firstColumn="1" w:lastColumn="1" w:noHBand="0" w:noVBand="0"/>
      </w:tblPr>
      <w:tblGrid>
        <w:gridCol w:w="908"/>
        <w:gridCol w:w="811"/>
        <w:gridCol w:w="987"/>
        <w:gridCol w:w="1201"/>
        <w:gridCol w:w="970"/>
        <w:gridCol w:w="992"/>
        <w:gridCol w:w="992"/>
        <w:gridCol w:w="1445"/>
        <w:gridCol w:w="1020"/>
      </w:tblGrid>
      <w:tr w:rsidR="00CF739D" w:rsidRPr="008B53A9">
        <w:trPr>
          <w:trHeight w:hRule="exact" w:val="1385"/>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DA544B">
            <w:pPr>
              <w:pStyle w:val="Tabulka"/>
              <w:keepNext/>
              <w:keepLines/>
              <w:rPr>
                <w:rFonts w:cs="Calibri"/>
                <w:b/>
                <w:bCs/>
                <w:lang w:val="cs-CZ" w:eastAsia="cs-CZ"/>
              </w:rPr>
            </w:pPr>
            <w:r w:rsidRPr="008B53A9">
              <w:rPr>
                <w:rFonts w:cs="Calibri"/>
                <w:b/>
                <w:bCs/>
                <w:lang w:val="cs-CZ" w:eastAsia="cs-CZ"/>
              </w:rPr>
              <w:t>ID</w:t>
            </w:r>
          </w:p>
        </w:tc>
        <w:tc>
          <w:tcPr>
            <w:tcW w:w="81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DA544B">
            <w:pPr>
              <w:pStyle w:val="Tabulka"/>
              <w:keepNext/>
              <w:keepLines/>
              <w:rPr>
                <w:rFonts w:cs="Calibri"/>
                <w:b/>
                <w:bCs/>
                <w:lang w:val="cs-CZ" w:eastAsia="cs-CZ"/>
              </w:rPr>
            </w:pPr>
            <w:r w:rsidRPr="008B53A9">
              <w:rPr>
                <w:rFonts w:cs="Calibri"/>
                <w:b/>
                <w:bCs/>
                <w:lang w:val="cs-CZ" w:eastAsia="cs-CZ"/>
              </w:rPr>
              <w:t>Ukazatel</w:t>
            </w:r>
          </w:p>
        </w:tc>
        <w:tc>
          <w:tcPr>
            <w:tcW w:w="98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DA544B">
            <w:pPr>
              <w:pStyle w:val="Tabulka"/>
              <w:keepNext/>
              <w:keepLines/>
              <w:rPr>
                <w:rFonts w:cs="Calibri"/>
                <w:b/>
                <w:bCs/>
                <w:lang w:val="cs-CZ" w:eastAsia="cs-CZ"/>
              </w:rPr>
            </w:pPr>
            <w:r w:rsidRPr="008B53A9">
              <w:rPr>
                <w:rFonts w:cs="Calibri"/>
                <w:b/>
                <w:bCs/>
                <w:lang w:val="cs-CZ" w:eastAsia="cs-CZ"/>
              </w:rPr>
              <w:t>Měrná</w:t>
            </w:r>
          </w:p>
          <w:p w:rsidR="00CF739D" w:rsidRPr="008B53A9" w:rsidRDefault="00CF739D" w:rsidP="00DA544B">
            <w:pPr>
              <w:pStyle w:val="Tabulka"/>
              <w:keepNext/>
              <w:keepLines/>
              <w:rPr>
                <w:rFonts w:cs="Calibri"/>
                <w:b/>
                <w:bCs/>
                <w:lang w:val="cs-CZ" w:eastAsia="cs-CZ"/>
              </w:rPr>
            </w:pPr>
            <w:r w:rsidRPr="008B53A9">
              <w:rPr>
                <w:rFonts w:cs="Calibri"/>
                <w:b/>
                <w:bCs/>
                <w:lang w:val="cs-CZ" w:eastAsia="cs-CZ"/>
              </w:rPr>
              <w:t>jednotka</w:t>
            </w:r>
          </w:p>
        </w:tc>
        <w:tc>
          <w:tcPr>
            <w:tcW w:w="120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DA544B">
            <w:pPr>
              <w:pStyle w:val="Tabulka"/>
              <w:keepNext/>
              <w:keepLines/>
              <w:rPr>
                <w:rFonts w:cs="Calibri"/>
                <w:b/>
                <w:bCs/>
                <w:lang w:val="cs-CZ" w:eastAsia="cs-CZ"/>
              </w:rPr>
            </w:pPr>
            <w:r w:rsidRPr="008B53A9">
              <w:rPr>
                <w:rFonts w:cs="Calibri"/>
                <w:b/>
                <w:bCs/>
                <w:lang w:val="cs-CZ" w:eastAsia="cs-CZ"/>
              </w:rPr>
              <w:t>Kategorie regionů (je-li relevantní)</w:t>
            </w:r>
          </w:p>
        </w:tc>
        <w:tc>
          <w:tcPr>
            <w:tcW w:w="97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DA544B">
            <w:pPr>
              <w:pStyle w:val="Tabulka"/>
              <w:keepNext/>
              <w:keepLines/>
              <w:rPr>
                <w:rFonts w:cs="Calibri"/>
                <w:b/>
                <w:bCs/>
                <w:lang w:val="cs-CZ" w:eastAsia="cs-CZ"/>
              </w:rPr>
            </w:pPr>
            <w:r w:rsidRPr="008B53A9">
              <w:rPr>
                <w:rFonts w:cs="Calibri"/>
                <w:b/>
                <w:bCs/>
                <w:lang w:val="cs-CZ" w:eastAsia="cs-CZ"/>
              </w:rPr>
              <w:t>Výchozí hodnota</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keepNext/>
              <w:keepLines/>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DA544B">
            <w:pPr>
              <w:pStyle w:val="Tabulka"/>
              <w:keepNext/>
              <w:keepLines/>
              <w:rPr>
                <w:rFonts w:cs="Calibri"/>
                <w:b/>
                <w:bCs/>
                <w:lang w:val="cs-CZ" w:eastAsia="cs-CZ"/>
              </w:rPr>
            </w:pPr>
            <w:r w:rsidRPr="008B53A9">
              <w:rPr>
                <w:rFonts w:cs="Calibri"/>
                <w:b/>
                <w:bCs/>
                <w:lang w:val="cs-CZ" w:eastAsia="cs-CZ"/>
              </w:rPr>
              <w:t>Cílová hodnota (2023)</w:t>
            </w:r>
          </w:p>
        </w:tc>
        <w:tc>
          <w:tcPr>
            <w:tcW w:w="144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DA544B">
            <w:pPr>
              <w:pStyle w:val="Tabulka"/>
              <w:keepNext/>
              <w:keepLines/>
              <w:rPr>
                <w:rFonts w:cs="Calibri"/>
                <w:b/>
                <w:bCs/>
                <w:lang w:val="cs-CZ" w:eastAsia="cs-CZ"/>
              </w:rPr>
            </w:pPr>
            <w:r w:rsidRPr="008B53A9">
              <w:rPr>
                <w:rFonts w:cs="Calibri"/>
                <w:b/>
                <w:bCs/>
                <w:lang w:val="cs-CZ" w:eastAsia="cs-CZ"/>
              </w:rPr>
              <w:t>Zdroj údajů</w:t>
            </w:r>
          </w:p>
        </w:tc>
        <w:tc>
          <w:tcPr>
            <w:tcW w:w="102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DA544B">
            <w:pPr>
              <w:pStyle w:val="Tabulka"/>
              <w:keepNext/>
              <w:keepLines/>
              <w:rPr>
                <w:rFonts w:cs="Calibri"/>
                <w:b/>
                <w:bCs/>
                <w:lang w:val="cs-CZ" w:eastAsia="cs-CZ"/>
              </w:rPr>
            </w:pPr>
            <w:r w:rsidRPr="008B53A9">
              <w:rPr>
                <w:rFonts w:cs="Calibri"/>
                <w:b/>
                <w:bCs/>
                <w:lang w:val="cs-CZ" w:eastAsia="cs-CZ"/>
              </w:rPr>
              <w:t>Četnost podávání zpráv</w:t>
            </w:r>
          </w:p>
        </w:tc>
      </w:tr>
      <w:tr w:rsidR="00ED13F4" w:rsidRPr="008B53A9">
        <w:trPr>
          <w:trHeight w:hRule="exact" w:val="980"/>
        </w:trPr>
        <w:tc>
          <w:tcPr>
            <w:tcW w:w="908" w:type="dxa"/>
            <w:tcBorders>
              <w:top w:val="single" w:sz="4" w:space="0" w:color="000000"/>
              <w:left w:val="single" w:sz="4" w:space="0" w:color="000000"/>
              <w:bottom w:val="single" w:sz="4" w:space="0" w:color="000000"/>
              <w:right w:val="single" w:sz="4" w:space="0" w:color="000000"/>
            </w:tcBorders>
            <w:vAlign w:val="center"/>
          </w:tcPr>
          <w:p w:rsidR="00ED13F4" w:rsidRPr="008B53A9" w:rsidRDefault="004E0F70" w:rsidP="003A6FFF">
            <w:pPr>
              <w:pStyle w:val="Tabulka"/>
              <w:rPr>
                <w:rFonts w:cs="Calibri"/>
                <w:lang w:val="cs-CZ" w:eastAsia="cs-CZ"/>
              </w:rPr>
            </w:pPr>
            <w:r w:rsidRPr="008B53A9">
              <w:rPr>
                <w:rFonts w:cs="Calibri"/>
                <w:lang w:val="cs-CZ" w:eastAsia="cs-CZ"/>
              </w:rPr>
              <w:t>33700</w:t>
            </w:r>
          </w:p>
        </w:tc>
        <w:tc>
          <w:tcPr>
            <w:tcW w:w="811" w:type="dxa"/>
            <w:tcBorders>
              <w:top w:val="single" w:sz="4" w:space="0" w:color="000000"/>
              <w:left w:val="single" w:sz="4" w:space="0" w:color="000000"/>
              <w:bottom w:val="single" w:sz="4" w:space="0" w:color="000000"/>
              <w:right w:val="single" w:sz="4" w:space="0" w:color="000000"/>
            </w:tcBorders>
            <w:vAlign w:val="center"/>
          </w:tcPr>
          <w:p w:rsidR="00ED13F4" w:rsidRPr="008B53A9" w:rsidRDefault="008F1E9F" w:rsidP="003A6FFF">
            <w:pPr>
              <w:pStyle w:val="Tabulka"/>
              <w:jc w:val="left"/>
              <w:rPr>
                <w:rFonts w:cs="Calibri"/>
                <w:szCs w:val="20"/>
                <w:lang w:val="cs-CZ" w:eastAsia="cs-CZ"/>
              </w:rPr>
            </w:pPr>
            <w:r w:rsidRPr="008B53A9">
              <w:rPr>
                <w:rFonts w:cs="Calibri"/>
                <w:szCs w:val="20"/>
                <w:lang w:val="cs-CZ" w:eastAsia="cs-CZ"/>
              </w:rPr>
              <w:t>SAIFI</w:t>
            </w:r>
            <w:r w:rsidR="0068667C" w:rsidRPr="008B53A9">
              <w:rPr>
                <w:rStyle w:val="Znakapoznpodarou"/>
                <w:rFonts w:cs="Calibri"/>
                <w:szCs w:val="20"/>
                <w:lang w:val="cs-CZ" w:eastAsia="cs-CZ"/>
              </w:rPr>
              <w:footnoteReference w:id="58"/>
            </w:r>
          </w:p>
        </w:tc>
        <w:tc>
          <w:tcPr>
            <w:tcW w:w="987" w:type="dxa"/>
            <w:tcBorders>
              <w:top w:val="single" w:sz="4" w:space="0" w:color="000000"/>
              <w:left w:val="single" w:sz="4" w:space="0" w:color="000000"/>
              <w:bottom w:val="single" w:sz="4" w:space="0" w:color="000000"/>
              <w:right w:val="single" w:sz="4" w:space="0" w:color="000000"/>
            </w:tcBorders>
            <w:vAlign w:val="center"/>
          </w:tcPr>
          <w:p w:rsidR="00ED13F4" w:rsidRPr="008B53A9" w:rsidRDefault="00DA544B" w:rsidP="003A6FFF">
            <w:pPr>
              <w:pStyle w:val="Tabulka"/>
              <w:rPr>
                <w:rFonts w:cs="Calibri"/>
                <w:lang w:val="cs-CZ" w:eastAsia="cs-CZ"/>
              </w:rPr>
            </w:pPr>
            <w:r w:rsidRPr="008B53A9">
              <w:rPr>
                <w:rFonts w:cs="Calibri"/>
                <w:lang w:val="cs-CZ" w:eastAsia="cs-CZ"/>
              </w:rPr>
              <w:t>počet přerušení</w:t>
            </w:r>
            <w:r w:rsidR="00D57106" w:rsidRPr="008B53A9">
              <w:rPr>
                <w:rFonts w:cs="Calibri"/>
                <w:lang w:val="cs-CZ" w:eastAsia="cs-CZ"/>
              </w:rPr>
              <w:t xml:space="preserve"> </w:t>
            </w:r>
            <w:r w:rsidRPr="008B53A9">
              <w:rPr>
                <w:rFonts w:cs="Calibri"/>
                <w:lang w:val="cs-CZ" w:eastAsia="cs-CZ"/>
              </w:rPr>
              <w:t>/</w:t>
            </w:r>
            <w:r w:rsidR="00D57106" w:rsidRPr="008B53A9">
              <w:rPr>
                <w:rFonts w:cs="Calibri"/>
                <w:lang w:val="cs-CZ" w:eastAsia="cs-CZ"/>
              </w:rPr>
              <w:t xml:space="preserve"> </w:t>
            </w:r>
            <w:r w:rsidRPr="008B53A9">
              <w:rPr>
                <w:rFonts w:cs="Calibri"/>
                <w:lang w:val="cs-CZ" w:eastAsia="cs-CZ"/>
              </w:rPr>
              <w:t>rok</w:t>
            </w:r>
          </w:p>
        </w:tc>
        <w:tc>
          <w:tcPr>
            <w:tcW w:w="1201" w:type="dxa"/>
            <w:tcBorders>
              <w:top w:val="single" w:sz="4" w:space="0" w:color="000000"/>
              <w:left w:val="single" w:sz="4" w:space="0" w:color="000000"/>
              <w:bottom w:val="single" w:sz="4" w:space="0" w:color="000000"/>
              <w:right w:val="single" w:sz="4" w:space="0" w:color="000000"/>
            </w:tcBorders>
            <w:vAlign w:val="center"/>
          </w:tcPr>
          <w:p w:rsidR="00ED13F4" w:rsidRPr="008B53A9" w:rsidRDefault="00FD0399" w:rsidP="003A6FFF">
            <w:pPr>
              <w:pStyle w:val="Tabulka"/>
              <w:rPr>
                <w:rFonts w:cs="Calibri"/>
                <w:lang w:val="cs-CZ" w:eastAsia="cs-CZ"/>
              </w:rPr>
            </w:pPr>
            <w:r w:rsidRPr="008B53A9">
              <w:rPr>
                <w:rFonts w:cs="Calibri"/>
                <w:lang w:val="cs-CZ" w:eastAsia="cs-CZ"/>
              </w:rPr>
              <w:t>Méně rozvinuté regiony</w:t>
            </w:r>
          </w:p>
        </w:tc>
        <w:tc>
          <w:tcPr>
            <w:tcW w:w="970" w:type="dxa"/>
            <w:tcBorders>
              <w:top w:val="single" w:sz="4" w:space="0" w:color="000000"/>
              <w:left w:val="single" w:sz="4" w:space="0" w:color="000000"/>
              <w:bottom w:val="single" w:sz="4" w:space="0" w:color="000000"/>
              <w:right w:val="single" w:sz="4" w:space="0" w:color="000000"/>
            </w:tcBorders>
            <w:vAlign w:val="center"/>
          </w:tcPr>
          <w:p w:rsidR="00ED13F4" w:rsidRPr="008B53A9" w:rsidRDefault="007A1429" w:rsidP="003A6FFF">
            <w:pPr>
              <w:pStyle w:val="Tabulka"/>
              <w:rPr>
                <w:rFonts w:cs="Calibri"/>
                <w:lang w:val="cs-CZ" w:eastAsia="cs-CZ"/>
              </w:rPr>
            </w:pPr>
            <w:r w:rsidRPr="008B53A9">
              <w:rPr>
                <w:rFonts w:cs="Calibri"/>
                <w:lang w:val="cs-CZ" w:eastAsia="cs-CZ"/>
              </w:rPr>
              <w:t>2,755</w:t>
            </w:r>
          </w:p>
        </w:tc>
        <w:tc>
          <w:tcPr>
            <w:tcW w:w="992" w:type="dxa"/>
            <w:tcBorders>
              <w:top w:val="single" w:sz="4" w:space="0" w:color="000000"/>
              <w:left w:val="single" w:sz="4" w:space="0" w:color="000000"/>
              <w:bottom w:val="single" w:sz="4" w:space="0" w:color="000000"/>
              <w:right w:val="single" w:sz="4" w:space="0" w:color="000000"/>
            </w:tcBorders>
            <w:vAlign w:val="center"/>
          </w:tcPr>
          <w:p w:rsidR="00ED13F4" w:rsidRPr="008B53A9" w:rsidRDefault="007A1429" w:rsidP="003A6FFF">
            <w:pPr>
              <w:pStyle w:val="Tabulka"/>
              <w:rPr>
                <w:rFonts w:cs="Calibri"/>
                <w:lang w:val="cs-CZ" w:eastAsia="cs-CZ"/>
              </w:rPr>
            </w:pPr>
            <w:r w:rsidRPr="008B53A9">
              <w:rPr>
                <w:rFonts w:cs="Calibri"/>
                <w:lang w:val="cs-CZ" w:eastAsia="cs-CZ"/>
              </w:rPr>
              <w:t>2013</w:t>
            </w:r>
          </w:p>
        </w:tc>
        <w:tc>
          <w:tcPr>
            <w:tcW w:w="992" w:type="dxa"/>
            <w:tcBorders>
              <w:top w:val="single" w:sz="4" w:space="0" w:color="000000"/>
              <w:left w:val="single" w:sz="4" w:space="0" w:color="000000"/>
              <w:bottom w:val="single" w:sz="4" w:space="0" w:color="000000"/>
              <w:right w:val="single" w:sz="4" w:space="0" w:color="000000"/>
            </w:tcBorders>
            <w:vAlign w:val="center"/>
          </w:tcPr>
          <w:p w:rsidR="00ED13F4" w:rsidRPr="008B53A9" w:rsidRDefault="007A1429" w:rsidP="003A6FFF">
            <w:pPr>
              <w:pStyle w:val="Tabulka"/>
              <w:rPr>
                <w:rFonts w:cs="Calibri"/>
                <w:lang w:val="cs-CZ" w:eastAsia="cs-CZ"/>
              </w:rPr>
            </w:pPr>
            <w:r w:rsidRPr="008B53A9">
              <w:rPr>
                <w:rFonts w:cs="Calibri"/>
                <w:lang w:val="cs-CZ" w:eastAsia="cs-CZ"/>
              </w:rPr>
              <w:t>1,925</w:t>
            </w:r>
          </w:p>
        </w:tc>
        <w:tc>
          <w:tcPr>
            <w:tcW w:w="1445" w:type="dxa"/>
            <w:tcBorders>
              <w:top w:val="single" w:sz="4" w:space="0" w:color="000000"/>
              <w:left w:val="single" w:sz="4" w:space="0" w:color="000000"/>
              <w:bottom w:val="single" w:sz="4" w:space="0" w:color="000000"/>
              <w:right w:val="single" w:sz="4" w:space="0" w:color="000000"/>
            </w:tcBorders>
            <w:vAlign w:val="center"/>
          </w:tcPr>
          <w:p w:rsidR="00ED13F4" w:rsidRPr="008B53A9" w:rsidRDefault="00942A5B" w:rsidP="00120476">
            <w:pPr>
              <w:pStyle w:val="Tabulka"/>
              <w:rPr>
                <w:rFonts w:cs="Calibri"/>
                <w:lang w:val="cs-CZ" w:eastAsia="cs-CZ"/>
              </w:rPr>
            </w:pPr>
            <w:r w:rsidRPr="008B53A9">
              <w:rPr>
                <w:rFonts w:cs="Calibri"/>
                <w:lang w:val="cs-CZ" w:eastAsia="cs-CZ"/>
              </w:rPr>
              <w:t>Provozovatelé distribučních soustav</w:t>
            </w:r>
          </w:p>
        </w:tc>
        <w:tc>
          <w:tcPr>
            <w:tcW w:w="1020" w:type="dxa"/>
            <w:tcBorders>
              <w:top w:val="single" w:sz="4" w:space="0" w:color="000000"/>
              <w:left w:val="single" w:sz="4" w:space="0" w:color="000000"/>
              <w:bottom w:val="single" w:sz="4" w:space="0" w:color="000000"/>
              <w:right w:val="single" w:sz="4" w:space="0" w:color="000000"/>
            </w:tcBorders>
            <w:vAlign w:val="center"/>
          </w:tcPr>
          <w:p w:rsidR="00ED13F4" w:rsidRPr="008B53A9" w:rsidRDefault="005F2E5E" w:rsidP="003A6FFF">
            <w:pPr>
              <w:pStyle w:val="Tabulka"/>
              <w:rPr>
                <w:rFonts w:cs="Calibri"/>
                <w:lang w:val="cs-CZ" w:eastAsia="cs-CZ"/>
              </w:rPr>
            </w:pPr>
            <w:r w:rsidRPr="008B53A9">
              <w:rPr>
                <w:rFonts w:cs="Calibri"/>
                <w:lang w:val="cs-CZ" w:eastAsia="cs-CZ"/>
              </w:rPr>
              <w:t>Ročně</w:t>
            </w:r>
          </w:p>
        </w:tc>
      </w:tr>
      <w:tr w:rsidR="008F1E9F" w:rsidRPr="008B53A9">
        <w:trPr>
          <w:trHeight w:hRule="exact" w:val="1137"/>
        </w:trPr>
        <w:tc>
          <w:tcPr>
            <w:tcW w:w="908" w:type="dxa"/>
            <w:tcBorders>
              <w:top w:val="single" w:sz="4" w:space="0" w:color="000000"/>
              <w:left w:val="single" w:sz="4" w:space="0" w:color="000000"/>
              <w:bottom w:val="single" w:sz="4" w:space="0" w:color="000000"/>
              <w:right w:val="single" w:sz="4" w:space="0" w:color="000000"/>
            </w:tcBorders>
            <w:vAlign w:val="center"/>
          </w:tcPr>
          <w:p w:rsidR="008F1E9F" w:rsidRPr="008B53A9" w:rsidRDefault="004E0F70" w:rsidP="003A6FFF">
            <w:pPr>
              <w:pStyle w:val="Tabulka"/>
              <w:rPr>
                <w:rFonts w:cs="Calibri"/>
                <w:lang w:val="cs-CZ" w:eastAsia="cs-CZ"/>
              </w:rPr>
            </w:pPr>
            <w:r w:rsidRPr="008B53A9">
              <w:rPr>
                <w:rFonts w:cs="Calibri"/>
                <w:lang w:val="cs-CZ" w:eastAsia="cs-CZ"/>
              </w:rPr>
              <w:t>33600</w:t>
            </w:r>
          </w:p>
        </w:tc>
        <w:tc>
          <w:tcPr>
            <w:tcW w:w="811" w:type="dxa"/>
            <w:tcBorders>
              <w:top w:val="single" w:sz="4" w:space="0" w:color="000000"/>
              <w:left w:val="single" w:sz="4" w:space="0" w:color="000000"/>
              <w:bottom w:val="single" w:sz="4" w:space="0" w:color="000000"/>
              <w:right w:val="single" w:sz="4" w:space="0" w:color="000000"/>
            </w:tcBorders>
            <w:vAlign w:val="center"/>
          </w:tcPr>
          <w:p w:rsidR="008F1E9F" w:rsidRPr="008B53A9" w:rsidRDefault="008F1E9F" w:rsidP="003A6FFF">
            <w:pPr>
              <w:pStyle w:val="Tabulka"/>
              <w:jc w:val="left"/>
              <w:rPr>
                <w:rFonts w:cs="Calibri"/>
                <w:szCs w:val="20"/>
                <w:lang w:val="cs-CZ" w:eastAsia="cs-CZ"/>
              </w:rPr>
            </w:pPr>
            <w:r w:rsidRPr="008B53A9">
              <w:rPr>
                <w:rFonts w:cs="Calibri"/>
                <w:szCs w:val="20"/>
                <w:lang w:val="cs-CZ" w:eastAsia="cs-CZ"/>
              </w:rPr>
              <w:t>SAIDI</w:t>
            </w:r>
            <w:r w:rsidR="0068667C" w:rsidRPr="008B53A9">
              <w:rPr>
                <w:rStyle w:val="Znakapoznpodarou"/>
                <w:rFonts w:cs="Calibri"/>
                <w:szCs w:val="20"/>
                <w:lang w:val="cs-CZ" w:eastAsia="cs-CZ"/>
              </w:rPr>
              <w:footnoteReference w:id="59"/>
            </w:r>
          </w:p>
        </w:tc>
        <w:tc>
          <w:tcPr>
            <w:tcW w:w="987" w:type="dxa"/>
            <w:tcBorders>
              <w:top w:val="single" w:sz="4" w:space="0" w:color="000000"/>
              <w:left w:val="single" w:sz="4" w:space="0" w:color="000000"/>
              <w:bottom w:val="single" w:sz="4" w:space="0" w:color="000000"/>
              <w:right w:val="single" w:sz="4" w:space="0" w:color="000000"/>
            </w:tcBorders>
            <w:vAlign w:val="center"/>
          </w:tcPr>
          <w:p w:rsidR="008F1E9F" w:rsidRPr="008B53A9" w:rsidRDefault="008F1E9F" w:rsidP="003A6FFF">
            <w:pPr>
              <w:pStyle w:val="Tabulka"/>
              <w:rPr>
                <w:rFonts w:cs="Calibri"/>
                <w:lang w:val="cs-CZ" w:eastAsia="cs-CZ"/>
              </w:rPr>
            </w:pPr>
            <w:r w:rsidRPr="008B53A9">
              <w:rPr>
                <w:rFonts w:cs="Calibri"/>
                <w:lang w:val="cs-CZ" w:eastAsia="cs-CZ"/>
              </w:rPr>
              <w:t>délka přerušení v</w:t>
            </w:r>
            <w:r w:rsidR="00D57106" w:rsidRPr="008B53A9">
              <w:rPr>
                <w:rFonts w:cs="Calibri"/>
                <w:lang w:val="cs-CZ" w:eastAsia="cs-CZ"/>
              </w:rPr>
              <w:t> </w:t>
            </w:r>
            <w:r w:rsidRPr="008B53A9">
              <w:rPr>
                <w:rFonts w:cs="Calibri"/>
                <w:lang w:val="cs-CZ" w:eastAsia="cs-CZ"/>
              </w:rPr>
              <w:t>min</w:t>
            </w:r>
            <w:r w:rsidR="00D57106" w:rsidRPr="008B53A9">
              <w:rPr>
                <w:rFonts w:cs="Calibri"/>
                <w:lang w:val="cs-CZ" w:eastAsia="cs-CZ"/>
              </w:rPr>
              <w:t xml:space="preserve"> </w:t>
            </w:r>
            <w:r w:rsidRPr="008B53A9">
              <w:rPr>
                <w:rFonts w:cs="Calibri"/>
                <w:lang w:val="cs-CZ" w:eastAsia="cs-CZ"/>
              </w:rPr>
              <w:t>/</w:t>
            </w:r>
            <w:r w:rsidR="00D57106" w:rsidRPr="008B53A9">
              <w:rPr>
                <w:rFonts w:cs="Calibri"/>
                <w:lang w:val="cs-CZ" w:eastAsia="cs-CZ"/>
              </w:rPr>
              <w:t xml:space="preserve"> </w:t>
            </w:r>
            <w:r w:rsidRPr="008B53A9">
              <w:rPr>
                <w:rFonts w:cs="Calibri"/>
                <w:lang w:val="cs-CZ" w:eastAsia="cs-CZ"/>
              </w:rPr>
              <w:t>rok</w:t>
            </w:r>
          </w:p>
        </w:tc>
        <w:tc>
          <w:tcPr>
            <w:tcW w:w="1201" w:type="dxa"/>
            <w:tcBorders>
              <w:top w:val="single" w:sz="4" w:space="0" w:color="000000"/>
              <w:left w:val="single" w:sz="4" w:space="0" w:color="000000"/>
              <w:bottom w:val="single" w:sz="4" w:space="0" w:color="000000"/>
              <w:right w:val="single" w:sz="4" w:space="0" w:color="000000"/>
            </w:tcBorders>
            <w:vAlign w:val="center"/>
          </w:tcPr>
          <w:p w:rsidR="008F1E9F" w:rsidRPr="008B53A9" w:rsidRDefault="008F1E9F" w:rsidP="003A6FFF">
            <w:pPr>
              <w:pStyle w:val="Tabulka"/>
              <w:rPr>
                <w:rFonts w:cs="Calibri"/>
                <w:lang w:val="cs-CZ" w:eastAsia="cs-CZ"/>
              </w:rPr>
            </w:pPr>
            <w:r w:rsidRPr="008B53A9">
              <w:rPr>
                <w:rFonts w:cs="Calibri"/>
                <w:lang w:val="cs-CZ" w:eastAsia="cs-CZ"/>
              </w:rPr>
              <w:t>Méně rozvinuté regiony</w:t>
            </w:r>
          </w:p>
        </w:tc>
        <w:tc>
          <w:tcPr>
            <w:tcW w:w="970" w:type="dxa"/>
            <w:tcBorders>
              <w:top w:val="single" w:sz="4" w:space="0" w:color="000000"/>
              <w:left w:val="single" w:sz="4" w:space="0" w:color="000000"/>
              <w:bottom w:val="single" w:sz="4" w:space="0" w:color="000000"/>
              <w:right w:val="single" w:sz="4" w:space="0" w:color="000000"/>
            </w:tcBorders>
            <w:vAlign w:val="center"/>
          </w:tcPr>
          <w:p w:rsidR="008F1E9F" w:rsidRPr="008B53A9" w:rsidRDefault="00157ABA" w:rsidP="003A6FFF">
            <w:pPr>
              <w:pStyle w:val="Tabulka"/>
              <w:rPr>
                <w:rFonts w:cs="Calibri"/>
                <w:lang w:val="cs-CZ" w:eastAsia="cs-CZ"/>
              </w:rPr>
            </w:pPr>
            <w:r w:rsidRPr="008B53A9">
              <w:rPr>
                <w:rFonts w:cs="Calibri"/>
                <w:lang w:val="cs-CZ" w:eastAsia="cs-CZ"/>
              </w:rPr>
              <w:t>394,33</w:t>
            </w:r>
          </w:p>
        </w:tc>
        <w:tc>
          <w:tcPr>
            <w:tcW w:w="992" w:type="dxa"/>
            <w:tcBorders>
              <w:top w:val="single" w:sz="4" w:space="0" w:color="000000"/>
              <w:left w:val="single" w:sz="4" w:space="0" w:color="000000"/>
              <w:bottom w:val="single" w:sz="4" w:space="0" w:color="000000"/>
              <w:right w:val="single" w:sz="4" w:space="0" w:color="000000"/>
            </w:tcBorders>
            <w:vAlign w:val="center"/>
          </w:tcPr>
          <w:p w:rsidR="008F1E9F" w:rsidRPr="008B53A9" w:rsidRDefault="00157ABA" w:rsidP="003A6FFF">
            <w:pPr>
              <w:pStyle w:val="Tabulka"/>
              <w:rPr>
                <w:rFonts w:cs="Calibri"/>
                <w:lang w:val="cs-CZ" w:eastAsia="cs-CZ"/>
              </w:rPr>
            </w:pPr>
            <w:r w:rsidRPr="008B53A9">
              <w:rPr>
                <w:rFonts w:cs="Calibri"/>
                <w:lang w:val="cs-CZ" w:eastAsia="cs-CZ"/>
              </w:rPr>
              <w:t>2013</w:t>
            </w:r>
          </w:p>
        </w:tc>
        <w:tc>
          <w:tcPr>
            <w:tcW w:w="992" w:type="dxa"/>
            <w:tcBorders>
              <w:top w:val="single" w:sz="4" w:space="0" w:color="000000"/>
              <w:left w:val="single" w:sz="4" w:space="0" w:color="000000"/>
              <w:bottom w:val="single" w:sz="4" w:space="0" w:color="000000"/>
              <w:right w:val="single" w:sz="4" w:space="0" w:color="000000"/>
            </w:tcBorders>
            <w:vAlign w:val="center"/>
          </w:tcPr>
          <w:p w:rsidR="008F1E9F" w:rsidRPr="008B53A9" w:rsidRDefault="00157ABA" w:rsidP="003A6FFF">
            <w:pPr>
              <w:pStyle w:val="Tabulka"/>
              <w:rPr>
                <w:rFonts w:cs="Calibri"/>
                <w:lang w:val="cs-CZ" w:eastAsia="cs-CZ"/>
              </w:rPr>
            </w:pPr>
            <w:r w:rsidRPr="008B53A9">
              <w:rPr>
                <w:rFonts w:cs="Calibri"/>
                <w:lang w:val="cs-CZ" w:eastAsia="cs-CZ"/>
              </w:rPr>
              <w:t>230</w:t>
            </w:r>
          </w:p>
        </w:tc>
        <w:tc>
          <w:tcPr>
            <w:tcW w:w="1445" w:type="dxa"/>
            <w:tcBorders>
              <w:top w:val="single" w:sz="4" w:space="0" w:color="000000"/>
              <w:left w:val="single" w:sz="4" w:space="0" w:color="000000"/>
              <w:bottom w:val="single" w:sz="4" w:space="0" w:color="000000"/>
              <w:right w:val="single" w:sz="4" w:space="0" w:color="000000"/>
            </w:tcBorders>
            <w:vAlign w:val="center"/>
          </w:tcPr>
          <w:p w:rsidR="008F1E9F" w:rsidRPr="008B53A9" w:rsidRDefault="00942A5B" w:rsidP="00120476">
            <w:pPr>
              <w:pStyle w:val="Tabulka"/>
              <w:rPr>
                <w:rFonts w:cs="Calibri"/>
                <w:lang w:val="cs-CZ" w:eastAsia="cs-CZ"/>
              </w:rPr>
            </w:pPr>
            <w:r w:rsidRPr="008B53A9">
              <w:rPr>
                <w:rFonts w:cs="Calibri"/>
                <w:lang w:val="cs-CZ" w:eastAsia="cs-CZ"/>
              </w:rPr>
              <w:t>Provozovatelé distribučních soustav</w:t>
            </w:r>
          </w:p>
        </w:tc>
        <w:tc>
          <w:tcPr>
            <w:tcW w:w="1020" w:type="dxa"/>
            <w:tcBorders>
              <w:top w:val="single" w:sz="4" w:space="0" w:color="000000"/>
              <w:left w:val="single" w:sz="4" w:space="0" w:color="000000"/>
              <w:bottom w:val="single" w:sz="4" w:space="0" w:color="000000"/>
              <w:right w:val="single" w:sz="4" w:space="0" w:color="000000"/>
            </w:tcBorders>
            <w:vAlign w:val="center"/>
          </w:tcPr>
          <w:p w:rsidR="008F1E9F" w:rsidRPr="008B53A9" w:rsidRDefault="005F2E5E" w:rsidP="003A6FFF">
            <w:pPr>
              <w:pStyle w:val="Tabulka"/>
              <w:rPr>
                <w:rFonts w:cs="Calibri"/>
                <w:lang w:val="cs-CZ" w:eastAsia="cs-CZ"/>
              </w:rPr>
            </w:pPr>
            <w:r w:rsidRPr="008B53A9">
              <w:rPr>
                <w:rFonts w:cs="Calibri"/>
                <w:lang w:val="cs-CZ" w:eastAsia="cs-CZ"/>
              </w:rPr>
              <w:t>Ročně</w:t>
            </w:r>
          </w:p>
        </w:tc>
      </w:tr>
    </w:tbl>
    <w:p w:rsidR="00EC2D25" w:rsidRPr="008B53A9" w:rsidRDefault="00EC2D25" w:rsidP="003A6FFF">
      <w:pPr>
        <w:pStyle w:val="kapitola2A0"/>
        <w:numPr>
          <w:ilvl w:val="2"/>
          <w:numId w:val="72"/>
        </w:numPr>
      </w:pPr>
      <w:bookmarkStart w:id="69" w:name="_Toc391539637"/>
      <w:r w:rsidRPr="008B53A9">
        <w:t>Opatření, jež má být podpořeno v rámci investiční priority</w:t>
      </w:r>
      <w:bookmarkEnd w:id="69"/>
    </w:p>
    <w:p w:rsidR="0058402E" w:rsidRPr="008B53A9" w:rsidRDefault="00D479AF" w:rsidP="003A6FFF">
      <w:pPr>
        <w:pStyle w:val="Nadpis5"/>
        <w:numPr>
          <w:ilvl w:val="4"/>
          <w:numId w:val="22"/>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58402E" w:rsidRPr="008B53A9" w:rsidRDefault="00177462" w:rsidP="007D5585">
      <w:pPr>
        <w:pStyle w:val="Standardntext"/>
        <w:keepNext/>
        <w:keepLines/>
        <w:rPr>
          <w:b/>
        </w:rPr>
      </w:pPr>
      <w:r w:rsidRPr="008B53A9">
        <w:rPr>
          <w:b/>
        </w:rPr>
        <w:t>Indikativní výčet podporovaných aktivit:</w:t>
      </w:r>
    </w:p>
    <w:p w:rsidR="00F24686" w:rsidRPr="008B53A9" w:rsidRDefault="00E314F2" w:rsidP="005F43DF">
      <w:pPr>
        <w:pStyle w:val="Standardntext"/>
        <w:numPr>
          <w:ilvl w:val="0"/>
          <w:numId w:val="40"/>
        </w:numPr>
      </w:pPr>
      <w:r w:rsidRPr="008B53A9">
        <w:t>N</w:t>
      </w:r>
      <w:r w:rsidR="00F24686" w:rsidRPr="008B53A9">
        <w:t xml:space="preserve">asazení </w:t>
      </w:r>
      <w:r w:rsidR="00DA544B" w:rsidRPr="008B53A9">
        <w:t xml:space="preserve">automatizovaných </w:t>
      </w:r>
      <w:r w:rsidR="00F24686" w:rsidRPr="008B53A9">
        <w:t>dálkově ovládaných prvků v distribučních soustavách,</w:t>
      </w:r>
    </w:p>
    <w:p w:rsidR="00F24686" w:rsidRPr="008B53A9" w:rsidRDefault="00F24686" w:rsidP="005F43DF">
      <w:pPr>
        <w:pStyle w:val="Standardntext"/>
        <w:numPr>
          <w:ilvl w:val="0"/>
          <w:numId w:val="40"/>
        </w:numPr>
      </w:pPr>
      <w:r w:rsidRPr="008B53A9">
        <w:lastRenderedPageBreak/>
        <w:t xml:space="preserve">nasazení technologických prvků řízení napětí </w:t>
      </w:r>
      <w:r w:rsidR="00DA544B" w:rsidRPr="008B53A9">
        <w:t xml:space="preserve">a výběrové osazení měření kvality elektrické energie </w:t>
      </w:r>
      <w:r w:rsidRPr="008B53A9">
        <w:t>v distribučních soustavách,</w:t>
      </w:r>
    </w:p>
    <w:p w:rsidR="00F24686" w:rsidRPr="008B53A9" w:rsidRDefault="00E314F2" w:rsidP="005F43DF">
      <w:pPr>
        <w:pStyle w:val="Standardntext"/>
        <w:numPr>
          <w:ilvl w:val="0"/>
          <w:numId w:val="40"/>
        </w:numPr>
      </w:pPr>
      <w:r w:rsidRPr="008B53A9">
        <w:t xml:space="preserve">řešení </w:t>
      </w:r>
      <w:r w:rsidR="00DA544B" w:rsidRPr="008B53A9">
        <w:t>lokální bilance řízením toků výkonu mezi odběrateli a provozovatelem distribuční sítě</w:t>
      </w:r>
      <w:r w:rsidRPr="008B53A9">
        <w:t>.</w:t>
      </w:r>
    </w:p>
    <w:p w:rsidR="00896EDF" w:rsidRPr="008B53A9" w:rsidRDefault="00E314F2" w:rsidP="00E314F2">
      <w:pPr>
        <w:pStyle w:val="Standardntext"/>
        <w:rPr>
          <w:lang w:val="cs-CZ"/>
        </w:rPr>
      </w:pPr>
      <w:r w:rsidRPr="008B53A9">
        <w:t>Typovým projektem v rámci tohoto specifického cíle je nasazení vyššího</w:t>
      </w:r>
      <w:r w:rsidR="00E7342F" w:rsidRPr="008B53A9">
        <w:t xml:space="preserve"> počtu </w:t>
      </w:r>
      <w:r w:rsidR="00DA544B" w:rsidRPr="008B53A9">
        <w:t xml:space="preserve">automatizovaných </w:t>
      </w:r>
      <w:r w:rsidR="00E7342F" w:rsidRPr="008B53A9">
        <w:t>dálkově ovládaných prvků</w:t>
      </w:r>
      <w:r w:rsidRPr="008B53A9">
        <w:t xml:space="preserve"> v distribuční soustavě na hladině </w:t>
      </w:r>
      <w:r w:rsidR="00F444C1" w:rsidRPr="008B53A9">
        <w:t xml:space="preserve">středního </w:t>
      </w:r>
      <w:r w:rsidRPr="008B53A9">
        <w:t xml:space="preserve">napětí na topologicky vhodně zvolená místa. </w:t>
      </w:r>
      <w:r w:rsidR="00DA544B" w:rsidRPr="008B53A9">
        <w:t>Dálkově ovládané prvky zlepší spolehlivost dodávky ve smyslu počtu přeruše</w:t>
      </w:r>
      <w:r w:rsidR="00E43457" w:rsidRPr="008B53A9">
        <w:t>ní a zkrácení doby nedodávky elektrické</w:t>
      </w:r>
      <w:r w:rsidR="00DA544B" w:rsidRPr="008B53A9">
        <w:t xml:space="preserve"> energie, snížení počtu postižených zákazníků a snížení nákladů souvisejících s identifikací poruchy v postiženém úseku vedení. Mezi automatizované dálkově ovládané prvky patří vypínače s funkcionalitou opětovného zapnutí, reclosery, dálkově ovládané odpínače s indikací, indikátory poruchových proudů, apod. Určení topologicky vhodně zvoleného místa bude na základě předložené výpočtové studie vždy s výběrem výsledné technické varianty řešení dle parametrů SAIDI a </w:t>
      </w:r>
      <w:r w:rsidR="007E355B" w:rsidRPr="008B53A9">
        <w:t>čisté současné hodnoty</w:t>
      </w:r>
      <w:r w:rsidR="00DA544B" w:rsidRPr="008B53A9">
        <w:t>.</w:t>
      </w:r>
    </w:p>
    <w:p w:rsidR="00E314F2" w:rsidRPr="008B53A9" w:rsidRDefault="00942A5B" w:rsidP="00E314F2">
      <w:pPr>
        <w:pStyle w:val="Standardntext"/>
      </w:pPr>
      <w:r w:rsidRPr="008B53A9">
        <w:t xml:space="preserve">Výstupem projektu bude nasazení dálkově </w:t>
      </w:r>
      <w:r w:rsidR="00E314F2" w:rsidRPr="008B53A9">
        <w:t xml:space="preserve">ovládaných prvků v distribuční soustavě, které se promítají do výsledků ve formě snížení provozních nákladů </w:t>
      </w:r>
      <w:r w:rsidR="00E873A7" w:rsidRPr="008B53A9">
        <w:t>provozovatele distribuční soustavy</w:t>
      </w:r>
      <w:r w:rsidR="00E314F2" w:rsidRPr="008B53A9">
        <w:t xml:space="preserve"> spojené s </w:t>
      </w:r>
      <w:r w:rsidR="00E873A7" w:rsidRPr="008B53A9">
        <w:t>obnovou a zajištěním dodávek elektrické energie</w:t>
      </w:r>
      <w:r w:rsidR="00E43457" w:rsidRPr="008B53A9">
        <w:t>,</w:t>
      </w:r>
      <w:r w:rsidR="00E314F2" w:rsidRPr="008B53A9">
        <w:t xml:space="preserve"> z</w:t>
      </w:r>
      <w:r w:rsidR="00E873A7" w:rsidRPr="008B53A9">
        <w:t>výšení spolehlivosti dodávek elektrické energie</w:t>
      </w:r>
      <w:r w:rsidR="00E43457" w:rsidRPr="008B53A9">
        <w:t xml:space="preserve"> a postupné přiblížení spolehlivosti dodávek na úroveň obvyklou v zemích EU-15.</w:t>
      </w:r>
    </w:p>
    <w:p w:rsidR="00E43457" w:rsidRPr="008B53A9" w:rsidRDefault="00E43457" w:rsidP="00E43457">
      <w:pPr>
        <w:pStyle w:val="Standardntext"/>
      </w:pPr>
      <w:r w:rsidRPr="008B53A9">
        <w:t>Dalším typovým projektem v rámci tohoto specifického cíle je nasazení technologických prvků řízení napětí v distribučních soustavách a výběrové osazení měření kvality na hladině nízkého</w:t>
      </w:r>
      <w:r w:rsidR="00007987" w:rsidRPr="008B53A9">
        <w:t xml:space="preserve"> (nn)</w:t>
      </w:r>
      <w:r w:rsidRPr="008B53A9">
        <w:t xml:space="preserve"> a středního </w:t>
      </w:r>
      <w:r w:rsidR="00007987" w:rsidRPr="008B53A9">
        <w:t xml:space="preserve">(vn) </w:t>
      </w:r>
      <w:r w:rsidRPr="008B53A9">
        <w:t xml:space="preserve">napětí. Tyto prvky umožní zvýšení kvality dodávané energie (především parametr napětí), umožní eliminaci nepříznivých jevů nepredikovatelných výrobních zdrojů na kvalitu napětí a připraví distribuční společnosti na další očekávanou integraci decentralizovaných zdrojů energie. </w:t>
      </w:r>
    </w:p>
    <w:p w:rsidR="00E43457" w:rsidRPr="008B53A9" w:rsidRDefault="00E43457" w:rsidP="00E43457">
      <w:pPr>
        <w:pStyle w:val="Standardntext"/>
      </w:pPr>
      <w:r w:rsidRPr="008B53A9">
        <w:t>Mezi technologické prvky řízení napětí patří linkové kondicionéry na nn úrovni, distribuční transformátory vn/nn s automatickou regulací odboček pod zátěží a opatření na straně provozovatele distribuční sítě v oblasti regulace jalového výkonu výroben (úpravy dispečerských řídicích systémů, úpravy a integrace SW algoritmů pro řízení napětí v jednotlivých oblastech 110 kV/vn, prostředky dálkové komunikace a doplnění měření). Mezi technologické prvky měření kvality na vn/nn úrovni patří výběrové osazení univerzálních monitorů, integrovaných datových koncentrátorů umožňujících měření parametrů kvality, prostředků dálkové komunikace, úpravu SW systémů pro vyhodnocování kvality el. energie).</w:t>
      </w:r>
    </w:p>
    <w:p w:rsidR="00E43457" w:rsidRPr="008B53A9" w:rsidRDefault="00942A5B" w:rsidP="00E43457">
      <w:pPr>
        <w:pStyle w:val="Standardntext"/>
      </w:pPr>
      <w:r w:rsidRPr="008B53A9">
        <w:t xml:space="preserve">Výstupem projektu bude nasazení prvků řízení napětí v distribučních soustavách a výběrové osazení </w:t>
      </w:r>
      <w:r w:rsidR="00E43457" w:rsidRPr="008B53A9">
        <w:t>měření kvality na vn/nn úrovni, které se promítají do výsledků ve formě snížení investičních nákladů provozovatele distribuční soustavy spojené s nápra</w:t>
      </w:r>
      <w:r w:rsidR="00007987" w:rsidRPr="008B53A9">
        <w:t>vným řešením kvality dodávek elektrické</w:t>
      </w:r>
      <w:r w:rsidR="00E43457" w:rsidRPr="008B53A9">
        <w:t xml:space="preserve"> energie, snížením počtu stížností zák</w:t>
      </w:r>
      <w:r w:rsidR="00007987" w:rsidRPr="008B53A9">
        <w:t>azníků na kvalitu elektrické</w:t>
      </w:r>
      <w:r w:rsidR="00E43457" w:rsidRPr="008B53A9">
        <w:t xml:space="preserve"> energie, snížením budoucího rizika zhoršování kvality napětí související s dalším připojováním decentralizovaných zdrojů energie na hladině nn a provozování vn vedení s konstantní úrovní napětí, tzn. zvýšení bezpečnosti a spolehlivosti.</w:t>
      </w:r>
    </w:p>
    <w:p w:rsidR="00E43457" w:rsidRPr="008B53A9" w:rsidRDefault="00E43457" w:rsidP="00007987">
      <w:pPr>
        <w:pStyle w:val="Standardntext"/>
      </w:pPr>
      <w:r w:rsidRPr="008B53A9">
        <w:t>Dalším typovým projektem v rámci tohoto specifického cíle je technologické řešení lokální bilance řízením toků výkonu mezi odběrateli a provozovatelem distribuční sítě. Využitím dostupného výkonu akumulačních spotřebičů a změny logiky spínání hromadného dálkového ovládání na výkonovou bilanci distribuční trafostanice se sníží</w:t>
      </w:r>
      <w:r w:rsidR="00007987" w:rsidRPr="008B53A9">
        <w:t>,</w:t>
      </w:r>
      <w:r w:rsidRPr="008B53A9">
        <w:t xml:space="preserve"> až eliminují negativní vlivy lokálně zapojených nepredikovatelných výrobních zdrojů (FVE), především přetoky el</w:t>
      </w:r>
      <w:r w:rsidR="00007987" w:rsidRPr="008B53A9">
        <w:t>ektrické</w:t>
      </w:r>
      <w:r w:rsidRPr="008B53A9">
        <w:t xml:space="preserve"> </w:t>
      </w:r>
      <w:r w:rsidRPr="008B53A9">
        <w:lastRenderedPageBreak/>
        <w:t xml:space="preserve">energie do vyšší napěťové hladiny. Mezi technologické prvky lokální bilance řízení patří spínače dostupného výkonu akumulačních spotřebičů u odběratelů, predikční nástroje pro výrobní zdroje (FVE) na lokální úrovni a </w:t>
      </w:r>
      <w:r w:rsidR="00007987" w:rsidRPr="008B53A9">
        <w:t>řídicí</w:t>
      </w:r>
      <w:r w:rsidRPr="008B53A9">
        <w:t xml:space="preserve"> systém na lokální úrovni.</w:t>
      </w:r>
    </w:p>
    <w:p w:rsidR="00E43457" w:rsidRPr="008B53A9" w:rsidRDefault="00E43457" w:rsidP="00007987">
      <w:pPr>
        <w:pStyle w:val="Standardntext"/>
      </w:pPr>
      <w:r w:rsidRPr="008B53A9">
        <w:t>Výstupem projektu bude nasazení prvků řešení lokální bilance řízením toků výkonu mezi odběrateli a provozovatelem distribuční sítě, které se promítají do výsledků ve formě eliminace přetoků do vyšších napěťových hladin, snižování ztrát a zvyšování účinnosti distribuce el</w:t>
      </w:r>
      <w:r w:rsidR="00007987" w:rsidRPr="008B53A9">
        <w:t>ektrické</w:t>
      </w:r>
      <w:r w:rsidRPr="008B53A9">
        <w:t xml:space="preserve"> energie na lokální úrovni.</w:t>
      </w:r>
    </w:p>
    <w:p w:rsidR="00E314F2" w:rsidRPr="008B53A9" w:rsidRDefault="00C64425" w:rsidP="00E314F2">
      <w:pPr>
        <w:pStyle w:val="Standardntext"/>
      </w:pPr>
      <w:r w:rsidRPr="008B53A9">
        <w:t>Aktivity jsou definovány ve vazbě na aktualizovanou Státní energetickou koncepci</w:t>
      </w:r>
      <w:r w:rsidR="007D0E83" w:rsidRPr="008B53A9">
        <w:t>, přičemž p</w:t>
      </w:r>
      <w:r w:rsidR="00007987" w:rsidRPr="008B53A9">
        <w:t>odrobnější specifikace realizovaných opatření bude v souladu s cíli a kartami opatření </w:t>
      </w:r>
      <w:r w:rsidR="00E314F2" w:rsidRPr="008B53A9">
        <w:t xml:space="preserve">Národního akčního plánu </w:t>
      </w:r>
      <w:r w:rsidR="00007987" w:rsidRPr="008B53A9">
        <w:t>Smart Grids</w:t>
      </w:r>
      <w:r w:rsidR="00E314F2" w:rsidRPr="008B53A9">
        <w:t>.</w:t>
      </w:r>
    </w:p>
    <w:p w:rsidR="0058402E" w:rsidRPr="008B53A9" w:rsidRDefault="0058402E" w:rsidP="00D540FC">
      <w:pPr>
        <w:pStyle w:val="Standardntext"/>
      </w:pPr>
      <w:r w:rsidRPr="008B53A9">
        <w:rPr>
          <w:b/>
        </w:rPr>
        <w:t xml:space="preserve">Hlavní cílová skupina: </w:t>
      </w:r>
      <w:r w:rsidR="00127389" w:rsidRPr="008B53A9">
        <w:t>P</w:t>
      </w:r>
      <w:r w:rsidR="00D540FC" w:rsidRPr="008B53A9">
        <w:t>rovozovatelé distribučních soustav, kteří se hodlají soustředit na modernizaci a rozvoj distribučních soustav.</w:t>
      </w:r>
      <w:r w:rsidRPr="008B53A9">
        <w:t xml:space="preserve"> </w:t>
      </w:r>
    </w:p>
    <w:p w:rsidR="0058402E" w:rsidRPr="008B53A9" w:rsidRDefault="0058402E" w:rsidP="00D540FC">
      <w:pPr>
        <w:pStyle w:val="Standardntext"/>
      </w:pPr>
      <w:r w:rsidRPr="008B53A9">
        <w:rPr>
          <w:b/>
        </w:rPr>
        <w:t>Cílové území:</w:t>
      </w:r>
      <w:r w:rsidRPr="008B53A9">
        <w:t xml:space="preserve"> </w:t>
      </w:r>
      <w:r w:rsidR="001E0AA2" w:rsidRPr="008B53A9">
        <w:t>Území České republiky, mimo území hl. m. Prahy.</w:t>
      </w:r>
      <w:r w:rsidR="00015039" w:rsidRPr="008B53A9">
        <w:t xml:space="preserve"> </w:t>
      </w:r>
      <w:r w:rsidR="00A46CD6" w:rsidRPr="008B53A9">
        <w:t>Předpokládá se plošné směrování intervencí bez vymezení územní dimenze</w:t>
      </w:r>
      <w:r w:rsidR="00015039" w:rsidRPr="008B53A9">
        <w:t>.</w:t>
      </w:r>
    </w:p>
    <w:p w:rsidR="007D0E83" w:rsidRPr="008B53A9" w:rsidRDefault="0058402E" w:rsidP="007D0E83">
      <w:pPr>
        <w:pStyle w:val="Standardntext"/>
      </w:pPr>
      <w:r w:rsidRPr="008B53A9">
        <w:rPr>
          <w:b/>
        </w:rPr>
        <w:t xml:space="preserve">Typy příjemců: </w:t>
      </w:r>
      <w:r w:rsidRPr="008B53A9">
        <w:t>Podnikatelské subjekty (</w:t>
      </w:r>
      <w:r w:rsidR="00D540FC" w:rsidRPr="008B53A9">
        <w:t>zejména střední a velké podniky</w:t>
      </w:r>
      <w:r w:rsidRPr="008B53A9">
        <w:t>).</w:t>
      </w:r>
      <w:r w:rsidR="00E314F2" w:rsidRPr="008B53A9">
        <w:t xml:space="preserve"> Provozovatelé distribučních sítí jsou </w:t>
      </w:r>
      <w:r w:rsidR="007D0E83" w:rsidRPr="008B53A9">
        <w:t xml:space="preserve">v ČR </w:t>
      </w:r>
      <w:r w:rsidR="00E314F2" w:rsidRPr="008B53A9">
        <w:t xml:space="preserve">zpravidla velké podniky, tudíž rozvoj </w:t>
      </w:r>
      <w:r w:rsidR="007D0E83" w:rsidRPr="008B53A9">
        <w:t>inteligentních</w:t>
      </w:r>
      <w:r w:rsidR="00E314F2" w:rsidRPr="008B53A9">
        <w:t xml:space="preserve"> sítí nelze realizovat v segmentu malých a středních firem.</w:t>
      </w:r>
      <w:r w:rsidR="007D0E83" w:rsidRPr="008B53A9">
        <w:t xml:space="preserve"> Provozovatelé distribučních sítí jsou držitelem licence na distribuci elektřiny a zřizují technický dispečink pro výkon činností v případě, že provozují zařízení s napětím 110 kV ve smyslu energetického zákona č. 458/2000 Sb. K realizaci výše uvedených podporovaných aktivit je nutné dispečerské řízení prostřednictvím technického dispečinku. Odpovědnost za realizaci podporovaných aktivit inteligentních sítí mají provozovatelé distribučních sítí, jak vyplývá např. z dokumentů SET Plan / iniciativy European Electricity Grid Initiative.</w:t>
      </w:r>
    </w:p>
    <w:p w:rsidR="0058402E" w:rsidRPr="008B53A9" w:rsidRDefault="00BA6461" w:rsidP="005F43DF">
      <w:pPr>
        <w:pStyle w:val="Nadpis5"/>
        <w:numPr>
          <w:ilvl w:val="4"/>
          <w:numId w:val="22"/>
        </w:numPr>
      </w:pPr>
      <w:r w:rsidRPr="008B53A9">
        <w:t>Hlavní zásady pro výběr operací</w:t>
      </w:r>
    </w:p>
    <w:p w:rsidR="0042487A" w:rsidRPr="008B53A9" w:rsidRDefault="00D540FC" w:rsidP="0042487A">
      <w:pPr>
        <w:pStyle w:val="Standardntext"/>
      </w:pPr>
      <w:r w:rsidRPr="008B53A9">
        <w:t xml:space="preserve">V rámci této investiční priority budou vyhlašovány výzvy na předkládání individuálních projektů. </w:t>
      </w:r>
      <w:r w:rsidR="00855A0B" w:rsidRPr="008B53A9">
        <w:t>Předložené projekty budou  nejdříve posuzovány ze strany řídícího orgánu / zprostředkujícího subjektu z pohledu jejich souladu s podmínkami daného programu podpory.</w:t>
      </w:r>
      <w:r w:rsidRPr="008B53A9">
        <w:t xml:space="preserve"> Projektové žádosti, které úspěšně projdou tímto procesem, bu</w:t>
      </w:r>
      <w:r w:rsidR="00E873A7" w:rsidRPr="008B53A9">
        <w:t xml:space="preserve">dou následně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w:t>
      </w:r>
      <w:r w:rsidR="006B1736" w:rsidRPr="008B53A9">
        <w:t>kritérií odpovídajících charakteru</w:t>
      </w:r>
      <w:r w:rsidRPr="008B53A9">
        <w:t xml:space="preserve"> jednotlivých specifických cílů. </w:t>
      </w:r>
      <w:r w:rsidR="00952A8B" w:rsidRPr="008B53A9">
        <w:t xml:space="preserve">Ve finální fázi hodnocení </w:t>
      </w:r>
      <w:r w:rsidRPr="008B53A9">
        <w:t xml:space="preserve">budou doporučené projekty posuzovány hodnotitelskou komisí, která bude tvořena zástupci ŘO a dalšími relevantními partnery </w:t>
      </w:r>
      <w:r w:rsidR="00963119" w:rsidRPr="008B53A9">
        <w:t xml:space="preserve">a experty </w:t>
      </w:r>
      <w:r w:rsidRPr="008B53A9">
        <w:t xml:space="preserve">na </w:t>
      </w:r>
      <w:r w:rsidR="00F77E1E" w:rsidRPr="008B53A9">
        <w:t>danou problematiku</w:t>
      </w:r>
      <w:r w:rsidR="002D6D64" w:rsidRPr="008B53A9">
        <w:t xml:space="preserve">, popř </w:t>
      </w:r>
      <w:r w:rsidR="00F77E1E" w:rsidRPr="008B53A9">
        <w:t>regionálními partnery</w:t>
      </w:r>
      <w:r w:rsidR="002D6D64" w:rsidRPr="008B53A9">
        <w:t xml:space="preserve">. </w:t>
      </w:r>
      <w:r w:rsidR="0020084D" w:rsidRPr="008B53A9">
        <w:t xml:space="preserve">Výběr </w:t>
      </w:r>
      <w:r w:rsidR="002730C3" w:rsidRPr="008B53A9">
        <w:t>odborných hodnotitelů</w:t>
      </w:r>
      <w:r w:rsidR="0020084D"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20084D" w:rsidRPr="008B53A9">
        <w:rPr>
          <w:rStyle w:val="Znakapoznpodarou"/>
        </w:rPr>
        <w:footnoteReference w:id="60"/>
      </w:r>
      <w:r w:rsidR="0020084D" w:rsidRPr="008B53A9">
        <w:t xml:space="preserve"> Hodnotitelé budou průběžně školeni tak, aby byl zajištěn jejich rovný přístup ke všem projektům. </w:t>
      </w:r>
      <w:r w:rsidR="0042487A" w:rsidRPr="008B53A9">
        <w:t xml:space="preserve">Tento systém bude nastaven maximálně transparentně, s </w:t>
      </w:r>
      <w:r w:rsidR="0042487A" w:rsidRPr="008B53A9">
        <w:lastRenderedPageBreak/>
        <w:t>cílem zajistit kvalitní a objektivní hodnocení projektů, a realizací schválených projektů dosažení stanovených cílů programu.</w:t>
      </w:r>
    </w:p>
    <w:p w:rsidR="00B12F31" w:rsidRPr="008B53A9" w:rsidRDefault="00B12F31" w:rsidP="00B12F31">
      <w:pPr>
        <w:pStyle w:val="Standardntext"/>
      </w:pPr>
      <w:r w:rsidRPr="008B53A9">
        <w:t>V rámci výběru a hodnocení projektů budou posuzována především následující kritéria:</w:t>
      </w:r>
    </w:p>
    <w:p w:rsidR="00B12F31" w:rsidRPr="008B53A9" w:rsidRDefault="00B12F31" w:rsidP="005F43DF">
      <w:pPr>
        <w:pStyle w:val="Standardntext"/>
        <w:numPr>
          <w:ilvl w:val="0"/>
          <w:numId w:val="44"/>
        </w:numPr>
      </w:pPr>
      <w:r w:rsidRPr="008B53A9">
        <w:t xml:space="preserve">Kvalita a potřebnost </w:t>
      </w:r>
      <w:r w:rsidR="00C0640C" w:rsidRPr="008B53A9">
        <w:t xml:space="preserve">projektu </w:t>
      </w:r>
      <w:r w:rsidRPr="008B53A9">
        <w:t xml:space="preserve">s ohledem na </w:t>
      </w:r>
      <w:r w:rsidR="00DC4382" w:rsidRPr="008B53A9">
        <w:t>jeho</w:t>
      </w:r>
      <w:r w:rsidRPr="008B53A9">
        <w:t xml:space="preserve"> přínosy k bezpečnosti distribuční soustavy a nově zavedené technologie.</w:t>
      </w:r>
    </w:p>
    <w:p w:rsidR="00B12F31" w:rsidRPr="008B53A9" w:rsidRDefault="00B12F31"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B12F31" w:rsidRPr="008B53A9" w:rsidRDefault="00B12F31" w:rsidP="005F43DF">
      <w:pPr>
        <w:pStyle w:val="Standardntext"/>
        <w:numPr>
          <w:ilvl w:val="0"/>
          <w:numId w:val="44"/>
        </w:numPr>
      </w:pPr>
      <w:r w:rsidRPr="008B53A9">
        <w:t>Žadatel nesmí mít právní formu akciové společnosti s listinnými akciemi na majitele.</w:t>
      </w:r>
    </w:p>
    <w:p w:rsidR="0058402E" w:rsidRPr="008B53A9" w:rsidRDefault="00BA6461" w:rsidP="005F43DF">
      <w:pPr>
        <w:pStyle w:val="Nadpis5"/>
        <w:numPr>
          <w:ilvl w:val="4"/>
          <w:numId w:val="22"/>
        </w:numPr>
        <w:rPr>
          <w:rFonts w:cs="Calibri"/>
        </w:rPr>
      </w:pPr>
      <w:r w:rsidRPr="008B53A9">
        <w:t>Plánované využití finančních nástrojů (použije-li se)</w:t>
      </w:r>
    </w:p>
    <w:p w:rsidR="0058402E" w:rsidRPr="008B53A9" w:rsidRDefault="00352703" w:rsidP="002A4D1D">
      <w:pPr>
        <w:pStyle w:val="Standardntext"/>
        <w:rPr>
          <w:color w:val="FF0000"/>
        </w:rPr>
      </w:pPr>
      <w:r w:rsidRPr="008B53A9">
        <w:t>Řídící orgán nepředpokládá využití finančních nástrojů v této investiční prioritě. Případné odchylky stanoví konečná verze předběžného posouzení finančních nástrojů OP PIK dle čl. 37 odst. 2 obecného nařízení, které provede ŘO OP PIK, případně jeho revize podle čl. 37 odst. 2 písm. g) obecného nařízení.</w:t>
      </w:r>
    </w:p>
    <w:p w:rsidR="0058402E" w:rsidRPr="008B53A9" w:rsidRDefault="00BA6461" w:rsidP="005F43DF">
      <w:pPr>
        <w:pStyle w:val="Nadpis5"/>
        <w:numPr>
          <w:ilvl w:val="4"/>
          <w:numId w:val="22"/>
        </w:numPr>
      </w:pPr>
      <w:r w:rsidRPr="008B53A9">
        <w:t>Plánované využití velkých projektů (použije-li se)</w:t>
      </w:r>
    </w:p>
    <w:p w:rsidR="002A4D1D" w:rsidRPr="008B53A9" w:rsidRDefault="002A4D1D" w:rsidP="002A4D1D">
      <w:pPr>
        <w:pStyle w:val="Standardntext"/>
      </w:pPr>
      <w:r w:rsidRPr="008B53A9">
        <w:t xml:space="preserve">Velké projekty ve smyslu čl. </w:t>
      </w:r>
      <w:r w:rsidR="008F52F8" w:rsidRPr="008B53A9">
        <w:t>10</w:t>
      </w:r>
      <w:r w:rsidRPr="008B53A9">
        <w:t>0 obecného nařízení nejsou plánovány.</w:t>
      </w:r>
    </w:p>
    <w:p w:rsidR="0058402E" w:rsidRPr="008B53A9" w:rsidRDefault="00BA6461" w:rsidP="005F43DF">
      <w:pPr>
        <w:pStyle w:val="Nadpis5"/>
        <w:numPr>
          <w:ilvl w:val="4"/>
          <w:numId w:val="22"/>
        </w:numPr>
      </w:pPr>
      <w:r w:rsidRPr="008B53A9">
        <w:t>Ukazatele výstupů podle investiční priority a případně podle kategorie regionů</w:t>
      </w:r>
    </w:p>
    <w:p w:rsidR="0058402E" w:rsidRPr="008B53A9" w:rsidRDefault="0058402E" w:rsidP="00EC2D25">
      <w:pPr>
        <w:pStyle w:val="Titulek"/>
        <w:keepNext/>
        <w:keepLines/>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1154"/>
        <w:gridCol w:w="2010"/>
        <w:gridCol w:w="1077"/>
        <w:gridCol w:w="665"/>
        <w:gridCol w:w="1267"/>
        <w:gridCol w:w="1132"/>
        <w:gridCol w:w="779"/>
        <w:gridCol w:w="1242"/>
      </w:tblGrid>
      <w:tr w:rsidR="001B2E5C" w:rsidRPr="008B53A9">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D57106">
            <w:pPr>
              <w:pStyle w:val="Tabulka"/>
              <w:keepNext/>
              <w:keepLines/>
              <w:rPr>
                <w:rFonts w:cs="Calibri"/>
                <w:b/>
                <w:lang w:val="cs-CZ" w:eastAsia="cs-CZ"/>
              </w:rPr>
            </w:pPr>
            <w:r w:rsidRPr="008B53A9">
              <w:rPr>
                <w:rFonts w:cs="Calibri"/>
                <w:b/>
                <w:lang w:val="cs-CZ" w:eastAsia="cs-CZ"/>
              </w:rPr>
              <w:t>Cílová hodnota</w:t>
            </w:r>
            <w:r w:rsidR="00D57106" w:rsidRPr="008B53A9">
              <w:rPr>
                <w:rFonts w:cs="Calibri"/>
                <w:b/>
                <w:lang w:val="cs-CZ" w:eastAsia="cs-CZ"/>
              </w:rPr>
              <w:t xml:space="preserve"> </w:t>
            </w:r>
            <w:r w:rsidRPr="008B53A9">
              <w:rPr>
                <w:rFonts w:cs="Calibri"/>
                <w:b/>
                <w:lang w:val="cs-CZ" w:eastAsia="cs-CZ"/>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Četnost podávání zpráv</w:t>
            </w:r>
          </w:p>
        </w:tc>
      </w:tr>
      <w:tr w:rsidR="00FD039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EC113F" w:rsidP="00EC2D25">
            <w:pPr>
              <w:pStyle w:val="Tabulka"/>
              <w:keepNext/>
              <w:keepLines/>
              <w:rPr>
                <w:rFonts w:cs="Calibri"/>
                <w:lang w:val="cs-CZ" w:eastAsia="cs-CZ"/>
              </w:rPr>
            </w:pPr>
            <w:r w:rsidRPr="008B53A9">
              <w:rPr>
                <w:rFonts w:cs="Calibri"/>
                <w:lang w:val="cs-CZ" w:eastAsia="cs-CZ"/>
              </w:rPr>
              <w:t>C</w:t>
            </w:r>
            <w:r w:rsidR="00081C97" w:rsidRPr="008B53A9">
              <w:rPr>
                <w:rFonts w:cs="Calibri"/>
                <w:lang w:val="cs-CZ" w:eastAsia="cs-CZ"/>
              </w:rPr>
              <w:t>/EFRR/0</w:t>
            </w:r>
            <w:r w:rsidR="00FD0399" w:rsidRPr="008B53A9">
              <w:rPr>
                <w:rFonts w:cs="Calibri"/>
                <w:lang w:val="cs-CZ" w:eastAsia="cs-CZ"/>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7D6298" w:rsidP="00EC2D25">
            <w:pPr>
              <w:pStyle w:val="Tabulka"/>
              <w:keepNext/>
              <w:keepLines/>
              <w:jc w:val="left"/>
              <w:rPr>
                <w:rFonts w:cs="Calibri"/>
                <w:lang w:val="cs-CZ" w:eastAsia="cs-CZ"/>
              </w:rPr>
            </w:pPr>
            <w:r w:rsidRPr="008B53A9">
              <w:rPr>
                <w:rFonts w:cs="Calibri"/>
                <w:lang w:val="cs-CZ" w:eastAsia="cs-CZ"/>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FD0399" w:rsidP="00EC2D25">
            <w:pPr>
              <w:pStyle w:val="Tabulka"/>
              <w:keepNext/>
              <w:keepLines/>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2B3F69" w:rsidP="00EC2D25">
            <w:pPr>
              <w:pStyle w:val="Tabulka"/>
              <w:keepNext/>
              <w:keepLines/>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FD0399" w:rsidP="00EC2D25">
            <w:pPr>
              <w:pStyle w:val="Tabulka"/>
              <w:keepNext/>
              <w:keepLines/>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354027" w:rsidP="00EC2D25">
            <w:pPr>
              <w:pStyle w:val="Tabulka"/>
              <w:keepNext/>
              <w:keepLines/>
              <w:rPr>
                <w:rFonts w:cs="Calibri"/>
                <w:lang w:val="cs-CZ" w:eastAsia="cs-CZ"/>
              </w:rPr>
            </w:pPr>
            <w:r w:rsidRPr="008B53A9">
              <w:rPr>
                <w:rFonts w:cs="Calibri"/>
                <w:lang w:val="cs-CZ" w:eastAsia="cs-CZ"/>
              </w:rPr>
              <w:t>26</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A45608" w:rsidP="00EC2D25">
            <w:pPr>
              <w:pStyle w:val="Tabulka"/>
              <w:keepNext/>
              <w:keepLines/>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FD0399" w:rsidP="00EC2D25">
            <w:pPr>
              <w:pStyle w:val="Tabulka"/>
              <w:keepNext/>
              <w:keepLines/>
              <w:rPr>
                <w:rFonts w:cs="Calibri"/>
                <w:lang w:val="cs-CZ" w:eastAsia="cs-CZ"/>
              </w:rPr>
            </w:pPr>
            <w:r w:rsidRPr="008B53A9">
              <w:rPr>
                <w:rFonts w:cs="Calibri"/>
                <w:lang w:val="cs-CZ" w:eastAsia="cs-CZ"/>
              </w:rPr>
              <w:t>průběžně</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C113F" w:rsidP="007E38FF">
            <w:pPr>
              <w:pStyle w:val="Tabulka"/>
              <w:rPr>
                <w:rFonts w:cs="Calibri"/>
                <w:lang w:val="cs-CZ" w:eastAsia="cs-CZ"/>
              </w:rPr>
            </w:pPr>
            <w:r w:rsidRPr="008B53A9">
              <w:rPr>
                <w:rFonts w:cs="Calibri"/>
                <w:lang w:val="cs-CZ" w:eastAsia="cs-CZ"/>
              </w:rPr>
              <w:t>C</w:t>
            </w:r>
            <w:r w:rsidR="00081C97" w:rsidRPr="008B53A9">
              <w:rPr>
                <w:rFonts w:cs="Calibri"/>
                <w:lang w:val="cs-CZ" w:eastAsia="cs-CZ"/>
              </w:rPr>
              <w:t>/EFRR/0</w:t>
            </w:r>
            <w:r w:rsidR="002B3F69" w:rsidRPr="008B53A9">
              <w:rPr>
                <w:rFonts w:cs="Calibri"/>
                <w:lang w:val="cs-CZ" w:eastAsia="cs-CZ"/>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jc w:val="left"/>
              <w:rPr>
                <w:rFonts w:cs="Calibri"/>
                <w:lang w:val="cs-CZ" w:eastAsia="cs-CZ"/>
              </w:rPr>
            </w:pPr>
            <w:r w:rsidRPr="008B53A9">
              <w:rPr>
                <w:rFonts w:cs="Calibri"/>
                <w:lang w:val="cs-CZ" w:eastAsia="cs-CZ"/>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354027" w:rsidP="007E38FF">
            <w:pPr>
              <w:pStyle w:val="Tabulka"/>
              <w:rPr>
                <w:rFonts w:cs="Calibri"/>
                <w:lang w:val="cs-CZ" w:eastAsia="cs-CZ"/>
              </w:rPr>
            </w:pPr>
            <w:r w:rsidRPr="008B53A9">
              <w:rPr>
                <w:rFonts w:cs="Calibri"/>
                <w:lang w:val="cs-CZ" w:eastAsia="cs-CZ"/>
              </w:rPr>
              <w:t>26</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A45608" w:rsidP="007E38FF">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průběžně</w:t>
            </w:r>
          </w:p>
        </w:tc>
      </w:tr>
      <w:tr w:rsidR="002B3F69" w:rsidRPr="008B53A9">
        <w:trPr>
          <w:trHeight w:val="952"/>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C113F" w:rsidP="007E38FF">
            <w:pPr>
              <w:pStyle w:val="Tabulka"/>
              <w:rPr>
                <w:rFonts w:cs="Calibri"/>
                <w:lang w:val="cs-CZ" w:eastAsia="cs-CZ"/>
              </w:rPr>
            </w:pPr>
            <w:r w:rsidRPr="008B53A9">
              <w:rPr>
                <w:rFonts w:cs="Calibri"/>
                <w:lang w:val="cs-CZ" w:eastAsia="cs-CZ"/>
              </w:rPr>
              <w:t>C</w:t>
            </w:r>
            <w:r w:rsidR="00081C97" w:rsidRPr="008B53A9">
              <w:rPr>
                <w:rFonts w:cs="Calibri"/>
                <w:lang w:val="cs-CZ" w:eastAsia="cs-CZ"/>
              </w:rPr>
              <w:t>/EFRR/0</w:t>
            </w:r>
            <w:r w:rsidR="002B3F69" w:rsidRPr="008B53A9">
              <w:rPr>
                <w:rFonts w:cs="Calibri"/>
                <w:lang w:val="cs-CZ" w:eastAsia="cs-CZ"/>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A2DBD" w:rsidP="007E38FF">
            <w:pPr>
              <w:pStyle w:val="Tabulka"/>
              <w:jc w:val="left"/>
              <w:rPr>
                <w:rFonts w:cs="Calibri"/>
                <w:lang w:val="cs-CZ" w:eastAsia="cs-CZ"/>
              </w:rPr>
            </w:pPr>
            <w:r w:rsidRPr="008B53A9">
              <w:rPr>
                <w:rFonts w:cs="Calibri"/>
                <w:lang w:val="cs-CZ" w:eastAsia="cs-CZ"/>
              </w:rPr>
              <w:t>Soukromé investice v projektech s veřejnou podporou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354027" w:rsidP="007E38FF">
            <w:pPr>
              <w:pStyle w:val="Tabulka"/>
              <w:rPr>
                <w:rFonts w:cs="Calibri"/>
                <w:lang w:val="cs-CZ" w:eastAsia="cs-CZ"/>
              </w:rPr>
            </w:pPr>
            <w:r w:rsidRPr="008B53A9">
              <w:rPr>
                <w:rFonts w:cs="Calibri"/>
                <w:lang w:val="cs-CZ" w:eastAsia="cs-CZ"/>
              </w:rPr>
              <w:t>56 0</w:t>
            </w:r>
            <w:r w:rsidR="00F21878" w:rsidRPr="008B53A9">
              <w:rPr>
                <w:rFonts w:cs="Calibri"/>
                <w:lang w:val="cs-CZ" w:eastAsia="cs-CZ"/>
              </w:rPr>
              <w:t>00 000</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A45608" w:rsidP="007E38FF">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průběžně</w:t>
            </w:r>
          </w:p>
        </w:tc>
      </w:tr>
    </w:tbl>
    <w:p w:rsidR="00EC2D25" w:rsidRPr="008B53A9" w:rsidRDefault="00EC2D25" w:rsidP="005F43DF">
      <w:pPr>
        <w:pStyle w:val="kapitola2A0"/>
        <w:numPr>
          <w:ilvl w:val="2"/>
          <w:numId w:val="73"/>
        </w:numPr>
      </w:pPr>
      <w:bookmarkStart w:id="70" w:name="_Toc391539638"/>
      <w:r w:rsidRPr="008B53A9">
        <w:lastRenderedPageBreak/>
        <w:t>INVESTIČNÍ PRIORITA 4 prioritní osy 3: Podpora výzkumu</w:t>
      </w:r>
      <w:r w:rsidR="002641C7" w:rsidRPr="008B53A9">
        <w:t xml:space="preserve"> a</w:t>
      </w:r>
      <w:r w:rsidRPr="008B53A9">
        <w:t xml:space="preserve"> inovací a zavádění nízkouhlíkových technologií</w:t>
      </w:r>
      <w:bookmarkEnd w:id="70"/>
    </w:p>
    <w:p w:rsidR="003B05CA" w:rsidRPr="008B53A9" w:rsidRDefault="008C7D72" w:rsidP="005F43DF">
      <w:pPr>
        <w:pStyle w:val="kapitola2A0"/>
        <w:numPr>
          <w:ilvl w:val="2"/>
          <w:numId w:val="73"/>
        </w:numPr>
      </w:pPr>
      <w:bookmarkStart w:id="71" w:name="_Toc391539639"/>
      <w:r w:rsidRPr="008B53A9">
        <w:t>Specifické cíle odpovídající investiční prioritě a očekávané výsledky</w:t>
      </w:r>
      <w:bookmarkEnd w:id="71"/>
    </w:p>
    <w:p w:rsidR="00EC0F1D" w:rsidRPr="008B53A9" w:rsidRDefault="00EC0F1D" w:rsidP="00396141">
      <w:pPr>
        <w:pStyle w:val="Modrnadpis"/>
      </w:pPr>
      <w:r w:rsidRPr="008B53A9">
        <w:t xml:space="preserve">SPECIFICKÝ CÍL </w:t>
      </w:r>
      <w:r w:rsidR="00C71E6F" w:rsidRPr="008B53A9">
        <w:t>3.</w:t>
      </w:r>
      <w:r w:rsidRPr="008B53A9">
        <w:t xml:space="preserve">4: </w:t>
      </w:r>
      <w:r w:rsidR="008D77E8" w:rsidRPr="008B53A9">
        <w:t>Uplatnit inovativní nízkouhlíkové technologie v oblasti nakládání energií a při využívání druhotných surovin</w:t>
      </w:r>
    </w:p>
    <w:p w:rsidR="00376385" w:rsidRPr="008B53A9" w:rsidRDefault="0034513C" w:rsidP="00D540FC">
      <w:pPr>
        <w:pStyle w:val="Standardntext"/>
      </w:pPr>
      <w:r w:rsidRPr="008B53A9">
        <w:t>K technologické změně, která je nutná k dosažení energetických a surovinových cílů Č</w:t>
      </w:r>
      <w:r w:rsidR="00686722" w:rsidRPr="008B53A9">
        <w:t>R a</w:t>
      </w:r>
      <w:r w:rsidRPr="008B53A9">
        <w:t xml:space="preserve"> E</w:t>
      </w:r>
      <w:r w:rsidR="00CC6093" w:rsidRPr="008B53A9">
        <w:t>U</w:t>
      </w:r>
      <w:r w:rsidRPr="008B53A9">
        <w:t xml:space="preserve">, může dojít, pouze pokud </w:t>
      </w:r>
      <w:r w:rsidR="00CC6093" w:rsidRPr="008B53A9">
        <w:t>se podstatně zmodernizuje</w:t>
      </w:r>
      <w:r w:rsidRPr="008B53A9">
        <w:t xml:space="preserve"> </w:t>
      </w:r>
      <w:r w:rsidR="00CC6093" w:rsidRPr="008B53A9">
        <w:t>stávající technologická</w:t>
      </w:r>
      <w:r w:rsidRPr="008B53A9">
        <w:t xml:space="preserve"> základn</w:t>
      </w:r>
      <w:r w:rsidR="00CC6093" w:rsidRPr="008B53A9">
        <w:t>a</w:t>
      </w:r>
      <w:r w:rsidRPr="008B53A9">
        <w:t xml:space="preserve"> českých podniků. </w:t>
      </w:r>
      <w:r w:rsidR="00CC6093" w:rsidRPr="008B53A9">
        <w:t xml:space="preserve">Větší uplatnění inovativních nízkouhlíkových technologií je však zastíněno nutností udržení podnikatelské produkce. </w:t>
      </w:r>
      <w:r w:rsidR="00376385" w:rsidRPr="008B53A9">
        <w:t>Hlavním cílem je podpora konkurenceschopnosti podniků a udržitelnosti české ekonomiky prostřednictvím zaváděním nových technologií v oblasti nakládání energií a druhotných surovin.</w:t>
      </w:r>
    </w:p>
    <w:p w:rsidR="00942A5B" w:rsidRPr="008B53A9" w:rsidRDefault="003508A9" w:rsidP="00942A5B">
      <w:pPr>
        <w:pStyle w:val="Modrnadpis"/>
      </w:pPr>
      <w:r w:rsidRPr="008B53A9">
        <w:t xml:space="preserve">Výsledky, kterých chce ČR dosáhnout s podporou </w:t>
      </w:r>
      <w:r w:rsidR="00942A5B" w:rsidRPr="008B53A9">
        <w:t>Unie</w:t>
      </w:r>
    </w:p>
    <w:p w:rsidR="00160E34" w:rsidRPr="008B53A9" w:rsidRDefault="00376385" w:rsidP="005F43DF">
      <w:pPr>
        <w:pStyle w:val="Standardntext"/>
        <w:numPr>
          <w:ilvl w:val="0"/>
          <w:numId w:val="51"/>
        </w:numPr>
      </w:pPr>
      <w:r w:rsidRPr="008B53A9">
        <w:t xml:space="preserve">Zvýšení využití </w:t>
      </w:r>
      <w:r w:rsidR="00CC6093" w:rsidRPr="008B53A9">
        <w:t xml:space="preserve">efektivnějších a spolehlivějších energetických a surovinových nízkouhlíkových </w:t>
      </w:r>
      <w:r w:rsidRPr="008B53A9">
        <w:t>technologií, které se běžně v ČR komerčně neuplatňují.</w:t>
      </w:r>
      <w:r w:rsidR="00600E4E" w:rsidRPr="008B53A9">
        <w:t xml:space="preserve"> </w:t>
      </w:r>
      <w:r w:rsidR="00160E34" w:rsidRPr="008B53A9">
        <w:t>Specifický cíl chce především naplňovat principy v souladu s Iniciativou Smart Cities a v další části chce pomoci zavádět technologie pro zpracování druhotných surovin v souladu se strategií Evropa méně náročná na zdroje. Níže uvedený výčet podporovaných aktivit tak není úplný, je především ilustrativní, neboť vývoj technologií je v této oblasti velmi dynamický a nelze dopředu předjímat novou konkrétní technologii.</w:t>
      </w:r>
    </w:p>
    <w:p w:rsidR="0034513C" w:rsidRPr="008B53A9" w:rsidRDefault="0034513C" w:rsidP="005F43DF">
      <w:pPr>
        <w:pStyle w:val="Standardntext"/>
        <w:numPr>
          <w:ilvl w:val="0"/>
          <w:numId w:val="51"/>
        </w:numPr>
      </w:pPr>
      <w:r w:rsidRPr="008B53A9">
        <w:t xml:space="preserve">Využití potenciálu </w:t>
      </w:r>
      <w:r w:rsidR="005A3907" w:rsidRPr="008B53A9">
        <w:t>pro zavádění moderních nízkouhlíkových technologií v oblasti nakládání energií</w:t>
      </w:r>
      <w:r w:rsidR="00686722" w:rsidRPr="008B53A9">
        <w:t xml:space="preserve"> a využívání druhotných surovin -</w:t>
      </w:r>
      <w:r w:rsidR="005A3907" w:rsidRPr="008B53A9">
        <w:t xml:space="preserve"> především v malých a středních </w:t>
      </w:r>
      <w:r w:rsidR="00686722" w:rsidRPr="008B53A9">
        <w:t>podnicích -</w:t>
      </w:r>
      <w:r w:rsidR="005A3907" w:rsidRPr="008B53A9">
        <w:t xml:space="preserve"> který zvyšuje vedle konkurenceschopnosti rovněž i celkový inovační potenciál ČR v oblasti nakládání energií a druhotnými surovinami.</w:t>
      </w:r>
    </w:p>
    <w:p w:rsidR="00DC76B6" w:rsidRPr="008B53A9" w:rsidRDefault="00DC76B6" w:rsidP="005F43DF">
      <w:pPr>
        <w:pStyle w:val="Standardntext"/>
        <w:numPr>
          <w:ilvl w:val="0"/>
          <w:numId w:val="51"/>
        </w:numPr>
      </w:pPr>
      <w:r w:rsidRPr="008B53A9">
        <w:t>Zvýšení soběstačnosti ČR v surovinových zdrojích substitucí primárních zdrojů druhotnými surovinami a zvýšení inovační aktivity podniků směrem k efektivnějšímu využívání klíčových surovin během celého jejich životního cyklu. Konkurenceschopnost a růst bude vycházet z využívání menšího objemu zdrojů, produkce a spotřeby zboží, vytváření podnikatelských příležitostí i nových pracovních míst v oborech lepšího designu výrobků a nahrazování primárních materiálů materiály vyrobenými z druhotných surovin.</w:t>
      </w:r>
    </w:p>
    <w:p w:rsidR="00FF7727" w:rsidRPr="008B53A9" w:rsidRDefault="00FF7727" w:rsidP="005F43DF">
      <w:pPr>
        <w:pStyle w:val="Standardntext"/>
        <w:numPr>
          <w:ilvl w:val="0"/>
          <w:numId w:val="51"/>
        </w:numPr>
      </w:pPr>
      <w:r w:rsidRPr="008B53A9">
        <w:t>Výsledkem vyššího využívání druhotných surovin bude snížení energetické a materiálové náročnosti ve všech výrobních odvětvích a snížení emisí z průmyslové činnosti v souvislosti s poklesem objemu těžby primárních surovin.</w:t>
      </w:r>
    </w:p>
    <w:p w:rsidR="00376385" w:rsidRPr="008B53A9" w:rsidRDefault="0034513C" w:rsidP="005F43DF">
      <w:pPr>
        <w:pStyle w:val="Standardntext"/>
        <w:numPr>
          <w:ilvl w:val="0"/>
          <w:numId w:val="51"/>
        </w:numPr>
      </w:pPr>
      <w:r w:rsidRPr="008B53A9">
        <w:t>Pozitivní dopad</w:t>
      </w:r>
      <w:r w:rsidR="00376385" w:rsidRPr="008B53A9">
        <w:t xml:space="preserve"> </w:t>
      </w:r>
      <w:r w:rsidRPr="008B53A9">
        <w:t>z hlediska životního prostředí</w:t>
      </w:r>
      <w:r w:rsidR="00376385" w:rsidRPr="008B53A9">
        <w:t xml:space="preserve"> v důsledku </w:t>
      </w:r>
      <w:r w:rsidR="00686722" w:rsidRPr="008B53A9">
        <w:t>zavádění</w:t>
      </w:r>
      <w:r w:rsidR="00376385" w:rsidRPr="008B53A9">
        <w:t xml:space="preserve"> </w:t>
      </w:r>
      <w:r w:rsidR="00CC6093" w:rsidRPr="008B53A9">
        <w:t xml:space="preserve">nízkouhlíkových </w:t>
      </w:r>
      <w:r w:rsidR="00376385" w:rsidRPr="008B53A9">
        <w:t>technologií</w:t>
      </w:r>
      <w:r w:rsidRPr="008B53A9">
        <w:t xml:space="preserve"> </w:t>
      </w:r>
      <w:r w:rsidR="00686722" w:rsidRPr="008B53A9">
        <w:t xml:space="preserve">do výrobních procesů </w:t>
      </w:r>
      <w:r w:rsidRPr="008B53A9">
        <w:t>v podnicích</w:t>
      </w:r>
      <w:r w:rsidR="00376385" w:rsidRPr="008B53A9">
        <w:t>.</w:t>
      </w:r>
      <w:r w:rsidR="00485D01" w:rsidRPr="008B53A9">
        <w:t xml:space="preserve"> Naplňování specifického cíle povede k podpoře udržitelného růstu, který kromě jiného zahrnuje vytváření udržitelné a konkurenceschopné ekonomiky méně náročné na zdroje, přispěje k posilování konkurenčních výhod zejména malých a středních podniků, zavádění technologií a výrobních postupů, jež snižují využívání přírodních zdrojů.</w:t>
      </w:r>
    </w:p>
    <w:p w:rsidR="00272AE4" w:rsidRPr="008B53A9" w:rsidRDefault="00272AE4" w:rsidP="00C71E6F">
      <w:pPr>
        <w:pStyle w:val="Titulek"/>
        <w:keepNext/>
        <w:keepLines/>
        <w:rPr>
          <w:rFonts w:cs="Calibri"/>
        </w:rPr>
      </w:pPr>
      <w:r w:rsidRPr="008B53A9">
        <w:rPr>
          <w:rFonts w:cs="Calibri"/>
        </w:rPr>
        <w:lastRenderedPageBreak/>
        <w:t xml:space="preserve">Tabulka </w:t>
      </w:r>
      <w:r w:rsidR="00F7325F" w:rsidRPr="008B53A9">
        <w:rPr>
          <w:rFonts w:cs="Calibri"/>
        </w:rPr>
        <w:fldChar w:fldCharType="begin"/>
      </w:r>
      <w:r w:rsidR="00F7325F" w:rsidRPr="008B53A9">
        <w:rPr>
          <w:rFonts w:cs="Calibri"/>
        </w:rPr>
        <w:instrText xml:space="preserve"> SEQ Tabulka \* ARABIC \r3 </w:instrText>
      </w:r>
      <w:r w:rsidR="00F7325F" w:rsidRPr="008B53A9">
        <w:rPr>
          <w:rFonts w:cs="Calibri"/>
        </w:rPr>
        <w:fldChar w:fldCharType="separate"/>
      </w:r>
      <w:r w:rsidR="00E54216" w:rsidRPr="008B53A9">
        <w:rPr>
          <w:rFonts w:cs="Calibri"/>
          <w:noProof/>
        </w:rPr>
        <w:t>3</w:t>
      </w:r>
      <w:r w:rsidR="00F7325F" w:rsidRPr="008B53A9">
        <w:rPr>
          <w:rFonts w:cs="Calibri"/>
        </w:rPr>
        <w:fldChar w:fldCharType="end"/>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50"/>
        <w:gridCol w:w="1628"/>
        <w:gridCol w:w="1142"/>
        <w:gridCol w:w="1142"/>
        <w:gridCol w:w="885"/>
        <w:gridCol w:w="873"/>
        <w:gridCol w:w="957"/>
        <w:gridCol w:w="666"/>
        <w:gridCol w:w="983"/>
      </w:tblGrid>
      <w:tr w:rsidR="00D57106" w:rsidRPr="008B53A9">
        <w:trPr>
          <w:trHeight w:hRule="exact" w:val="1297"/>
        </w:trPr>
        <w:tc>
          <w:tcPr>
            <w:tcW w:w="56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ID</w:t>
            </w:r>
          </w:p>
        </w:tc>
        <w:tc>
          <w:tcPr>
            <w:tcW w:w="87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Ukazatel</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Měrná</w:t>
            </w:r>
          </w:p>
          <w:p w:rsidR="00CF739D" w:rsidRPr="008B53A9" w:rsidRDefault="00CF739D" w:rsidP="00CF739D">
            <w:pPr>
              <w:pStyle w:val="Tabulka"/>
              <w:keepNext/>
              <w:keepLines/>
              <w:rPr>
                <w:rFonts w:cs="Calibri"/>
                <w:b/>
                <w:bCs/>
                <w:lang w:val="cs-CZ" w:eastAsia="cs-CZ"/>
              </w:rPr>
            </w:pPr>
            <w:r w:rsidRPr="008B53A9">
              <w:rPr>
                <w:rFonts w:cs="Calibri"/>
                <w:b/>
                <w:bCs/>
                <w:lang w:val="cs-CZ" w:eastAsia="cs-CZ"/>
              </w:rPr>
              <w:t>jednotka</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Kategorie regionů (je-li relevantní)</w:t>
            </w:r>
          </w:p>
        </w:tc>
        <w:tc>
          <w:tcPr>
            <w:tcW w:w="474"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CF739D">
            <w:pPr>
              <w:pStyle w:val="Tabulka"/>
              <w:keepNext/>
              <w:keepLines/>
              <w:rPr>
                <w:rFonts w:cs="Calibri"/>
                <w:b/>
                <w:bCs/>
                <w:lang w:val="cs-CZ" w:eastAsia="cs-CZ"/>
              </w:rPr>
            </w:pPr>
            <w:r w:rsidRPr="008B53A9">
              <w:rPr>
                <w:rFonts w:cs="Calibri"/>
                <w:b/>
                <w:bCs/>
                <w:lang w:val="cs-CZ" w:eastAsia="cs-CZ"/>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keepNext/>
              <w:keepLines/>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51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Cílová hodnota (2023)</w:t>
            </w:r>
          </w:p>
        </w:tc>
        <w:tc>
          <w:tcPr>
            <w:tcW w:w="35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Zdroj údajů</w:t>
            </w:r>
          </w:p>
        </w:tc>
        <w:tc>
          <w:tcPr>
            <w:tcW w:w="52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Četnost podávání zpráv</w:t>
            </w:r>
          </w:p>
        </w:tc>
      </w:tr>
      <w:tr w:rsidR="00D57106" w:rsidRPr="008B53A9">
        <w:trPr>
          <w:trHeight w:hRule="exact" w:val="1206"/>
        </w:trPr>
        <w:tc>
          <w:tcPr>
            <w:tcW w:w="563"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527C4C" w:rsidP="00C71E6F">
            <w:pPr>
              <w:pStyle w:val="Tabulka"/>
              <w:keepNext/>
              <w:keepLines/>
              <w:rPr>
                <w:rFonts w:cs="Calibri"/>
                <w:lang w:val="cs-CZ" w:eastAsia="cs-CZ"/>
              </w:rPr>
            </w:pPr>
            <w:r w:rsidRPr="008B53A9">
              <w:rPr>
                <w:rFonts w:cs="Calibri"/>
                <w:lang w:val="cs-CZ" w:eastAsia="cs-CZ"/>
              </w:rPr>
              <w:t>21710</w:t>
            </w:r>
          </w:p>
        </w:tc>
        <w:tc>
          <w:tcPr>
            <w:tcW w:w="873"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195FEB" w:rsidP="00C71E6F">
            <w:pPr>
              <w:pStyle w:val="Tabulka"/>
              <w:keepNext/>
              <w:keepLines/>
              <w:jc w:val="left"/>
              <w:rPr>
                <w:rFonts w:cs="Calibri"/>
                <w:lang w:val="cs-CZ" w:eastAsia="cs-CZ"/>
              </w:rPr>
            </w:pPr>
            <w:r w:rsidRPr="008B53A9">
              <w:rPr>
                <w:rFonts w:cs="Calibri"/>
                <w:szCs w:val="20"/>
                <w:lang w:val="cs-CZ" w:eastAsia="cs-CZ"/>
              </w:rPr>
              <w:t xml:space="preserve">Aplikované </w:t>
            </w:r>
            <w:r w:rsidR="00942A5B" w:rsidRPr="008B53A9">
              <w:rPr>
                <w:rFonts w:cs="Calibri"/>
                <w:szCs w:val="20"/>
                <w:lang w:val="cs-CZ" w:eastAsia="cs-CZ"/>
              </w:rPr>
              <w:t xml:space="preserve">inovativní </w:t>
            </w:r>
            <w:r w:rsidRPr="008B53A9">
              <w:rPr>
                <w:rFonts w:cs="Calibri"/>
                <w:szCs w:val="20"/>
                <w:lang w:val="cs-CZ" w:eastAsia="cs-CZ"/>
              </w:rPr>
              <w:t>nízkouhlíkové technologie</w:t>
            </w:r>
          </w:p>
        </w:tc>
        <w:tc>
          <w:tcPr>
            <w:tcW w:w="612"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5644D4" w:rsidP="00C71E6F">
            <w:pPr>
              <w:pStyle w:val="Tabulka"/>
              <w:keepNext/>
              <w:keepLines/>
              <w:rPr>
                <w:rFonts w:cs="Calibri"/>
                <w:lang w:val="cs-CZ" w:eastAsia="cs-CZ"/>
              </w:rPr>
            </w:pPr>
            <w:r w:rsidRPr="008B53A9">
              <w:rPr>
                <w:rFonts w:cs="Calibri"/>
                <w:lang w:val="cs-CZ" w:eastAsia="cs-CZ"/>
              </w:rPr>
              <w:t>technologie</w:t>
            </w:r>
          </w:p>
        </w:tc>
        <w:tc>
          <w:tcPr>
            <w:tcW w:w="612"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FD0399" w:rsidP="00C71E6F">
            <w:pPr>
              <w:pStyle w:val="Tabulka"/>
              <w:keepNext/>
              <w:keepLines/>
              <w:rPr>
                <w:rFonts w:cs="Calibri"/>
                <w:lang w:val="cs-CZ" w:eastAsia="cs-CZ"/>
              </w:rPr>
            </w:pPr>
            <w:r w:rsidRPr="008B53A9">
              <w:rPr>
                <w:rFonts w:cs="Calibri"/>
                <w:lang w:val="cs-CZ" w:eastAsia="cs-CZ"/>
              </w:rPr>
              <w:t>Méně rozvinuté regiony</w:t>
            </w:r>
          </w:p>
        </w:tc>
        <w:tc>
          <w:tcPr>
            <w:tcW w:w="474"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FD0399" w:rsidP="00C71E6F">
            <w:pPr>
              <w:pStyle w:val="Tabulka"/>
              <w:keepNext/>
              <w:keepLines/>
              <w:rPr>
                <w:rFonts w:cs="Calibri"/>
                <w:lang w:val="cs-CZ" w:eastAsia="cs-CZ"/>
              </w:rPr>
            </w:pPr>
            <w:r w:rsidRPr="008B53A9">
              <w:rPr>
                <w:rFonts w:cs="Calibri"/>
                <w:lang w:val="cs-CZ" w:eastAsia="cs-CZ"/>
              </w:rPr>
              <w:t>0</w:t>
            </w:r>
          </w:p>
        </w:tc>
        <w:tc>
          <w:tcPr>
            <w:tcW w:w="468"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FD0399" w:rsidP="00C71E6F">
            <w:pPr>
              <w:pStyle w:val="Tabulka"/>
              <w:keepNext/>
              <w:keepLines/>
              <w:rPr>
                <w:rFonts w:cs="Calibri"/>
                <w:lang w:val="cs-CZ" w:eastAsia="cs-CZ"/>
              </w:rPr>
            </w:pPr>
            <w:r w:rsidRPr="008B53A9">
              <w:rPr>
                <w:rFonts w:cs="Calibri"/>
                <w:lang w:val="cs-CZ" w:eastAsia="cs-CZ"/>
              </w:rPr>
              <w:t>2014</w:t>
            </w:r>
          </w:p>
        </w:tc>
        <w:tc>
          <w:tcPr>
            <w:tcW w:w="513"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F94124" w:rsidP="00C71E6F">
            <w:pPr>
              <w:pStyle w:val="Tabulka"/>
              <w:keepNext/>
              <w:keepLines/>
              <w:rPr>
                <w:rFonts w:cs="Calibri"/>
                <w:lang w:val="cs-CZ" w:eastAsia="cs-CZ"/>
              </w:rPr>
            </w:pPr>
            <w:r w:rsidRPr="008B53A9">
              <w:rPr>
                <w:rFonts w:cs="Calibri"/>
                <w:lang w:val="cs-CZ" w:eastAsia="cs-CZ"/>
              </w:rPr>
              <w:t>8</w:t>
            </w:r>
            <w:r w:rsidR="00195FEB" w:rsidRPr="008B53A9">
              <w:rPr>
                <w:rFonts w:cs="Calibri"/>
                <w:lang w:val="cs-CZ" w:eastAsia="cs-CZ"/>
              </w:rPr>
              <w:t>0</w:t>
            </w:r>
          </w:p>
        </w:tc>
        <w:tc>
          <w:tcPr>
            <w:tcW w:w="357"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A45608" w:rsidP="00C71E6F">
            <w:pPr>
              <w:pStyle w:val="Tabulka"/>
              <w:keepNext/>
              <w:keepLines/>
              <w:rPr>
                <w:rFonts w:cs="Calibri"/>
                <w:lang w:val="cs-CZ" w:eastAsia="cs-CZ"/>
              </w:rPr>
            </w:pPr>
            <w:r w:rsidRPr="008B53A9">
              <w:rPr>
                <w:rFonts w:cs="Calibri"/>
                <w:lang w:val="cs-CZ" w:eastAsia="cs-CZ"/>
              </w:rPr>
              <w:t>Ž/P</w:t>
            </w:r>
          </w:p>
        </w:tc>
        <w:tc>
          <w:tcPr>
            <w:tcW w:w="527"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FD0399" w:rsidP="00C71E6F">
            <w:pPr>
              <w:pStyle w:val="Tabulka"/>
              <w:keepNext/>
              <w:keepLines/>
              <w:rPr>
                <w:rFonts w:cs="Calibri"/>
                <w:lang w:val="cs-CZ" w:eastAsia="cs-CZ"/>
              </w:rPr>
            </w:pPr>
            <w:r w:rsidRPr="008B53A9">
              <w:rPr>
                <w:rFonts w:cs="Calibri"/>
                <w:lang w:val="cs-CZ" w:eastAsia="cs-CZ"/>
              </w:rPr>
              <w:t>průběžně</w:t>
            </w:r>
          </w:p>
        </w:tc>
      </w:tr>
    </w:tbl>
    <w:p w:rsidR="00EC2D25" w:rsidRPr="008B53A9" w:rsidRDefault="00EC2D25" w:rsidP="005F43DF">
      <w:pPr>
        <w:pStyle w:val="kapitola2A0"/>
        <w:numPr>
          <w:ilvl w:val="2"/>
          <w:numId w:val="73"/>
        </w:numPr>
      </w:pPr>
      <w:bookmarkStart w:id="72" w:name="_Toc391539640"/>
      <w:r w:rsidRPr="008B53A9">
        <w:t>Opatření, jež má být podpořeno v rámci investiční priority</w:t>
      </w:r>
      <w:bookmarkEnd w:id="72"/>
    </w:p>
    <w:p w:rsidR="0058402E" w:rsidRPr="008B53A9" w:rsidRDefault="00D479AF" w:rsidP="005F43DF">
      <w:pPr>
        <w:pStyle w:val="Nadpis5"/>
        <w:numPr>
          <w:ilvl w:val="4"/>
          <w:numId w:val="23"/>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58402E" w:rsidRPr="008B53A9" w:rsidRDefault="00177462" w:rsidP="009912CD">
      <w:pPr>
        <w:pStyle w:val="Standardntext"/>
        <w:rPr>
          <w:b/>
        </w:rPr>
      </w:pPr>
      <w:r w:rsidRPr="008B53A9">
        <w:rPr>
          <w:b/>
        </w:rPr>
        <w:t>Indikativní výčet podporovaných aktivit:</w:t>
      </w:r>
    </w:p>
    <w:p w:rsidR="007D0E83" w:rsidRPr="008B53A9" w:rsidRDefault="007D0E83" w:rsidP="005F43DF">
      <w:pPr>
        <w:pStyle w:val="Standardntext"/>
        <w:numPr>
          <w:ilvl w:val="0"/>
          <w:numId w:val="41"/>
        </w:numPr>
      </w:pPr>
      <w:r w:rsidRPr="008B53A9">
        <w:t xml:space="preserve">Zavádění inovativních technologií v oblasti nízkouhlíkové dopravy (elektromobilita silničních vozidel), </w:t>
      </w:r>
    </w:p>
    <w:p w:rsidR="007D0E83" w:rsidRPr="008B53A9" w:rsidRDefault="007D0E83" w:rsidP="005F43DF">
      <w:pPr>
        <w:pStyle w:val="Standardntext"/>
        <w:numPr>
          <w:ilvl w:val="0"/>
          <w:numId w:val="41"/>
        </w:numPr>
      </w:pPr>
      <w:r w:rsidRPr="008B53A9">
        <w:t xml:space="preserve">pilotní projekty zavádění technologií akumulace energie (např. akumulace elektřiny rámci inteligentních sítí a v budovách, akumulace tepla a chladu v budovách, aplikace vodíkových technologií), </w:t>
      </w:r>
    </w:p>
    <w:p w:rsidR="007D0E83" w:rsidRPr="008B53A9" w:rsidRDefault="007D0E83" w:rsidP="005F43DF">
      <w:pPr>
        <w:pStyle w:val="Standardntext"/>
        <w:numPr>
          <w:ilvl w:val="0"/>
          <w:numId w:val="41"/>
        </w:numPr>
      </w:pPr>
      <w:r w:rsidRPr="008B53A9">
        <w:t>zavádění nízkouhlíkových technologií v budovách (inteligentní prvky řízení budov, integrace OZE do budov, aplikace nových energeticky šetrných materiálů, využití druhotných surovin k udržitelné výstavbě),</w:t>
      </w:r>
    </w:p>
    <w:p w:rsidR="00BF3738" w:rsidRPr="008B53A9" w:rsidRDefault="00EB01B2" w:rsidP="00BF3738">
      <w:pPr>
        <w:pStyle w:val="Standardntext"/>
        <w:numPr>
          <w:ilvl w:val="0"/>
          <w:numId w:val="41"/>
        </w:numPr>
      </w:pPr>
      <w:r w:rsidRPr="008B53A9">
        <w:t>zavádění inovativních technologií v oblasti výroby energie z obnovitelných zdrojů</w:t>
      </w:r>
      <w:r w:rsidR="00BF3738" w:rsidRPr="008B53A9">
        <w:t xml:space="preserve"> (např. využití biometanu),</w:t>
      </w:r>
    </w:p>
    <w:p w:rsidR="007D0E83" w:rsidRPr="008B53A9" w:rsidRDefault="007D0E83" w:rsidP="005F43DF">
      <w:pPr>
        <w:pStyle w:val="Standardntext"/>
        <w:numPr>
          <w:ilvl w:val="0"/>
          <w:numId w:val="41"/>
        </w:numPr>
      </w:pPr>
      <w:r w:rsidRPr="008B53A9">
        <w:t>zavádění off grid systémů (městské a komunitní sítě, ostrovní systémy dodávek energií v budovách),</w:t>
      </w:r>
    </w:p>
    <w:p w:rsidR="007D0E83" w:rsidRPr="008B53A9" w:rsidRDefault="007D0E83" w:rsidP="005F43DF">
      <w:pPr>
        <w:pStyle w:val="Standardntext"/>
        <w:numPr>
          <w:ilvl w:val="0"/>
          <w:numId w:val="41"/>
        </w:numPr>
      </w:pPr>
      <w:r w:rsidRPr="008B53A9">
        <w:t>zavádění systémů řízení spotřeby energií,</w:t>
      </w:r>
    </w:p>
    <w:p w:rsidR="007D0E83" w:rsidRPr="008B53A9" w:rsidRDefault="007D0E83" w:rsidP="005F43DF">
      <w:pPr>
        <w:pStyle w:val="Standardntext"/>
        <w:numPr>
          <w:ilvl w:val="0"/>
          <w:numId w:val="41"/>
        </w:numPr>
      </w:pPr>
      <w:r w:rsidRPr="008B53A9">
        <w:t>zavádění inovativních nízkouhlíkatých technologií v oblasti zpracování a využívání druhotných surovin,</w:t>
      </w:r>
    </w:p>
    <w:p w:rsidR="007D0E83" w:rsidRPr="008B53A9" w:rsidRDefault="007D0E83" w:rsidP="005F43DF">
      <w:pPr>
        <w:pStyle w:val="Standardntext"/>
        <w:numPr>
          <w:ilvl w:val="0"/>
          <w:numId w:val="41"/>
        </w:numPr>
      </w:pPr>
      <w:r w:rsidRPr="008B53A9">
        <w:t>zavádění technologií k získávání druhotných surovin v kvalitě vhodné pro další využití v průmyslové výrobě např. z použitého papíru, skla, kovů, pneumatik, textilu, plastů, stavebních a demoličních odpadů, vedlejších energetických produktů a řady dalších výrobků s ukončenou životností,</w:t>
      </w:r>
    </w:p>
    <w:p w:rsidR="007D0E83" w:rsidRPr="008B53A9" w:rsidRDefault="007D0E83" w:rsidP="005F43DF">
      <w:pPr>
        <w:pStyle w:val="Standardntext"/>
        <w:numPr>
          <w:ilvl w:val="0"/>
          <w:numId w:val="41"/>
        </w:numPr>
      </w:pPr>
      <w:r w:rsidRPr="008B53A9">
        <w:t>zavádění technologií, kterými se budou z použitých výrobků získávat efektivním způsobem cenné druhotné suroviny, které jsou v ČR i v EU deficitní (zejména kritické suroviny),</w:t>
      </w:r>
    </w:p>
    <w:p w:rsidR="009D1E8F" w:rsidRPr="008B53A9" w:rsidRDefault="007D0E83" w:rsidP="005F43DF">
      <w:pPr>
        <w:pStyle w:val="Standardntext"/>
        <w:numPr>
          <w:ilvl w:val="0"/>
          <w:numId w:val="41"/>
        </w:numPr>
      </w:pPr>
      <w:r w:rsidRPr="008B53A9">
        <w:lastRenderedPageBreak/>
        <w:t>zavádění technologií na výrobu inovativních výrobků vyrobených z druhotných surovin, včetně náhrad primárních zdrojů druhotnými surovinami, tam kde je to ekonomicky výhodné</w:t>
      </w:r>
      <w:r w:rsidR="00EB01B2" w:rsidRPr="008B53A9">
        <w:t>.</w:t>
      </w:r>
    </w:p>
    <w:p w:rsidR="00896EDF" w:rsidRPr="008B53A9" w:rsidRDefault="007D0E83" w:rsidP="007D0E83">
      <w:pPr>
        <w:pStyle w:val="Standardntext"/>
        <w:rPr>
          <w:lang w:val="cs-CZ"/>
        </w:rPr>
      </w:pPr>
      <w:r w:rsidRPr="008B53A9">
        <w:t xml:space="preserve">Typovým projektem v oblasti zavádění </w:t>
      </w:r>
      <w:r w:rsidR="00942A5B" w:rsidRPr="008B53A9">
        <w:t>nízkouhlíkových technologií v dopravě</w:t>
      </w:r>
      <w:r w:rsidRPr="008B53A9">
        <w:t xml:space="preserve"> budou  </w:t>
      </w:r>
      <w:r w:rsidR="00942A5B" w:rsidRPr="008B53A9">
        <w:t xml:space="preserve">pilotní projekty zaměřené na zavádění elektromobility </w:t>
      </w:r>
      <w:r w:rsidR="00BF3738" w:rsidRPr="008B53A9">
        <w:t xml:space="preserve">u </w:t>
      </w:r>
      <w:r w:rsidR="00942A5B" w:rsidRPr="008B53A9">
        <w:t>podnikatelsk</w:t>
      </w:r>
      <w:r w:rsidR="00BF3738" w:rsidRPr="008B53A9">
        <w:t xml:space="preserve">ých </w:t>
      </w:r>
      <w:r w:rsidR="00942A5B" w:rsidRPr="008B53A9">
        <w:t>subjekt</w:t>
      </w:r>
      <w:r w:rsidR="00BF3738" w:rsidRPr="008B53A9">
        <w:t xml:space="preserve">ů </w:t>
      </w:r>
      <w:r w:rsidRPr="008B53A9">
        <w:t>tak</w:t>
      </w:r>
      <w:r w:rsidR="00BF3738" w:rsidRPr="008B53A9">
        <w:t>,</w:t>
      </w:r>
      <w:r w:rsidRPr="008B53A9">
        <w:t xml:space="preserve"> aby došlo k</w:t>
      </w:r>
      <w:r w:rsidR="00942A5B" w:rsidRPr="008B53A9">
        <w:t> žádoucím synergiím</w:t>
      </w:r>
      <w:r w:rsidRPr="008B53A9">
        <w:t xml:space="preserve"> s OP Doprava a </w:t>
      </w:r>
      <w:r w:rsidR="000201D0" w:rsidRPr="008B53A9">
        <w:t>Integrovaným regionálním operačním programem</w:t>
      </w:r>
      <w:r w:rsidRPr="008B53A9">
        <w:t xml:space="preserve"> (blíže viz </w:t>
      </w:r>
      <w:r w:rsidR="00BA0383" w:rsidRPr="008B53A9">
        <w:t>oddíl</w:t>
      </w:r>
      <w:r w:rsidRPr="008B53A9">
        <w:t xml:space="preserve"> 8, resp. </w:t>
      </w:r>
      <w:r w:rsidR="00D3716C" w:rsidRPr="008B53A9">
        <w:t xml:space="preserve">Nepovinná </w:t>
      </w:r>
      <w:r w:rsidRPr="008B53A9">
        <w:t xml:space="preserve">příloha č. </w:t>
      </w:r>
      <w:r w:rsidR="00F734D1" w:rsidRPr="008B53A9">
        <w:t>4</w:t>
      </w:r>
      <w:r w:rsidRPr="008B53A9">
        <w:t>). Způsobilé výdaje budou vynakládány na pořízení souvisejících technologií, dobíjecích stanic případně na možnost úhrady/příspěvku části kupní ceny elektromobilu, která přesahuje průměrnou cenu automobilů se spalovacím motorem</w:t>
      </w:r>
      <w:r w:rsidR="006D7824" w:rsidRPr="008B53A9">
        <w:t>. Výstupem projektu bude rozšiřování nabíjecí infrastruktury a počtu elektromobilů v ČR. Úspěšné projekty budou prezentovat elektromobilitu jako nízkoemisní a nízkonákladový dopravní prostředek ve velkých aglomeracích.</w:t>
      </w:r>
    </w:p>
    <w:p w:rsidR="007D0E83" w:rsidRPr="008B53A9" w:rsidRDefault="007D0E83" w:rsidP="007D0E83">
      <w:pPr>
        <w:pStyle w:val="Standardntext"/>
      </w:pPr>
      <w:r w:rsidRPr="008B53A9">
        <w:t xml:space="preserve">Typovým projektem v oblasti využití druhotných surovin </w:t>
      </w:r>
      <w:r w:rsidR="00101D4E" w:rsidRPr="008B53A9">
        <w:t>bude</w:t>
      </w:r>
      <w:r w:rsidRPr="008B53A9">
        <w:t xml:space="preserve"> projekt, při kterém</w:t>
      </w:r>
      <w:r w:rsidR="00101D4E" w:rsidRPr="008B53A9">
        <w:t xml:space="preserve"> bude</w:t>
      </w:r>
      <w:r w:rsidRPr="008B53A9">
        <w:t xml:space="preserve"> poskytnuta podpora na pořízení technologie na výrobu inovativních výrobků vyrobených z druhotných surovin.</w:t>
      </w:r>
      <w:r w:rsidR="00101D4E" w:rsidRPr="008B53A9">
        <w:t xml:space="preserve"> </w:t>
      </w:r>
      <w:r w:rsidRPr="008B53A9">
        <w:t>Způsobilé výdaje budou veškeré investiční náklady přímo spojené s instalací zařízení.</w:t>
      </w:r>
      <w:r w:rsidR="00101D4E" w:rsidRPr="008B53A9">
        <w:t xml:space="preserve"> </w:t>
      </w:r>
      <w:r w:rsidRPr="008B53A9">
        <w:t>Výstupem bude instalovaná moderní technologie na produkci</w:t>
      </w:r>
      <w:r w:rsidR="00F76D49" w:rsidRPr="008B53A9">
        <w:t xml:space="preserve"> výrobků z druhotných surovin, která povede k jejímu vyššímu využití v rámci podniku.</w:t>
      </w:r>
      <w:r w:rsidRPr="008B53A9">
        <w:t xml:space="preserve"> </w:t>
      </w:r>
      <w:r w:rsidR="00F76D49" w:rsidRPr="008B53A9">
        <w:t>Dopad těchto intervencí</w:t>
      </w:r>
      <w:r w:rsidRPr="008B53A9">
        <w:t xml:space="preserve"> se projeví v úspoře primárních surovin, ve vyšší surovinové bezpečnosti.</w:t>
      </w:r>
    </w:p>
    <w:p w:rsidR="007D0E83" w:rsidRPr="008B53A9" w:rsidRDefault="007D0E83" w:rsidP="007D0E83">
      <w:pPr>
        <w:pStyle w:val="Standardntext"/>
      </w:pPr>
      <w:r w:rsidRPr="008B53A9">
        <w:t>Typovým projektem v oblasti inteligentních domů bude realizace stavby, jež bude obsahovat komplex zařízení ob</w:t>
      </w:r>
      <w:r w:rsidR="00101D4E" w:rsidRPr="008B53A9">
        <w:t>s</w:t>
      </w:r>
      <w:r w:rsidRPr="008B53A9">
        <w:t>ahujících inteligentní řízení, akumulaci energie, integrace OZE, využití stavebních materiálů z druhotných surovin atd.)</w:t>
      </w:r>
      <w:r w:rsidR="00101D4E" w:rsidRPr="008B53A9">
        <w:t xml:space="preserve">. </w:t>
      </w:r>
      <w:r w:rsidRPr="008B53A9">
        <w:t>Způsobilé výdaje budou veškeré investiční náklady přímo spojené s instalací zařízení.</w:t>
      </w:r>
      <w:r w:rsidR="00101D4E" w:rsidRPr="008B53A9">
        <w:t xml:space="preserve"> </w:t>
      </w:r>
      <w:r w:rsidRPr="008B53A9">
        <w:t>Výstupem bude inteligentní budova, jejíž výsledky se projeví v oblasti urychlení zavádění moderních technologií do budov.</w:t>
      </w:r>
    </w:p>
    <w:p w:rsidR="007D0E83" w:rsidRPr="008B53A9" w:rsidRDefault="007D0E83" w:rsidP="007D0E83">
      <w:pPr>
        <w:pStyle w:val="Standardntext"/>
      </w:pPr>
      <w:r w:rsidRPr="008B53A9">
        <w:t>Dalším opatřením v rámci tohoto specifického cíle</w:t>
      </w:r>
      <w:r w:rsidR="00101D4E" w:rsidRPr="008B53A9">
        <w:t xml:space="preserve"> je pilotní rozvoj akumulace elektrické</w:t>
      </w:r>
      <w:r w:rsidRPr="008B53A9">
        <w:t xml:space="preserve"> energie na úrovni </w:t>
      </w:r>
      <w:r w:rsidR="00101D4E" w:rsidRPr="008B53A9">
        <w:t>středního</w:t>
      </w:r>
      <w:r w:rsidRPr="008B53A9">
        <w:t>, resp. nízkého napětí. Cílem je aplikac</w:t>
      </w:r>
      <w:r w:rsidR="00101D4E" w:rsidRPr="008B53A9">
        <w:t>e</w:t>
      </w:r>
      <w:r w:rsidRPr="008B53A9">
        <w:t xml:space="preserve"> akumulační jednotky (zřejmě bateriového typu) stabilizovat dodávku z decentralizovaných zdrojů energie (FVE, VTE) do distribuční sítě a řešit přetoky do vyšších napěťových úrovní.</w:t>
      </w:r>
      <w:r w:rsidR="00101D4E" w:rsidRPr="008B53A9">
        <w:t xml:space="preserve"> </w:t>
      </w:r>
      <w:r w:rsidRPr="008B53A9">
        <w:t>Mezi t</w:t>
      </w:r>
      <w:r w:rsidR="00101D4E" w:rsidRPr="008B53A9">
        <w:t>echnologické prvky akumulace elektrické</w:t>
      </w:r>
      <w:r w:rsidRPr="008B53A9">
        <w:t xml:space="preserve"> energie patří nejen samotná bateriová jednotka, ale také řídící jednotka včetně SW přizpůsobení konkrétní aplikace, komunikační jednotka, připojovací kabeláže, měření, apod.</w:t>
      </w:r>
      <w:r w:rsidR="00101D4E" w:rsidRPr="008B53A9">
        <w:t xml:space="preserve"> </w:t>
      </w:r>
      <w:r w:rsidRPr="008B53A9">
        <w:t>Způsobilé výdaje budou veškeré investiční náklady přímo spojené s instalací zařízení.</w:t>
      </w:r>
      <w:r w:rsidR="00101D4E" w:rsidRPr="008B53A9">
        <w:t xml:space="preserve"> </w:t>
      </w:r>
      <w:r w:rsidRPr="008B53A9">
        <w:t>Výstupem projektu bude ověření perspektivní technologie eliminující vlivy decentralizovaných výrobních zdrojů na distribuční soustavu, ověření peak-offpeak arbitráže u zdrojů – řízení spotřeby/dodávky v čase dle potřeb distribuční soustavy a doložené ekonomické porovnání s nutnými investičními náklady do posílení výkonu transformátoru, resp. silového vedení při konvenčním způsobu řešení.</w:t>
      </w:r>
    </w:p>
    <w:p w:rsidR="00EF6B98" w:rsidRPr="008B53A9" w:rsidRDefault="00EF6B98" w:rsidP="00EF6B98">
      <w:pPr>
        <w:pStyle w:val="Standardntext"/>
      </w:pPr>
      <w:r w:rsidRPr="008B53A9">
        <w:t xml:space="preserve">Výstupy </w:t>
      </w:r>
      <w:r w:rsidR="00AE425C" w:rsidRPr="008B53A9">
        <w:t xml:space="preserve">všech </w:t>
      </w:r>
      <w:r w:rsidRPr="008B53A9">
        <w:t>výše uvedených aktivit přispějí k naplňování výsledků tohoto specifického cíle, tj. rozšíření aplikace málo (nebo vůbec) využívaných nízkouhlíkových technologií.</w:t>
      </w:r>
    </w:p>
    <w:p w:rsidR="0058402E" w:rsidRPr="008B53A9" w:rsidRDefault="0058402E" w:rsidP="00D540FC">
      <w:pPr>
        <w:pStyle w:val="Standardntext"/>
      </w:pPr>
      <w:r w:rsidRPr="008B53A9">
        <w:rPr>
          <w:b/>
          <w:bCs/>
        </w:rPr>
        <w:t xml:space="preserve">Hlavní cílová skupina: </w:t>
      </w:r>
      <w:r w:rsidR="00127389" w:rsidRPr="008B53A9">
        <w:t>P</w:t>
      </w:r>
      <w:r w:rsidR="00D90173" w:rsidRPr="008B53A9">
        <w:t xml:space="preserve">odnikatelské subjekty, </w:t>
      </w:r>
      <w:r w:rsidR="00D540FC" w:rsidRPr="008B53A9">
        <w:t>především MSP, ale i velk</w:t>
      </w:r>
      <w:r w:rsidR="00D90173" w:rsidRPr="008B53A9">
        <w:t>é</w:t>
      </w:r>
      <w:r w:rsidR="00D540FC" w:rsidRPr="008B53A9">
        <w:t xml:space="preserve"> podnik</w:t>
      </w:r>
      <w:r w:rsidR="00D90173" w:rsidRPr="008B53A9">
        <w:t>y</w:t>
      </w:r>
      <w:r w:rsidR="00D540FC" w:rsidRPr="008B53A9">
        <w:t>, kte</w:t>
      </w:r>
      <w:r w:rsidR="00D90173" w:rsidRPr="008B53A9">
        <w:t>ré</w:t>
      </w:r>
      <w:r w:rsidR="00D540FC" w:rsidRPr="008B53A9">
        <w:t xml:space="preserve"> hodlají zavést inovativní nízkouhlíkovou technologii v oblasti nakládání energií, včetně nízkouhlíkové dopravy a zpracování druhotných surovin.</w:t>
      </w:r>
    </w:p>
    <w:p w:rsidR="0058402E" w:rsidRPr="008B53A9" w:rsidRDefault="0058402E" w:rsidP="00D540FC">
      <w:pPr>
        <w:pStyle w:val="Standardntext"/>
      </w:pPr>
      <w:r w:rsidRPr="008B53A9">
        <w:rPr>
          <w:b/>
          <w:bCs/>
        </w:rPr>
        <w:t xml:space="preserve">Cílové území: </w:t>
      </w:r>
      <w:r w:rsidR="001E0AA2" w:rsidRPr="008B53A9">
        <w:t>Území České republiky, mimo území hl. m. Prahy.</w:t>
      </w:r>
      <w:r w:rsidR="00015039" w:rsidRPr="008B53A9">
        <w:t xml:space="preserve"> Předpokládá se plošné směrování intervencí bez vymezení územní dimenze.</w:t>
      </w:r>
    </w:p>
    <w:p w:rsidR="0058402E" w:rsidRPr="008B53A9" w:rsidRDefault="0058402E" w:rsidP="00D540FC">
      <w:pPr>
        <w:pStyle w:val="Standardntext"/>
      </w:pPr>
      <w:r w:rsidRPr="008B53A9">
        <w:rPr>
          <w:b/>
          <w:bCs/>
        </w:rPr>
        <w:t xml:space="preserve">Typy příjemců: </w:t>
      </w:r>
      <w:r w:rsidRPr="008B53A9">
        <w:t>Podnikatelské subjekty (malé, střední a případně velké podniky)</w:t>
      </w:r>
      <w:r w:rsidR="00063F06" w:rsidRPr="008B53A9">
        <w:t>, vysoké školy, obce, kraje a jimi zřizované organizace</w:t>
      </w:r>
      <w:r w:rsidRPr="008B53A9">
        <w:t>.</w:t>
      </w:r>
      <w:r w:rsidR="00E873A7" w:rsidRPr="008B53A9">
        <w:t xml:space="preserve"> V tomto specifickém cíli se předpokládá účast </w:t>
      </w:r>
      <w:r w:rsidR="00E873A7" w:rsidRPr="008B53A9">
        <w:lastRenderedPageBreak/>
        <w:t xml:space="preserve">velkých podniků (dle čl. 3 odst. 1 písm. b) nařízení o EFRR), neboť </w:t>
      </w:r>
      <w:r w:rsidR="00082BCC" w:rsidRPr="008B53A9">
        <w:t>představují</w:t>
      </w:r>
      <w:r w:rsidR="00802F4D" w:rsidRPr="008B53A9">
        <w:t xml:space="preserve"> významnou cílovou skupinou pro zavádění nízkouhlíkových technologií z hlediska snížení negativního dopadu jejich činnosti na životní prostředí. To je dáno jednak rozsahem tohoto dopadu vzhledem k velikosti jejich produkce (velký potenciál ke zlepšení), a</w:t>
      </w:r>
      <w:r w:rsidR="00082BCC" w:rsidRPr="008B53A9">
        <w:t>le</w:t>
      </w:r>
      <w:r w:rsidR="00802F4D" w:rsidRPr="008B53A9">
        <w:t xml:space="preserve"> také tím, že řada velkých podniků má starší technologické vybavení a nevhodnou infrastrukturu přinášející zbytečnou ekologickou zátěž.</w:t>
      </w:r>
      <w:r w:rsidR="00E873A7" w:rsidRPr="008B53A9">
        <w:t xml:space="preserve"> </w:t>
      </w:r>
    </w:p>
    <w:p w:rsidR="0058402E" w:rsidRPr="008B53A9" w:rsidRDefault="00BA6461" w:rsidP="005F43DF">
      <w:pPr>
        <w:pStyle w:val="Nadpis5"/>
        <w:numPr>
          <w:ilvl w:val="4"/>
          <w:numId w:val="23"/>
        </w:numPr>
      </w:pPr>
      <w:r w:rsidRPr="008B53A9">
        <w:t>Hlavní zásady pro výběr operací</w:t>
      </w:r>
    </w:p>
    <w:p w:rsidR="0042487A" w:rsidRPr="008B53A9" w:rsidRDefault="00D540FC" w:rsidP="0042487A">
      <w:pPr>
        <w:pStyle w:val="Standardntext"/>
      </w:pPr>
      <w:r w:rsidRPr="008B53A9">
        <w:t xml:space="preserve">V rámci této investiční priority budou vyhlašovány výzvy na předkládání individuálních projektů. </w:t>
      </w:r>
      <w:r w:rsidR="00855A0B" w:rsidRPr="008B53A9">
        <w:t>Předložené projekty budou  nejdříve posuzovány ze strany řídícího orgánu / zprostředkujícího subjektu z pohledu jejich souladu s podmínkami daného programu podpory.</w:t>
      </w:r>
      <w:r w:rsidRPr="008B53A9">
        <w:t xml:space="preserve"> Projektové žádosti, které úspěšně projdou tímto procesem, budou následně </w:t>
      </w:r>
      <w:r w:rsidR="002A71BE" w:rsidRPr="008B53A9">
        <w:t>hodnoceny odbornými hodnotiteli (primárně interními v působnosti Agentury CzechInvest, resp. MPO a v případech projektů vyžadujících zvláštní odbornou způsobilost hodnotiteli externími</w:t>
      </w:r>
      <w:r w:rsidR="00600E4E" w:rsidRPr="008B53A9">
        <w:t>, zde např. při posouzení inovativnost dané technologie</w:t>
      </w:r>
      <w:r w:rsidR="002A71BE" w:rsidRPr="008B53A9">
        <w:t>) dle předem</w:t>
      </w:r>
      <w:r w:rsidRPr="008B53A9">
        <w:t xml:space="preserve"> definovaných výběrových </w:t>
      </w:r>
      <w:r w:rsidR="006B1736" w:rsidRPr="008B53A9">
        <w:t>kritérií odpovídajících charakteru</w:t>
      </w:r>
      <w:r w:rsidRPr="008B53A9">
        <w:t xml:space="preserve"> jednotlivých specifických cílů. </w:t>
      </w:r>
      <w:r w:rsidR="00952A8B" w:rsidRPr="008B53A9">
        <w:t xml:space="preserve">Ve finální fázi hodnocení </w:t>
      </w:r>
      <w:r w:rsidRPr="008B53A9">
        <w:t xml:space="preserve">budou doporučené projekty posuzovány hodnotitelskou komisí, která bude tvořena zástupci ŘO a dalšími relevantními partnery </w:t>
      </w:r>
      <w:r w:rsidR="00963119" w:rsidRPr="008B53A9">
        <w:t xml:space="preserve">a experty </w:t>
      </w:r>
      <w:r w:rsidRPr="008B53A9">
        <w:t xml:space="preserve">na </w:t>
      </w:r>
      <w:r w:rsidR="00F77E1E" w:rsidRPr="008B53A9">
        <w:t>danou problematiku</w:t>
      </w:r>
      <w:r w:rsidR="00C81F46" w:rsidRPr="008B53A9">
        <w:t>, popř. r</w:t>
      </w:r>
      <w:r w:rsidR="00F77E1E" w:rsidRPr="008B53A9">
        <w:t>egionálními partnery</w:t>
      </w:r>
      <w:r w:rsidR="00C81F46" w:rsidRPr="008B53A9">
        <w:t xml:space="preserve">. </w:t>
      </w:r>
      <w:r w:rsidR="0020084D" w:rsidRPr="008B53A9">
        <w:t xml:space="preserve">Výběr </w:t>
      </w:r>
      <w:r w:rsidR="002730C3" w:rsidRPr="008B53A9">
        <w:t>odborných hodnotitelů</w:t>
      </w:r>
      <w:r w:rsidR="0020084D"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20084D" w:rsidRPr="008B53A9">
        <w:rPr>
          <w:rStyle w:val="Znakapoznpodarou"/>
        </w:rPr>
        <w:footnoteReference w:id="61"/>
      </w:r>
      <w:r w:rsidR="0020084D" w:rsidRPr="008B53A9">
        <w:t xml:space="preserve"> Hodnotitelé budou průběžně školeni tak, aby byl zajištěn jejich rovný přístup ke všem projektům. </w:t>
      </w:r>
      <w:r w:rsidR="0042487A" w:rsidRPr="008B53A9">
        <w:t>Tento systém bude nastaven maximálně transparentně, s cílem zajistit kvalitní a objektivní hodnocení projektů, a realizací schválených projektů dosažení stanovených cílů programu.</w:t>
      </w:r>
    </w:p>
    <w:p w:rsidR="00C0640C" w:rsidRPr="008B53A9" w:rsidRDefault="00C0640C" w:rsidP="00C0640C">
      <w:pPr>
        <w:pStyle w:val="Standardntext"/>
      </w:pPr>
      <w:r w:rsidRPr="008B53A9">
        <w:t>V rámci výběru a hodnocení projektů budou posuzována především následující kritéria:</w:t>
      </w:r>
    </w:p>
    <w:p w:rsidR="00C0640C" w:rsidRPr="008B53A9" w:rsidRDefault="00C0640C" w:rsidP="005F43DF">
      <w:pPr>
        <w:pStyle w:val="Standardntext"/>
        <w:numPr>
          <w:ilvl w:val="0"/>
          <w:numId w:val="44"/>
        </w:numPr>
      </w:pPr>
      <w:r w:rsidRPr="008B53A9">
        <w:t xml:space="preserve">Kvalita a potřebnost projektu </w:t>
      </w:r>
      <w:r w:rsidR="00DC4382" w:rsidRPr="008B53A9">
        <w:t>s ohledem na jejich inovativní přínosy a ekonomickou efektivnost.</w:t>
      </w:r>
    </w:p>
    <w:p w:rsidR="00C0640C" w:rsidRPr="008B53A9" w:rsidRDefault="00C0640C"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C0640C" w:rsidRPr="008B53A9" w:rsidRDefault="00C0640C" w:rsidP="005F43DF">
      <w:pPr>
        <w:pStyle w:val="Standardntext"/>
        <w:numPr>
          <w:ilvl w:val="0"/>
          <w:numId w:val="44"/>
        </w:numPr>
      </w:pPr>
      <w:r w:rsidRPr="008B53A9">
        <w:t>Žadatel nesmí mít právní formu akciové společnosti s listinnými akciemi na majitele.</w:t>
      </w:r>
    </w:p>
    <w:p w:rsidR="0058402E" w:rsidRPr="008B53A9" w:rsidRDefault="00BA6461" w:rsidP="005F43DF">
      <w:pPr>
        <w:pStyle w:val="Nadpis5"/>
        <w:numPr>
          <w:ilvl w:val="4"/>
          <w:numId w:val="23"/>
        </w:numPr>
        <w:rPr>
          <w:rFonts w:cs="Calibri"/>
        </w:rPr>
      </w:pPr>
      <w:r w:rsidRPr="008B53A9">
        <w:t>Plánované využití finančních nástrojů (použije-li se)</w:t>
      </w:r>
    </w:p>
    <w:p w:rsidR="0058402E" w:rsidRPr="008B53A9" w:rsidRDefault="00DC5013" w:rsidP="002A4D1D">
      <w:pPr>
        <w:pStyle w:val="Standardntext"/>
        <w:rPr>
          <w:color w:val="FF0000"/>
        </w:rPr>
      </w:pPr>
      <w:r w:rsidRPr="008B53A9">
        <w:t>Řídící orgán nepředpokládá využití finančních nástrojů v této investiční prioritě. Případné odchylky stanoví konečná verze předběžného posouzení finančních nástrojů OP PIK dle čl. 37 odst. 2 obecného nařízení, které provede ŘO OP PIK, případně jeho revize podle čl. 37 odst. 2 písm. g) obecného nařízení.</w:t>
      </w:r>
    </w:p>
    <w:p w:rsidR="0058402E" w:rsidRPr="008B53A9" w:rsidRDefault="00BA6461" w:rsidP="005F43DF">
      <w:pPr>
        <w:pStyle w:val="Nadpis5"/>
        <w:numPr>
          <w:ilvl w:val="4"/>
          <w:numId w:val="23"/>
        </w:numPr>
      </w:pPr>
      <w:r w:rsidRPr="008B53A9">
        <w:lastRenderedPageBreak/>
        <w:t>Plánované využití velkých projektů (použije-li se)</w:t>
      </w:r>
    </w:p>
    <w:p w:rsidR="002A4D1D" w:rsidRPr="008B53A9" w:rsidRDefault="002A4D1D" w:rsidP="002A4D1D">
      <w:pPr>
        <w:pStyle w:val="Standardntext"/>
      </w:pPr>
      <w:r w:rsidRPr="008B53A9">
        <w:t xml:space="preserve">Velké projekty ve smyslu čl. </w:t>
      </w:r>
      <w:r w:rsidR="008F52F8" w:rsidRPr="008B53A9">
        <w:t>10</w:t>
      </w:r>
      <w:r w:rsidRPr="008B53A9">
        <w:t>0 obecného nařízení nejsou plánovány.</w:t>
      </w:r>
    </w:p>
    <w:p w:rsidR="0058402E" w:rsidRPr="008B53A9" w:rsidRDefault="00BA6461" w:rsidP="005F43DF">
      <w:pPr>
        <w:pStyle w:val="Nadpis5"/>
        <w:keepNext w:val="0"/>
        <w:keepLines w:val="0"/>
        <w:numPr>
          <w:ilvl w:val="4"/>
          <w:numId w:val="23"/>
        </w:numPr>
      </w:pPr>
      <w:r w:rsidRPr="008B53A9">
        <w:t>Ukazatele výstupů podle investiční priority a případně podle kategorie regionů</w:t>
      </w:r>
    </w:p>
    <w:p w:rsidR="0058402E" w:rsidRPr="008B53A9" w:rsidRDefault="0058402E" w:rsidP="007E38FF">
      <w:pPr>
        <w:pStyle w:val="Titulek"/>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1154"/>
        <w:gridCol w:w="2006"/>
        <w:gridCol w:w="1076"/>
        <w:gridCol w:w="665"/>
        <w:gridCol w:w="1266"/>
        <w:gridCol w:w="1253"/>
        <w:gridCol w:w="665"/>
        <w:gridCol w:w="1241"/>
      </w:tblGrid>
      <w:tr w:rsidR="001B2E5C" w:rsidRPr="008B53A9">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Kategorie regionu</w:t>
            </w:r>
          </w:p>
        </w:tc>
        <w:tc>
          <w:tcPr>
            <w:tcW w:w="125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956C4F">
            <w:pPr>
              <w:pStyle w:val="Tabulka"/>
              <w:rPr>
                <w:rFonts w:cs="Calibri"/>
                <w:b/>
                <w:lang w:val="cs-CZ" w:eastAsia="cs-CZ"/>
              </w:rPr>
            </w:pPr>
            <w:r w:rsidRPr="008B53A9">
              <w:rPr>
                <w:rFonts w:cs="Calibri"/>
                <w:b/>
                <w:lang w:val="cs-CZ" w:eastAsia="cs-CZ"/>
              </w:rPr>
              <w:t>Cílová hodnota</w:t>
            </w:r>
            <w:r w:rsidR="00956C4F" w:rsidRPr="008B53A9">
              <w:rPr>
                <w:rFonts w:cs="Calibri"/>
                <w:b/>
                <w:lang w:val="cs-CZ" w:eastAsia="cs-CZ"/>
              </w:rPr>
              <w:t xml:space="preserve"> </w:t>
            </w:r>
            <w:r w:rsidRPr="008B53A9">
              <w:rPr>
                <w:rFonts w:cs="Calibri"/>
                <w:b/>
                <w:lang w:val="cs-CZ" w:eastAsia="cs-CZ"/>
              </w:rPr>
              <w:t>(2023)</w:t>
            </w:r>
          </w:p>
        </w:tc>
        <w:tc>
          <w:tcPr>
            <w:tcW w:w="66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1B2E5C">
            <w:pPr>
              <w:pStyle w:val="Tabulka"/>
              <w:rPr>
                <w:rFonts w:cs="Calibri"/>
                <w:b/>
                <w:lang w:val="cs-CZ" w:eastAsia="cs-CZ"/>
              </w:rPr>
            </w:pPr>
            <w:r w:rsidRPr="008B53A9">
              <w:rPr>
                <w:rFonts w:cs="Calibri"/>
                <w:b/>
                <w:lang w:val="cs-CZ" w:eastAsia="cs-CZ"/>
              </w:rPr>
              <w:t>Četnost podávání zpráv</w:t>
            </w:r>
          </w:p>
        </w:tc>
      </w:tr>
      <w:tr w:rsidR="00F9412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C</w:t>
            </w:r>
            <w:r w:rsidR="00223936" w:rsidRPr="008B53A9">
              <w:rPr>
                <w:rFonts w:cs="Calibri"/>
                <w:lang w:val="cs-CZ" w:eastAsia="cs-CZ"/>
              </w:rPr>
              <w:t>/EFRR/0</w:t>
            </w:r>
            <w:r w:rsidRPr="008B53A9">
              <w:rPr>
                <w:rFonts w:cs="Calibri"/>
                <w:lang w:val="cs-CZ" w:eastAsia="cs-CZ"/>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jc w:val="left"/>
              <w:rPr>
                <w:rFonts w:cs="Calibri"/>
                <w:lang w:val="cs-CZ" w:eastAsia="cs-CZ"/>
              </w:rPr>
            </w:pPr>
            <w:r w:rsidRPr="008B53A9">
              <w:rPr>
                <w:rFonts w:cs="Calibri"/>
                <w:lang w:val="cs-CZ" w:eastAsia="cs-CZ"/>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994365">
            <w:pPr>
              <w:pStyle w:val="Tabulka"/>
              <w:rPr>
                <w:rFonts w:cs="Calibri"/>
                <w:lang w:val="cs-CZ" w:eastAsia="cs-CZ"/>
              </w:rPr>
            </w:pPr>
            <w:r w:rsidRPr="008B53A9">
              <w:rPr>
                <w:rFonts w:cs="Calibri"/>
                <w:lang w:val="cs-CZ" w:eastAsia="cs-CZ"/>
              </w:rPr>
              <w:t>45</w:t>
            </w:r>
          </w:p>
        </w:tc>
        <w:tc>
          <w:tcPr>
            <w:tcW w:w="665" w:type="dxa"/>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průběžně</w:t>
            </w:r>
          </w:p>
        </w:tc>
      </w:tr>
      <w:tr w:rsidR="00F9412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C</w:t>
            </w:r>
            <w:r w:rsidR="00223936" w:rsidRPr="008B53A9">
              <w:rPr>
                <w:rFonts w:cs="Calibri"/>
                <w:lang w:val="cs-CZ" w:eastAsia="cs-CZ"/>
              </w:rPr>
              <w:t>/EFRR/0</w:t>
            </w:r>
            <w:r w:rsidRPr="008B53A9">
              <w:rPr>
                <w:rFonts w:cs="Calibri"/>
                <w:lang w:val="cs-CZ" w:eastAsia="cs-CZ"/>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jc w:val="left"/>
              <w:rPr>
                <w:rFonts w:cs="Calibri"/>
                <w:lang w:val="cs-CZ" w:eastAsia="cs-CZ"/>
              </w:rPr>
            </w:pPr>
            <w:r w:rsidRPr="008B53A9">
              <w:rPr>
                <w:rFonts w:cs="Calibri"/>
                <w:lang w:val="cs-CZ" w:eastAsia="cs-CZ"/>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994365">
            <w:pPr>
              <w:pStyle w:val="Tabulka"/>
              <w:rPr>
                <w:rFonts w:cs="Calibri"/>
                <w:lang w:val="cs-CZ" w:eastAsia="cs-CZ"/>
              </w:rPr>
            </w:pPr>
            <w:r w:rsidRPr="008B53A9">
              <w:rPr>
                <w:rFonts w:cs="Calibri"/>
                <w:lang w:val="cs-CZ" w:eastAsia="cs-CZ"/>
              </w:rPr>
              <w:t>45</w:t>
            </w:r>
          </w:p>
        </w:tc>
        <w:tc>
          <w:tcPr>
            <w:tcW w:w="665" w:type="dxa"/>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průběžně</w:t>
            </w:r>
          </w:p>
        </w:tc>
      </w:tr>
      <w:tr w:rsidR="00F9412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C</w:t>
            </w:r>
            <w:r w:rsidR="00223936" w:rsidRPr="008B53A9">
              <w:rPr>
                <w:rFonts w:cs="Calibri"/>
                <w:lang w:val="cs-CZ" w:eastAsia="cs-CZ"/>
              </w:rPr>
              <w:t>/EFRR/0</w:t>
            </w:r>
            <w:r w:rsidRPr="008B53A9">
              <w:rPr>
                <w:rFonts w:cs="Calibri"/>
                <w:lang w:val="cs-CZ" w:eastAsia="cs-CZ"/>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jc w:val="left"/>
              <w:rPr>
                <w:rFonts w:cs="Calibri"/>
                <w:lang w:val="cs-CZ" w:eastAsia="cs-CZ"/>
              </w:rPr>
            </w:pPr>
            <w:r w:rsidRPr="008B53A9">
              <w:rPr>
                <w:rFonts w:cs="Calibri"/>
                <w:lang w:val="cs-CZ" w:eastAsia="cs-CZ"/>
              </w:rPr>
              <w:t>Soukromé investice v projektech s veřejnou podporou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Méně rozvinuté regiony</w:t>
            </w:r>
          </w:p>
        </w:tc>
        <w:tc>
          <w:tcPr>
            <w:tcW w:w="1253" w:type="dxa"/>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994365">
            <w:pPr>
              <w:pStyle w:val="Tabulka"/>
              <w:rPr>
                <w:rFonts w:cs="Calibri"/>
                <w:lang w:val="cs-CZ" w:eastAsia="cs-CZ"/>
              </w:rPr>
            </w:pPr>
            <w:r w:rsidRPr="008B53A9">
              <w:rPr>
                <w:rFonts w:cs="Calibri"/>
                <w:lang w:val="cs-CZ" w:eastAsia="cs-CZ"/>
              </w:rPr>
              <w:t>32 000 000</w:t>
            </w:r>
          </w:p>
        </w:tc>
        <w:tc>
          <w:tcPr>
            <w:tcW w:w="665" w:type="dxa"/>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F94124" w:rsidRPr="008B53A9" w:rsidRDefault="00F94124" w:rsidP="007E38FF">
            <w:pPr>
              <w:pStyle w:val="Tabulka"/>
              <w:rPr>
                <w:rFonts w:cs="Calibri"/>
                <w:lang w:val="cs-CZ" w:eastAsia="cs-CZ"/>
              </w:rPr>
            </w:pPr>
            <w:r w:rsidRPr="008B53A9">
              <w:rPr>
                <w:rFonts w:cs="Calibri"/>
                <w:lang w:val="cs-CZ" w:eastAsia="cs-CZ"/>
              </w:rPr>
              <w:t>průběžně</w:t>
            </w:r>
          </w:p>
        </w:tc>
      </w:tr>
    </w:tbl>
    <w:p w:rsidR="00EC2D25" w:rsidRPr="008B53A9" w:rsidRDefault="00EC2D25" w:rsidP="005F43DF">
      <w:pPr>
        <w:pStyle w:val="kapitola2A0"/>
        <w:numPr>
          <w:ilvl w:val="2"/>
          <w:numId w:val="74"/>
        </w:numPr>
      </w:pPr>
      <w:bookmarkStart w:id="73" w:name="_Toc351464393"/>
      <w:bookmarkStart w:id="74" w:name="_Toc391539641"/>
      <w:r w:rsidRPr="008B53A9">
        <w:t>INVESTIČNÍ PRIORITA 5 prioritní osy 3: Podpora využívání vysoce účinné kombinované výroby tepla a elektřiny na základě poptávky po užitečném teple</w:t>
      </w:r>
      <w:bookmarkEnd w:id="74"/>
    </w:p>
    <w:p w:rsidR="003B05CA" w:rsidRPr="008B53A9" w:rsidRDefault="008C7D72" w:rsidP="005F43DF">
      <w:pPr>
        <w:pStyle w:val="kapitola2A0"/>
        <w:numPr>
          <w:ilvl w:val="2"/>
          <w:numId w:val="74"/>
        </w:numPr>
      </w:pPr>
      <w:bookmarkStart w:id="75" w:name="_Toc391539642"/>
      <w:r w:rsidRPr="008B53A9">
        <w:t>Specifické cíle odpovídající investiční prioritě a očekávané výsledky</w:t>
      </w:r>
      <w:bookmarkEnd w:id="75"/>
    </w:p>
    <w:p w:rsidR="00272AE4" w:rsidRPr="008B53A9" w:rsidRDefault="00272AE4" w:rsidP="00396141">
      <w:pPr>
        <w:pStyle w:val="Modrnadpis"/>
      </w:pPr>
      <w:r w:rsidRPr="008B53A9">
        <w:t xml:space="preserve">SPECIFICKÝ CÍL </w:t>
      </w:r>
      <w:r w:rsidR="00C71E6F" w:rsidRPr="008B53A9">
        <w:t>3.</w:t>
      </w:r>
      <w:r w:rsidRPr="008B53A9">
        <w:t xml:space="preserve">5: </w:t>
      </w:r>
      <w:r w:rsidR="007E355B" w:rsidRPr="008B53A9">
        <w:t>Zvýšit účinnost soustav zásobování teplem</w:t>
      </w:r>
    </w:p>
    <w:bookmarkEnd w:id="73"/>
    <w:p w:rsidR="00583E19" w:rsidRPr="008B53A9" w:rsidRDefault="00686722" w:rsidP="00686722">
      <w:pPr>
        <w:pStyle w:val="Standardntext"/>
      </w:pPr>
      <w:r w:rsidRPr="008B53A9">
        <w:t>Č</w:t>
      </w:r>
      <w:r w:rsidR="00583E19" w:rsidRPr="008B53A9">
        <w:t>R</w:t>
      </w:r>
      <w:r w:rsidRPr="008B53A9">
        <w:t xml:space="preserve"> disponuje rozsáhlý</w:t>
      </w:r>
      <w:r w:rsidR="00583E19" w:rsidRPr="008B53A9">
        <w:t xml:space="preserve">mi soustavami zásobování teplem, které </w:t>
      </w:r>
      <w:r w:rsidRPr="008B53A9">
        <w:t xml:space="preserve">však již dnes </w:t>
      </w:r>
      <w:r w:rsidR="00583E19" w:rsidRPr="008B53A9">
        <w:t xml:space="preserve">v mnoha případech </w:t>
      </w:r>
      <w:r w:rsidRPr="008B53A9">
        <w:t>neodpovída</w:t>
      </w:r>
      <w:r w:rsidR="00583E19" w:rsidRPr="008B53A9">
        <w:t>jí požadovaným parametrům. Zároveň</w:t>
      </w:r>
      <w:r w:rsidRPr="008B53A9">
        <w:t xml:space="preserve"> v ČR existuje nevyužitý potenciál kombinované výroby elektřiny a tepla, kdy je celá řada soustav zásobování teplem napájena ze zdroje monovýroby tepla a teplo z výroby elektrické energie není využito. </w:t>
      </w:r>
      <w:r w:rsidR="00583E19" w:rsidRPr="008B53A9">
        <w:t>Hlavním cílem je podpora konkurenceschopnosti a udržitelnosti české ekonomiky prostřednictvím využití kombinované výroby elektřiny a tepla.</w:t>
      </w:r>
    </w:p>
    <w:p w:rsidR="00686722" w:rsidRPr="008B53A9" w:rsidRDefault="003508A9" w:rsidP="00686722">
      <w:pPr>
        <w:pStyle w:val="Modrnadpis"/>
      </w:pPr>
      <w:r w:rsidRPr="008B53A9">
        <w:t>Výsledky, kterých chce ČR dosáhnout s podporou Unie</w:t>
      </w:r>
    </w:p>
    <w:p w:rsidR="00583E19" w:rsidRPr="008B53A9" w:rsidRDefault="00583E19" w:rsidP="005F43DF">
      <w:pPr>
        <w:pStyle w:val="Standardntext"/>
        <w:numPr>
          <w:ilvl w:val="0"/>
          <w:numId w:val="52"/>
        </w:numPr>
      </w:pPr>
      <w:r w:rsidRPr="008B53A9">
        <w:t>Příspěvek k naplnění Směrnice Evropského parlamentu a Rady 2012/27/EU o energetické účinnosti, která nabádá členské státy, aby přijmuli politiky, které podporují náležité zohledňování potenciálu využívání účinných systémů vytápění a chlazení, zejména systémů využívajících vysoce účinnou kombinovanou výrobu tepla a elektřiny.</w:t>
      </w:r>
    </w:p>
    <w:p w:rsidR="007E355B" w:rsidRPr="008B53A9" w:rsidRDefault="007E355B" w:rsidP="005F43DF">
      <w:pPr>
        <w:pStyle w:val="Standardntext"/>
        <w:numPr>
          <w:ilvl w:val="0"/>
          <w:numId w:val="52"/>
        </w:numPr>
      </w:pPr>
      <w:r w:rsidRPr="008B53A9">
        <w:t>Dosažení úspor primární energie díky využití nízkopotenciálního tepla z výroby elektřiny, které by jinak bylo vyvedeno do okolního prostředí a zavádění kombinované výroby elektřiny a tepla (dále také „KVET“) v soustavách zásobování teplem, kde byla poptávka po teple uspokojována pouze monovýrobou tepla.</w:t>
      </w:r>
    </w:p>
    <w:p w:rsidR="00B65348" w:rsidRPr="008B53A9" w:rsidRDefault="007E355B" w:rsidP="005F43DF">
      <w:pPr>
        <w:pStyle w:val="Standardntext"/>
        <w:numPr>
          <w:ilvl w:val="0"/>
          <w:numId w:val="52"/>
        </w:numPr>
      </w:pPr>
      <w:r w:rsidRPr="008B53A9">
        <w:lastRenderedPageBreak/>
        <w:t>Modernizace soustav zásobování teplem, optimalizace jejich provozu a snižování ztrát tepla v rozvodech. Při rekonstrukci tepelných sítí dojde ke snížení ztrát díky lepším izolačním parametrům, změně teploty provozního média a dojde k dimenzování soustavy s ohledem na současnou a budoucí spotřebu tepla. V některých případech je nutno počítat s řízeným přechodem některých velkých soustav na větší množství menších systémů využívajících menší kogenerační jednotky.</w:t>
      </w:r>
    </w:p>
    <w:p w:rsidR="00272AE4" w:rsidRPr="008B53A9" w:rsidRDefault="00272AE4" w:rsidP="00C71E6F">
      <w:pPr>
        <w:pStyle w:val="Titulek"/>
        <w:keepNext/>
        <w:keepLines/>
        <w:rPr>
          <w:rFonts w:cs="Calibri"/>
        </w:rPr>
      </w:pPr>
      <w:r w:rsidRPr="008B53A9">
        <w:rPr>
          <w:rFonts w:cs="Calibri"/>
        </w:rPr>
        <w:t xml:space="preserve">Tabulka </w:t>
      </w:r>
      <w:r w:rsidR="00F7325F" w:rsidRPr="008B53A9">
        <w:rPr>
          <w:rFonts w:cs="Calibri"/>
        </w:rPr>
        <w:fldChar w:fldCharType="begin"/>
      </w:r>
      <w:r w:rsidR="00F7325F" w:rsidRPr="008B53A9">
        <w:rPr>
          <w:rFonts w:cs="Calibri"/>
        </w:rPr>
        <w:instrText xml:space="preserve"> SEQ Tabulka \* ARABIC \r3 </w:instrText>
      </w:r>
      <w:r w:rsidR="00F7325F" w:rsidRPr="008B53A9">
        <w:rPr>
          <w:rFonts w:cs="Calibri"/>
        </w:rPr>
        <w:fldChar w:fldCharType="separate"/>
      </w:r>
      <w:r w:rsidR="00E54216" w:rsidRPr="008B53A9">
        <w:rPr>
          <w:rFonts w:cs="Calibri"/>
          <w:noProof/>
        </w:rPr>
        <w:t>3</w:t>
      </w:r>
      <w:r w:rsidR="00F7325F" w:rsidRPr="008B53A9">
        <w:rPr>
          <w:rFonts w:cs="Calibri"/>
        </w:rPr>
        <w:fldChar w:fldCharType="end"/>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5000" w:type="pct"/>
        <w:tblCellMar>
          <w:left w:w="57" w:type="dxa"/>
          <w:right w:w="57" w:type="dxa"/>
        </w:tblCellMar>
        <w:tblLook w:val="01E0" w:firstRow="1" w:lastRow="1" w:firstColumn="1" w:lastColumn="1" w:noHBand="0" w:noVBand="0"/>
      </w:tblPr>
      <w:tblGrid>
        <w:gridCol w:w="1068"/>
        <w:gridCol w:w="1399"/>
        <w:gridCol w:w="985"/>
        <w:gridCol w:w="1142"/>
        <w:gridCol w:w="974"/>
        <w:gridCol w:w="873"/>
        <w:gridCol w:w="992"/>
        <w:gridCol w:w="757"/>
        <w:gridCol w:w="1136"/>
      </w:tblGrid>
      <w:tr w:rsidR="00D57106" w:rsidRPr="008B53A9">
        <w:trPr>
          <w:trHeight w:hRule="exact" w:val="1297"/>
        </w:trPr>
        <w:tc>
          <w:tcPr>
            <w:tcW w:w="573"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ID</w:t>
            </w:r>
          </w:p>
        </w:tc>
        <w:tc>
          <w:tcPr>
            <w:tcW w:w="750"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Ukazatel</w:t>
            </w:r>
          </w:p>
        </w:tc>
        <w:tc>
          <w:tcPr>
            <w:tcW w:w="528"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Měrná</w:t>
            </w:r>
          </w:p>
          <w:p w:rsidR="00CF739D" w:rsidRPr="008B53A9" w:rsidRDefault="00CF739D" w:rsidP="00CF739D">
            <w:pPr>
              <w:pStyle w:val="Tabulka"/>
              <w:keepNext/>
              <w:keepLines/>
              <w:rPr>
                <w:rFonts w:cs="Calibri"/>
                <w:b/>
                <w:bCs/>
                <w:lang w:val="cs-CZ" w:eastAsia="cs-CZ"/>
              </w:rPr>
            </w:pPr>
            <w:r w:rsidRPr="008B53A9">
              <w:rPr>
                <w:rFonts w:cs="Calibri"/>
                <w:b/>
                <w:bCs/>
                <w:lang w:val="cs-CZ" w:eastAsia="cs-CZ"/>
              </w:rPr>
              <w:t>jednotka</w:t>
            </w:r>
          </w:p>
        </w:tc>
        <w:tc>
          <w:tcPr>
            <w:tcW w:w="61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Kategorie regionů (je-li relevantní)</w:t>
            </w:r>
          </w:p>
        </w:tc>
        <w:tc>
          <w:tcPr>
            <w:tcW w:w="52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CF739D">
            <w:pPr>
              <w:pStyle w:val="Tabulka"/>
              <w:keepNext/>
              <w:keepLines/>
              <w:rPr>
                <w:rFonts w:cs="Calibri"/>
                <w:b/>
                <w:bCs/>
                <w:lang w:val="cs-CZ" w:eastAsia="cs-CZ"/>
              </w:rPr>
            </w:pPr>
            <w:r w:rsidRPr="008B53A9">
              <w:rPr>
                <w:rFonts w:cs="Calibri"/>
                <w:b/>
                <w:bCs/>
                <w:lang w:val="cs-CZ" w:eastAsia="cs-CZ"/>
              </w:rPr>
              <w:t>Výchozí hodnota</w:t>
            </w:r>
          </w:p>
        </w:tc>
        <w:tc>
          <w:tcPr>
            <w:tcW w:w="468"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keepNext/>
              <w:keepLines/>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Cílová hodnota (2023)</w:t>
            </w:r>
          </w:p>
        </w:tc>
        <w:tc>
          <w:tcPr>
            <w:tcW w:w="406"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Zdroj údajů</w:t>
            </w:r>
          </w:p>
        </w:tc>
        <w:tc>
          <w:tcPr>
            <w:tcW w:w="609"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CF739D">
            <w:pPr>
              <w:pStyle w:val="Tabulka"/>
              <w:keepNext/>
              <w:keepLines/>
              <w:rPr>
                <w:rFonts w:cs="Calibri"/>
                <w:b/>
                <w:bCs/>
                <w:lang w:val="cs-CZ" w:eastAsia="cs-CZ"/>
              </w:rPr>
            </w:pPr>
            <w:r w:rsidRPr="008B53A9">
              <w:rPr>
                <w:rFonts w:cs="Calibri"/>
                <w:b/>
                <w:bCs/>
                <w:lang w:val="cs-CZ" w:eastAsia="cs-CZ"/>
              </w:rPr>
              <w:t>Četnost podávání zpráv</w:t>
            </w:r>
          </w:p>
        </w:tc>
      </w:tr>
      <w:tr w:rsidR="00D57106" w:rsidRPr="008B53A9">
        <w:trPr>
          <w:trHeight w:hRule="exact" w:val="922"/>
        </w:trPr>
        <w:tc>
          <w:tcPr>
            <w:tcW w:w="573"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2252D2" w:rsidP="00C71E6F">
            <w:pPr>
              <w:pStyle w:val="Tabulka"/>
              <w:keepNext/>
              <w:keepLines/>
              <w:rPr>
                <w:rFonts w:cs="Calibri"/>
                <w:lang w:val="cs-CZ" w:eastAsia="cs-CZ"/>
              </w:rPr>
            </w:pPr>
            <w:r w:rsidRPr="008B53A9">
              <w:rPr>
                <w:rFonts w:cs="Calibri"/>
                <w:lang w:val="cs-CZ" w:eastAsia="cs-CZ"/>
              </w:rPr>
              <w:t>32602</w:t>
            </w:r>
          </w:p>
        </w:tc>
        <w:tc>
          <w:tcPr>
            <w:tcW w:w="750"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7E7F4D" w:rsidP="00C71E6F">
            <w:pPr>
              <w:pStyle w:val="Tabulka"/>
              <w:keepNext/>
              <w:keepLines/>
              <w:jc w:val="left"/>
              <w:rPr>
                <w:rFonts w:cs="Calibri"/>
                <w:lang w:val="cs-CZ" w:eastAsia="cs-CZ"/>
              </w:rPr>
            </w:pPr>
            <w:r w:rsidRPr="008B53A9">
              <w:rPr>
                <w:rFonts w:cs="Calibri"/>
                <w:szCs w:val="20"/>
                <w:lang w:val="cs-CZ" w:eastAsia="cs-CZ"/>
              </w:rPr>
              <w:t>P</w:t>
            </w:r>
            <w:r w:rsidR="00942A5B" w:rsidRPr="008B53A9">
              <w:rPr>
                <w:rFonts w:cs="Calibri"/>
                <w:szCs w:val="20"/>
                <w:lang w:val="cs-CZ" w:eastAsia="cs-CZ"/>
              </w:rPr>
              <w:t>rimární energ</w:t>
            </w:r>
            <w:r w:rsidRPr="008B53A9">
              <w:rPr>
                <w:rFonts w:cs="Calibri"/>
                <w:szCs w:val="20"/>
                <w:lang w:val="cs-CZ" w:eastAsia="cs-CZ"/>
              </w:rPr>
              <w:t>etické zdroje</w:t>
            </w:r>
          </w:p>
        </w:tc>
        <w:tc>
          <w:tcPr>
            <w:tcW w:w="528"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3A01C6" w:rsidP="00C71E6F">
            <w:pPr>
              <w:pStyle w:val="Tabulka"/>
              <w:keepNext/>
              <w:keepLines/>
              <w:rPr>
                <w:rFonts w:cs="Calibri"/>
                <w:lang w:val="cs-CZ" w:eastAsia="cs-CZ"/>
              </w:rPr>
            </w:pPr>
            <w:r w:rsidRPr="008B53A9">
              <w:rPr>
                <w:rFonts w:cs="Calibri"/>
                <w:lang w:val="cs-CZ" w:eastAsia="cs-CZ"/>
              </w:rPr>
              <w:t>TJ</w:t>
            </w:r>
          </w:p>
        </w:tc>
        <w:tc>
          <w:tcPr>
            <w:tcW w:w="612"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FD0399" w:rsidP="00C71E6F">
            <w:pPr>
              <w:pStyle w:val="Tabulka"/>
              <w:keepNext/>
              <w:keepLines/>
              <w:rPr>
                <w:rFonts w:cs="Calibri"/>
                <w:lang w:val="cs-CZ" w:eastAsia="cs-CZ"/>
              </w:rPr>
            </w:pPr>
            <w:r w:rsidRPr="008B53A9">
              <w:rPr>
                <w:rFonts w:cs="Calibri"/>
                <w:lang w:val="cs-CZ" w:eastAsia="cs-CZ"/>
              </w:rPr>
              <w:t>Méně rozvinuté regiony</w:t>
            </w:r>
          </w:p>
        </w:tc>
        <w:tc>
          <w:tcPr>
            <w:tcW w:w="522"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1779BC" w:rsidP="00C71E6F">
            <w:pPr>
              <w:pStyle w:val="Tabulka"/>
              <w:keepNext/>
              <w:keepLines/>
              <w:rPr>
                <w:rFonts w:cs="Calibri"/>
                <w:lang w:val="cs-CZ" w:eastAsia="cs-CZ"/>
              </w:rPr>
            </w:pPr>
            <w:r w:rsidRPr="008B53A9">
              <w:rPr>
                <w:rFonts w:cs="Calibri"/>
                <w:lang w:val="cs-CZ" w:eastAsia="cs-CZ"/>
              </w:rPr>
              <w:t>380 000</w:t>
            </w:r>
          </w:p>
        </w:tc>
        <w:tc>
          <w:tcPr>
            <w:tcW w:w="468"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1779BC" w:rsidP="00C71E6F">
            <w:pPr>
              <w:pStyle w:val="Tabulka"/>
              <w:keepNext/>
              <w:keepLines/>
              <w:rPr>
                <w:rFonts w:cs="Calibri"/>
                <w:lang w:val="cs-CZ" w:eastAsia="cs-CZ"/>
              </w:rPr>
            </w:pPr>
            <w:r w:rsidRPr="008B53A9">
              <w:rPr>
                <w:rFonts w:cs="Calibri"/>
                <w:lang w:val="cs-CZ" w:eastAsia="cs-CZ"/>
              </w:rPr>
              <w:t>2012</w:t>
            </w:r>
          </w:p>
        </w:tc>
        <w:tc>
          <w:tcPr>
            <w:tcW w:w="532"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1779BC" w:rsidP="00C71E6F">
            <w:pPr>
              <w:pStyle w:val="Tabulka"/>
              <w:keepNext/>
              <w:keepLines/>
              <w:rPr>
                <w:rFonts w:cs="Calibri"/>
                <w:lang w:val="cs-CZ" w:eastAsia="cs-CZ"/>
              </w:rPr>
            </w:pPr>
            <w:r w:rsidRPr="008B53A9">
              <w:rPr>
                <w:rFonts w:cs="Calibri"/>
                <w:lang w:val="cs-CZ" w:eastAsia="cs-CZ"/>
              </w:rPr>
              <w:t>378 000</w:t>
            </w:r>
          </w:p>
        </w:tc>
        <w:tc>
          <w:tcPr>
            <w:tcW w:w="406"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AC072C" w:rsidP="00FD0399">
            <w:pPr>
              <w:pStyle w:val="Tabulka"/>
              <w:keepNext/>
              <w:keepLines/>
              <w:rPr>
                <w:rFonts w:cs="Calibri"/>
                <w:lang w:val="cs-CZ" w:eastAsia="cs-CZ"/>
              </w:rPr>
            </w:pPr>
            <w:r w:rsidRPr="008B53A9">
              <w:rPr>
                <w:rFonts w:cs="Calibri"/>
                <w:lang w:val="cs-CZ" w:eastAsia="cs-CZ"/>
              </w:rPr>
              <w:t>MPO, ČSÚ</w:t>
            </w:r>
          </w:p>
        </w:tc>
        <w:tc>
          <w:tcPr>
            <w:tcW w:w="609" w:type="pct"/>
            <w:tcBorders>
              <w:top w:val="single" w:sz="4" w:space="0" w:color="000000"/>
              <w:left w:val="single" w:sz="4" w:space="0" w:color="000000"/>
              <w:bottom w:val="single" w:sz="4" w:space="0" w:color="000000"/>
              <w:right w:val="single" w:sz="4" w:space="0" w:color="000000"/>
            </w:tcBorders>
            <w:vAlign w:val="center"/>
          </w:tcPr>
          <w:p w:rsidR="00272AE4" w:rsidRPr="008B53A9" w:rsidRDefault="003A01C6" w:rsidP="00C71E6F">
            <w:pPr>
              <w:pStyle w:val="Tabulka"/>
              <w:keepNext/>
              <w:keepLines/>
              <w:rPr>
                <w:rFonts w:cs="Calibri"/>
                <w:lang w:val="cs-CZ" w:eastAsia="cs-CZ"/>
              </w:rPr>
            </w:pPr>
            <w:r w:rsidRPr="008B53A9">
              <w:rPr>
                <w:rFonts w:cs="Calibri"/>
                <w:lang w:val="cs-CZ" w:eastAsia="cs-CZ"/>
              </w:rPr>
              <w:t>ročně</w:t>
            </w:r>
          </w:p>
        </w:tc>
      </w:tr>
    </w:tbl>
    <w:p w:rsidR="00EC2D25" w:rsidRPr="008B53A9" w:rsidRDefault="00EC2D25" w:rsidP="005F43DF">
      <w:pPr>
        <w:pStyle w:val="kapitola2A0"/>
        <w:numPr>
          <w:ilvl w:val="2"/>
          <w:numId w:val="74"/>
        </w:numPr>
      </w:pPr>
      <w:bookmarkStart w:id="76" w:name="_Toc391539643"/>
      <w:r w:rsidRPr="008B53A9">
        <w:t>Opatření, jež má být podpořeno v rámci investiční priority</w:t>
      </w:r>
      <w:bookmarkEnd w:id="76"/>
    </w:p>
    <w:p w:rsidR="00272AE4" w:rsidRPr="008B53A9" w:rsidRDefault="00D479AF" w:rsidP="005F43DF">
      <w:pPr>
        <w:pStyle w:val="Nadpis5"/>
        <w:numPr>
          <w:ilvl w:val="4"/>
          <w:numId w:val="24"/>
        </w:numPr>
      </w:pPr>
      <w:bookmarkStart w:id="77" w:name="_Toc351464395"/>
      <w:r w:rsidRPr="008B53A9">
        <w:t>Popis typů a příkladů opatření, která mají být podporována, a jejich očekávaný přínos k plnění specifických cílů, případně včetně určení hlavních cílových skupin, konkrétních cílových území a druhů příjemců</w:t>
      </w:r>
    </w:p>
    <w:bookmarkEnd w:id="77"/>
    <w:p w:rsidR="00272AE4" w:rsidRPr="008B53A9" w:rsidRDefault="00177462" w:rsidP="009912CD">
      <w:pPr>
        <w:pStyle w:val="Standardntext"/>
        <w:rPr>
          <w:b/>
        </w:rPr>
      </w:pPr>
      <w:r w:rsidRPr="008B53A9">
        <w:rPr>
          <w:b/>
        </w:rPr>
        <w:t>Indikativní výčet podporovaných aktivit:</w:t>
      </w:r>
    </w:p>
    <w:p w:rsidR="00272AE4" w:rsidRPr="008B53A9" w:rsidRDefault="001E5FB8" w:rsidP="005F43DF">
      <w:pPr>
        <w:pStyle w:val="Standardntext"/>
        <w:numPr>
          <w:ilvl w:val="0"/>
          <w:numId w:val="42"/>
        </w:numPr>
      </w:pPr>
      <w:r w:rsidRPr="008B53A9">
        <w:t>R</w:t>
      </w:r>
      <w:r w:rsidR="009A6E4E" w:rsidRPr="008B53A9">
        <w:t xml:space="preserve">ekonstrukce a rozvoj soustav zásobování teplem resp. rozvodných </w:t>
      </w:r>
      <w:r w:rsidR="00EE7AF6" w:rsidRPr="008B53A9">
        <w:t xml:space="preserve">tepelných </w:t>
      </w:r>
      <w:r w:rsidR="009A6E4E" w:rsidRPr="008B53A9">
        <w:t>zařízení</w:t>
      </w:r>
      <w:r w:rsidR="00272AE4" w:rsidRPr="008B53A9">
        <w:t>,</w:t>
      </w:r>
    </w:p>
    <w:p w:rsidR="00272AE4" w:rsidRPr="008B53A9" w:rsidRDefault="009A6E4E" w:rsidP="005F43DF">
      <w:pPr>
        <w:pStyle w:val="Standardntext"/>
        <w:numPr>
          <w:ilvl w:val="0"/>
          <w:numId w:val="42"/>
        </w:numPr>
      </w:pPr>
      <w:r w:rsidRPr="008B53A9">
        <w:t>zavádění a zvyšování účinnosti systémů kombinované výroby elektřiny a tepla</w:t>
      </w:r>
      <w:r w:rsidR="00272AE4" w:rsidRPr="008B53A9">
        <w:t>.</w:t>
      </w:r>
    </w:p>
    <w:p w:rsidR="007E355B" w:rsidRPr="008B53A9" w:rsidRDefault="003A03E8" w:rsidP="00687183">
      <w:pPr>
        <w:pStyle w:val="Standardntext"/>
      </w:pPr>
      <w:r w:rsidRPr="008B53A9">
        <w:t>Jak vyplynulo z implementace obdobných proje</w:t>
      </w:r>
      <w:r w:rsidR="00903715" w:rsidRPr="008B53A9">
        <w:t>ktů v OPPI v letech 2007 – 2013</w:t>
      </w:r>
      <w:r w:rsidR="00903715" w:rsidRPr="008B53A9">
        <w:rPr>
          <w:lang w:val="cs-CZ"/>
        </w:rPr>
        <w:t xml:space="preserve">, </w:t>
      </w:r>
      <w:r w:rsidR="007E355B" w:rsidRPr="008B53A9">
        <w:t xml:space="preserve">mohou projekty </w:t>
      </w:r>
      <w:r w:rsidRPr="008B53A9">
        <w:t xml:space="preserve">ve výše uvedených aktivitách </w:t>
      </w:r>
      <w:r w:rsidR="007E355B" w:rsidRPr="008B53A9">
        <w:t xml:space="preserve">obsahovat pouze jeden typ úsporného opatření (modernizace tepelných rozvodů) či kombinaci několika úsporných opatření. Doporučenou variantu řešení bude obsahovat </w:t>
      </w:r>
      <w:r w:rsidR="00A924D2" w:rsidRPr="008B53A9">
        <w:t>e</w:t>
      </w:r>
      <w:r w:rsidR="007E355B" w:rsidRPr="008B53A9">
        <w:t>nergetický audit, kter</w:t>
      </w:r>
      <w:r w:rsidR="00A924D2" w:rsidRPr="008B53A9">
        <w:t>ý</w:t>
      </w:r>
      <w:r w:rsidR="007E355B" w:rsidRPr="008B53A9">
        <w:t xml:space="preserve"> bude povinnou součástí žádosti o </w:t>
      </w:r>
      <w:r w:rsidR="00A924D2" w:rsidRPr="008B53A9">
        <w:t>podporu.</w:t>
      </w:r>
    </w:p>
    <w:p w:rsidR="00A924D2" w:rsidRPr="008B53A9" w:rsidRDefault="00A924D2" w:rsidP="00A924D2">
      <w:pPr>
        <w:pStyle w:val="Standardntext"/>
      </w:pPr>
      <w:r w:rsidRPr="008B53A9">
        <w:t>V rámci tohoto SC budou podporovány následující typové příklady či jejich kombinace:</w:t>
      </w:r>
    </w:p>
    <w:p w:rsidR="00A924D2" w:rsidRPr="008B53A9" w:rsidRDefault="00A924D2" w:rsidP="005F43DF">
      <w:pPr>
        <w:pStyle w:val="Standardntext"/>
        <w:numPr>
          <w:ilvl w:val="0"/>
          <w:numId w:val="42"/>
        </w:numPr>
      </w:pPr>
      <w:r w:rsidRPr="008B53A9">
        <w:t>Instalace kogeneračních jednotek v soustavách zásobování teplem, kde doposud probíhala pouze výroba tepla nebo kde je možné zvýšit množství tepla pocházejícího z vysokoúčinné kombinované výroby elektřiny a tepla, včetně rozvoje a propojování existujících soustav za účelem vyššího využití kombinované výroby elektřiny a tepla s cílem dosažení úspor primární energie.</w:t>
      </w:r>
    </w:p>
    <w:p w:rsidR="00A924D2" w:rsidRPr="008B53A9" w:rsidRDefault="00A924D2" w:rsidP="005F43DF">
      <w:pPr>
        <w:pStyle w:val="Standardntext"/>
        <w:numPr>
          <w:ilvl w:val="0"/>
          <w:numId w:val="42"/>
        </w:numPr>
      </w:pPr>
      <w:r w:rsidRPr="008B53A9">
        <w:t>Rekonstrukce stávajících zařízení s kombinovanou výrobou elektřiny a tepla s cílem dosažení úspory primární energie díky zlepšení technických parametrů zařízení.</w:t>
      </w:r>
    </w:p>
    <w:p w:rsidR="00A924D2" w:rsidRPr="008B53A9" w:rsidRDefault="00A924D2" w:rsidP="005F43DF">
      <w:pPr>
        <w:pStyle w:val="Standardntext"/>
        <w:numPr>
          <w:ilvl w:val="0"/>
          <w:numId w:val="42"/>
        </w:numPr>
      </w:pPr>
      <w:r w:rsidRPr="008B53A9">
        <w:t>Budování nových a rozvoj stávajících soustav zásobování teplem včetně předávacích stanic s cílem maximálního využití tepla z vysokoúčinné kombinované výroby elektřiny a tepla případně odpadního tepla z průmyslových procesů a dosažení úspor primární energie.</w:t>
      </w:r>
    </w:p>
    <w:p w:rsidR="00A924D2" w:rsidRPr="008B53A9" w:rsidRDefault="00A924D2" w:rsidP="005F43DF">
      <w:pPr>
        <w:pStyle w:val="Standardntext"/>
        <w:numPr>
          <w:ilvl w:val="0"/>
          <w:numId w:val="42"/>
        </w:numPr>
      </w:pPr>
      <w:r w:rsidRPr="008B53A9">
        <w:lastRenderedPageBreak/>
        <w:t>Rekonstrukce stávajících tepelných sítí včetně předávacích stanic s cílem snížení ztrát tepla a dosažení úspor primární energie. Typickým příkladem je změna teplonosného média z páry na horkou vodu, která umožňuje lepší regulovatelnost dodávky tepelné energie konečným spotřebitelům a přináší významné snížení ztrát tepla v rozvodu. Součástí rozsáhlých rekonstrukcí tepelných sítí může být také budování části nových sítí v nových trasách s cílem optimalizace topologie tepelné sítě a snížení ztrát tepla.</w:t>
      </w:r>
    </w:p>
    <w:p w:rsidR="006A5E3C" w:rsidRPr="008B53A9" w:rsidRDefault="006A5E3C" w:rsidP="00A924D2">
      <w:pPr>
        <w:pStyle w:val="Standardntext"/>
      </w:pPr>
      <w:r w:rsidRPr="008B53A9">
        <w:t xml:space="preserve">Vyšší prioritu bude mít modernizace soustav zásobování teplem se zdroji do 20 MW, současně však </w:t>
      </w:r>
      <w:r w:rsidR="00385E18" w:rsidRPr="008B53A9">
        <w:t>budou podporovány</w:t>
      </w:r>
      <w:r w:rsidRPr="008B53A9">
        <w:t xml:space="preserve"> i soustavy zásobování teplem, do nichž je dodáváno teplo ze zdrojů s vyšším výkonem než 20 MW.</w:t>
      </w:r>
    </w:p>
    <w:p w:rsidR="00A924D2" w:rsidRPr="008B53A9" w:rsidRDefault="00A924D2" w:rsidP="00A924D2">
      <w:pPr>
        <w:pStyle w:val="Standardntext"/>
      </w:pPr>
      <w:r w:rsidRPr="008B53A9">
        <w:t>Způsobilými výdaji budou výdaje na stavbu a technologická zařízení včetně měření a regulace v soustavách zásobování teplem nezbytná pro dosažení úspor primární energie</w:t>
      </w:r>
      <w:r w:rsidR="005F7F3F" w:rsidRPr="008B53A9">
        <w:t>,</w:t>
      </w:r>
      <w:r w:rsidRPr="008B53A9">
        <w:t xml:space="preserve"> včetně projektové dokumentace a energetického auditu.</w:t>
      </w:r>
    </w:p>
    <w:p w:rsidR="00471031" w:rsidRPr="008B53A9" w:rsidRDefault="00471031" w:rsidP="00471031">
      <w:pPr>
        <w:pStyle w:val="Standardntext"/>
        <w:rPr>
          <w:bCs/>
        </w:rPr>
      </w:pPr>
      <w:r w:rsidRPr="008B53A9">
        <w:t>Výstupy výše uvedených aktivit přispějí k naplňování hlavního výsledku tohoto specifického cíle, kterým je zvýšení úspory primární energie.</w:t>
      </w:r>
    </w:p>
    <w:p w:rsidR="00272AE4" w:rsidRPr="008B53A9" w:rsidRDefault="00272AE4" w:rsidP="009A6E4E">
      <w:pPr>
        <w:pStyle w:val="Standardntext"/>
      </w:pPr>
      <w:r w:rsidRPr="008B53A9">
        <w:rPr>
          <w:b/>
          <w:bCs/>
        </w:rPr>
        <w:t xml:space="preserve">Hlavní cílová skupina: </w:t>
      </w:r>
      <w:r w:rsidR="00FA6AB3" w:rsidRPr="008B53A9">
        <w:rPr>
          <w:bCs/>
        </w:rPr>
        <w:t>Podnikatelské subjekty (</w:t>
      </w:r>
      <w:r w:rsidR="009A6E4E" w:rsidRPr="008B53A9">
        <w:t>velké podniky</w:t>
      </w:r>
      <w:r w:rsidR="00FA6AB3" w:rsidRPr="008B53A9">
        <w:t xml:space="preserve">, </w:t>
      </w:r>
      <w:r w:rsidR="009A6E4E" w:rsidRPr="008B53A9">
        <w:t>ale i střední</w:t>
      </w:r>
      <w:r w:rsidR="003D0A72" w:rsidRPr="008B53A9">
        <w:t xml:space="preserve"> a</w:t>
      </w:r>
      <w:r w:rsidR="009A6E4E" w:rsidRPr="008B53A9">
        <w:t xml:space="preserve"> případně malé</w:t>
      </w:r>
      <w:r w:rsidR="00FA6AB3" w:rsidRPr="008B53A9">
        <w:t xml:space="preserve"> podniky) </w:t>
      </w:r>
      <w:r w:rsidR="009A6E4E" w:rsidRPr="008B53A9">
        <w:t xml:space="preserve">které se soustředí na výrobu a dodávku tepla do systému </w:t>
      </w:r>
      <w:r w:rsidR="003D0A72" w:rsidRPr="008B53A9">
        <w:t xml:space="preserve">zásobování teplem z </w:t>
      </w:r>
      <w:r w:rsidR="00EE7AF6" w:rsidRPr="008B53A9">
        <w:t>kombinované výroby elektřiny a tepla</w:t>
      </w:r>
      <w:r w:rsidR="003D0A72" w:rsidRPr="008B53A9">
        <w:t>.</w:t>
      </w:r>
    </w:p>
    <w:p w:rsidR="00272AE4" w:rsidRPr="008B53A9" w:rsidRDefault="00272AE4" w:rsidP="009A6E4E">
      <w:pPr>
        <w:pStyle w:val="Standardntext"/>
      </w:pPr>
      <w:r w:rsidRPr="008B53A9">
        <w:rPr>
          <w:b/>
          <w:bCs/>
        </w:rPr>
        <w:t xml:space="preserve">Cílové území: </w:t>
      </w:r>
      <w:r w:rsidR="001E0AA2" w:rsidRPr="008B53A9">
        <w:t>Území České republiky, mimo území hl. m. Prahy.</w:t>
      </w:r>
      <w:r w:rsidR="00015039" w:rsidRPr="008B53A9">
        <w:t xml:space="preserve"> Z hlediska územní dimenze </w:t>
      </w:r>
      <w:r w:rsidR="00A46CD6" w:rsidRPr="008B53A9">
        <w:t>bude tento specifický cíl zaměřen na urbánní území, kde se předpokládá zapojení do integrovaného nástroje ITI.</w:t>
      </w:r>
      <w:r w:rsidR="00015039" w:rsidRPr="008B53A9">
        <w:t>.</w:t>
      </w:r>
    </w:p>
    <w:p w:rsidR="00951C8A" w:rsidRPr="008B53A9" w:rsidRDefault="00272AE4" w:rsidP="00951C8A">
      <w:pPr>
        <w:pStyle w:val="Standardntext"/>
      </w:pPr>
      <w:r w:rsidRPr="008B53A9">
        <w:rPr>
          <w:b/>
          <w:bCs/>
        </w:rPr>
        <w:t xml:space="preserve">Typy příjemců: </w:t>
      </w:r>
      <w:r w:rsidRPr="008B53A9">
        <w:t>Podnikatelské subjekty (malé, střední a velké podniky).</w:t>
      </w:r>
      <w:r w:rsidR="00951C8A" w:rsidRPr="008B53A9">
        <w:t xml:space="preserve"> Z hlediska podpory velkých podniků (dle čl. 3 odst. 1 písm. b) nařízení o EFRR) je třeba upozornit, že teplárenské společnosti, ve kterých má obec nebo město vlastnický podíl 25 a více procent s výjimkou obcí do 5000 obyvatel a s rozpočtem nižším než 10 milionů EUR nejsou podle definice MSP uvedené v příloze č. II návrhu Nařízení Komise</w:t>
      </w:r>
      <w:r w:rsidR="005F7F3F" w:rsidRPr="008B53A9">
        <w:t xml:space="preserve"> o blokových výjimkách</w:t>
      </w:r>
      <w:r w:rsidR="00951C8A" w:rsidRPr="008B53A9">
        <w:t>, kterým se v souladu s články 107 a 108 Smlouvy prohlašují určité kategorie podpory za slučitelné s vnitřním trhem, považovány za MSP i v případě, že sami o sobě podmínky MSP splňují. Významná část teplárenských společností je v ČR ve vlastnictví municipalit a tyto společnosti by byly s ohledem na definici MSP zcela vyloučeny z možnosti čerpání podpory v oblasti specifického cíle 3.5.</w:t>
      </w:r>
    </w:p>
    <w:p w:rsidR="00951C8A" w:rsidRPr="008B53A9" w:rsidRDefault="00951C8A" w:rsidP="00951C8A">
      <w:pPr>
        <w:pStyle w:val="Standardntext"/>
      </w:pPr>
      <w:r w:rsidRPr="008B53A9">
        <w:t>Podíl podniků, které nesplňují definici MSP na celkových agregovaných údajích sektoru, lze velmi konzervativně odhadnout následujícím způsobem. Podíl velkých podniků na délce rozvodů tepla přesahuje 50 %, na celkové dodávce tepla do soustav dálkového vytápění přesahuje 70 % a na výrobě elektřiny z kombinované výroby elektřiny a tepla přesahuje 75 %. Mezi velké podniky byly zařazeny pouze společnosti, u kterých byl jejich status ověřen. Reálný podíl společností, které nesplní definici MSP, bude ve skutečnosti významně vyšší. I uvedená čísla však přesvědčivě dokumentují ztrátu absorpční kapacity specifického cíle 3.5, ke které by došlo v případě vyloučení velkých podniků z možnosti čerpání podpory v této oblasti.</w:t>
      </w:r>
    </w:p>
    <w:p w:rsidR="00272AE4" w:rsidRPr="008B53A9" w:rsidRDefault="00951C8A" w:rsidP="00951C8A">
      <w:pPr>
        <w:pStyle w:val="Standardntext"/>
      </w:pPr>
      <w:r w:rsidRPr="008B53A9">
        <w:t>V neposlední řadě je potřeba upozornit, že podnikání společností provozujících soustavy dálkového vytápění je pevně vázáno na příslušnou soustavu a má tudíž výrazně lokální charakter. Z tohoto důvodu si jednotlivé společnosti a tedy ani MSP a velké podniky v tomto odvětví v zásadě vzájemně nekonkurují. Podpora velkých podniků v oblasti specifického cíle 3.5 tedy nemůže mít negativní dopady na rozvoj MSP.</w:t>
      </w:r>
    </w:p>
    <w:p w:rsidR="00272AE4" w:rsidRPr="008B53A9" w:rsidRDefault="00BA6461" w:rsidP="005F43DF">
      <w:pPr>
        <w:pStyle w:val="Nadpis5"/>
        <w:numPr>
          <w:ilvl w:val="4"/>
          <w:numId w:val="24"/>
        </w:numPr>
      </w:pPr>
      <w:r w:rsidRPr="008B53A9">
        <w:lastRenderedPageBreak/>
        <w:t>Hlavní zásady pro výběr operací</w:t>
      </w:r>
    </w:p>
    <w:p w:rsidR="0042487A" w:rsidRPr="008B53A9" w:rsidRDefault="000F423E" w:rsidP="0042487A">
      <w:pPr>
        <w:pStyle w:val="Standardntext"/>
      </w:pPr>
      <w:r w:rsidRPr="008B53A9">
        <w:t xml:space="preserve">V rámci této investiční priority budou vyhlašovány výzvy na předkládání individuálních projektů. </w:t>
      </w:r>
      <w:r w:rsidR="00855A0B" w:rsidRPr="008B53A9">
        <w:t>Předložené projekty budou  nejdříve posuzovány ze strany řídícího orgánu / zprostředkujícího subjektu z pohledu jejich souladu s podmínkami daného programu podpory.</w:t>
      </w:r>
      <w:r w:rsidRPr="008B53A9">
        <w:t xml:space="preserve"> Projektové žádosti, které úspěšně projdou tímto procesem, bu</w:t>
      </w:r>
      <w:r w:rsidR="00951C8A" w:rsidRPr="008B53A9">
        <w:t xml:space="preserve">dou následně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w:t>
      </w:r>
      <w:r w:rsidR="006B1736" w:rsidRPr="008B53A9">
        <w:t>kritérií odpovídajících charakteru</w:t>
      </w:r>
      <w:r w:rsidRPr="008B53A9">
        <w:t xml:space="preserve"> jednotlivých specifických cílů. </w:t>
      </w:r>
      <w:r w:rsidR="00952A8B" w:rsidRPr="008B53A9">
        <w:t xml:space="preserve">Ve finální fázi hodnocení </w:t>
      </w:r>
      <w:r w:rsidRPr="008B53A9">
        <w:t xml:space="preserve">budou doporučené projekty posuzovány hodnotitelskou komisí, která bude tvořena zástupci ŘO a dalšími relevantními partnery </w:t>
      </w:r>
      <w:r w:rsidR="00963119" w:rsidRPr="008B53A9">
        <w:t xml:space="preserve">a experty </w:t>
      </w:r>
      <w:r w:rsidRPr="008B53A9">
        <w:t xml:space="preserve">na </w:t>
      </w:r>
      <w:r w:rsidR="00F77E1E" w:rsidRPr="008B53A9">
        <w:t>danou problematiku</w:t>
      </w:r>
      <w:r w:rsidR="00C81F46" w:rsidRPr="008B53A9">
        <w:t xml:space="preserve">, popř. </w:t>
      </w:r>
      <w:r w:rsidR="00F77E1E" w:rsidRPr="008B53A9">
        <w:t>regionálními partnery</w:t>
      </w:r>
      <w:r w:rsidR="00C81F46" w:rsidRPr="008B53A9">
        <w:t xml:space="preserve">. </w:t>
      </w:r>
      <w:r w:rsidR="0020084D" w:rsidRPr="008B53A9">
        <w:t xml:space="preserve">Výběr </w:t>
      </w:r>
      <w:r w:rsidR="002730C3" w:rsidRPr="008B53A9">
        <w:t>odborných hodnotitelů</w:t>
      </w:r>
      <w:r w:rsidR="0020084D"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20084D" w:rsidRPr="008B53A9">
        <w:rPr>
          <w:rStyle w:val="Znakapoznpodarou"/>
        </w:rPr>
        <w:footnoteReference w:id="62"/>
      </w:r>
      <w:r w:rsidR="0020084D" w:rsidRPr="008B53A9">
        <w:t xml:space="preserve"> Hodnotitelé budou průběžně školeni tak, aby byl zajištěn jejich rovný přístup ke všem projektům. </w:t>
      </w:r>
      <w:r w:rsidR="0042487A" w:rsidRPr="008B53A9">
        <w:t>Tento systém bude nastaven maximálně transparentně, s cílem zajistit kvalitní a objektivní hodnocení projektů, a realizací schválených projektů dosažení stanovených cílů programu.</w:t>
      </w:r>
    </w:p>
    <w:p w:rsidR="00C0640C" w:rsidRPr="008B53A9" w:rsidRDefault="00C0640C" w:rsidP="00C0640C">
      <w:pPr>
        <w:pStyle w:val="Standardntext"/>
      </w:pPr>
      <w:r w:rsidRPr="008B53A9">
        <w:t>V rámci výběru a hodnocení projektů budou posuzována především následující kritéria:</w:t>
      </w:r>
    </w:p>
    <w:p w:rsidR="00C0640C" w:rsidRPr="008B53A9" w:rsidRDefault="00C0640C" w:rsidP="005F43DF">
      <w:pPr>
        <w:pStyle w:val="Standardntext"/>
        <w:numPr>
          <w:ilvl w:val="0"/>
          <w:numId w:val="44"/>
        </w:numPr>
      </w:pPr>
      <w:r w:rsidRPr="008B53A9">
        <w:t xml:space="preserve">Kvalita a potřebnost projektu s ohledem na </w:t>
      </w:r>
      <w:r w:rsidR="00945CA9" w:rsidRPr="008B53A9">
        <w:t>jeho ekologické přínosy a ekonomickou efektivnost; zejména bude kladen důraz na poměr investičních nákladů k úspoře energii a redukci emisí znečišťujících látek.</w:t>
      </w:r>
    </w:p>
    <w:p w:rsidR="006A5E3C" w:rsidRPr="008B53A9" w:rsidRDefault="009D1E8F" w:rsidP="005F43DF">
      <w:pPr>
        <w:pStyle w:val="Standardntext"/>
        <w:numPr>
          <w:ilvl w:val="0"/>
          <w:numId w:val="44"/>
        </w:numPr>
      </w:pPr>
      <w:r w:rsidRPr="008B53A9">
        <w:t>Projekt nesmí být zaměřen na podporu výstavby nových zdrojů na uhlí, které jsou provozovány v režimu kombinované výroby elektřiny a tepla</w:t>
      </w:r>
      <w:r w:rsidR="006A5E3C" w:rsidRPr="008B53A9">
        <w:t>.</w:t>
      </w:r>
      <w:r w:rsidR="00453052" w:rsidRPr="008B53A9">
        <w:t xml:space="preserve"> Také nesmí být podpořen projekt rekonstrukce/modernizace zařízení (zdroje) nad 20MW.</w:t>
      </w:r>
    </w:p>
    <w:p w:rsidR="00453052" w:rsidRPr="008B53A9" w:rsidRDefault="00453052" w:rsidP="005F43DF">
      <w:pPr>
        <w:pStyle w:val="Standardntext"/>
        <w:numPr>
          <w:ilvl w:val="0"/>
          <w:numId w:val="44"/>
        </w:numPr>
      </w:pPr>
      <w:r w:rsidRPr="008B53A9">
        <w:t>Základním předpokladem každého projektu by měla být zajištěná poptávka po užitečném teple. Prioritně se bude podpora zaměřovat na snížení ztrát tepelných rozvodů a v případě, kde nebude zajištěna dodávka užitečného tepla, se přistoupí k zavádění kogenerační výroby.</w:t>
      </w:r>
    </w:p>
    <w:p w:rsidR="004A515E" w:rsidRPr="008B53A9" w:rsidRDefault="004A515E" w:rsidP="004A515E">
      <w:pPr>
        <w:pStyle w:val="Standardntext"/>
        <w:numPr>
          <w:ilvl w:val="0"/>
          <w:numId w:val="44"/>
        </w:numPr>
      </w:pPr>
      <w:r w:rsidRPr="008B53A9">
        <w:t>Projekty zapojující OZE do soustavy centrálního zásobování teplem mohou být bonifikovány</w:t>
      </w:r>
      <w:r w:rsidRPr="008B53A9">
        <w:rPr>
          <w:lang w:val="cs-CZ"/>
        </w:rPr>
        <w:t>.</w:t>
      </w:r>
    </w:p>
    <w:p w:rsidR="00C0640C" w:rsidRPr="008B53A9" w:rsidRDefault="001963EC" w:rsidP="005F43DF">
      <w:pPr>
        <w:pStyle w:val="Standardntext"/>
        <w:numPr>
          <w:ilvl w:val="0"/>
          <w:numId w:val="44"/>
        </w:numPr>
      </w:pPr>
      <w:r w:rsidRPr="008B53A9">
        <w:t xml:space="preserve">Soulad projektu s  územní dimenzí a uplatněním integrovaných </w:t>
      </w:r>
      <w:r w:rsidR="009D1769" w:rsidRPr="008B53A9">
        <w:t>nástrojů</w:t>
      </w:r>
      <w:r w:rsidRPr="008B53A9">
        <w:t xml:space="preserve"> (ITI) v rámci této investiční priority</w:t>
      </w:r>
      <w:r w:rsidR="00C63CF5" w:rsidRPr="008B53A9">
        <w:t xml:space="preserve"> (viz </w:t>
      </w:r>
      <w:r w:rsidR="00C63CF5" w:rsidRPr="008B53A9">
        <w:rPr>
          <w:i/>
        </w:rPr>
        <w:t>Cílové území</w:t>
      </w:r>
      <w:r w:rsidR="00C63CF5" w:rsidRPr="008B53A9">
        <w:t xml:space="preserve"> v oddíle 2.A.6.1 a dále oddíl 4)</w:t>
      </w:r>
      <w:r w:rsidRPr="008B53A9">
        <w:t>.</w:t>
      </w:r>
    </w:p>
    <w:p w:rsidR="00C0640C" w:rsidRPr="008B53A9" w:rsidRDefault="00C0640C"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C0640C" w:rsidRPr="008B53A9" w:rsidRDefault="00C0640C" w:rsidP="005F43DF">
      <w:pPr>
        <w:pStyle w:val="Standardntext"/>
        <w:numPr>
          <w:ilvl w:val="0"/>
          <w:numId w:val="44"/>
        </w:numPr>
      </w:pPr>
      <w:r w:rsidRPr="008B53A9">
        <w:t xml:space="preserve">Vliv projektu na oblast klimatu a ovzduší. Nad rámec výše uvedených indikátorů specifického cíle bude na projektové úrovni interně monitorován vliv daného projektu </w:t>
      </w:r>
      <w:r w:rsidRPr="008B53A9">
        <w:lastRenderedPageBreak/>
        <w:t>na oblast klimatu prostřednictvím indikátoru „Snížení emisí CO2“ a dále na vliv na oblast ovzduší prostřednictvím indikátoru „</w:t>
      </w:r>
      <w:r w:rsidR="00FB1FDE" w:rsidRPr="008B53A9">
        <w:t>Snížení emisí primárních částic a prekurzorů sekundárních částic</w:t>
      </w:r>
      <w:r w:rsidRPr="008B53A9">
        <w:t xml:space="preserve">“. Tyto </w:t>
      </w:r>
      <w:r w:rsidR="00032047" w:rsidRPr="008B53A9">
        <w:t xml:space="preserve">environmentální </w:t>
      </w:r>
      <w:r w:rsidRPr="008B53A9">
        <w:t>indikátory budou dále agregovány pro potřeby Dohody o partnerství.</w:t>
      </w:r>
    </w:p>
    <w:p w:rsidR="00867AA2" w:rsidRPr="008B53A9" w:rsidRDefault="00867AA2" w:rsidP="005F43DF">
      <w:pPr>
        <w:pStyle w:val="Standardntext"/>
        <w:numPr>
          <w:ilvl w:val="0"/>
          <w:numId w:val="44"/>
        </w:numPr>
      </w:pPr>
      <w:r w:rsidRPr="008B53A9">
        <w:t xml:space="preserve">Projekt musí splňovat požadavky </w:t>
      </w:r>
      <w:r w:rsidR="00A808D6" w:rsidRPr="008B53A9">
        <w:t>na úrovni kladené spodní polovinou intervalu nejlepších dostupných technik</w:t>
      </w:r>
      <w:r w:rsidR="00A808D6" w:rsidRPr="008B53A9" w:rsidDel="00A808D6">
        <w:t xml:space="preserve"> </w:t>
      </w:r>
      <w:r w:rsidRPr="008B53A9">
        <w:rPr>
          <w:rStyle w:val="Znakapoznpodarou"/>
        </w:rPr>
        <w:footnoteReference w:id="63"/>
      </w:r>
      <w:r w:rsidRPr="008B53A9">
        <w:t>.</w:t>
      </w:r>
    </w:p>
    <w:p w:rsidR="00C0640C" w:rsidRPr="008B53A9" w:rsidRDefault="00C0640C" w:rsidP="005F43DF">
      <w:pPr>
        <w:pStyle w:val="Standardntext"/>
        <w:numPr>
          <w:ilvl w:val="0"/>
          <w:numId w:val="44"/>
        </w:numPr>
      </w:pPr>
      <w:r w:rsidRPr="008B53A9">
        <w:t xml:space="preserve">Součástí projektu musí být energetický audit. </w:t>
      </w:r>
    </w:p>
    <w:p w:rsidR="00C0640C" w:rsidRPr="008B53A9" w:rsidRDefault="00C0640C" w:rsidP="005F43DF">
      <w:pPr>
        <w:pStyle w:val="Standardntext"/>
        <w:numPr>
          <w:ilvl w:val="0"/>
          <w:numId w:val="44"/>
        </w:numPr>
      </w:pPr>
      <w:r w:rsidRPr="008B53A9">
        <w:t>Žadatel nesmí mít právní formu akciové společnosti s listinnými akciemi na majitele.</w:t>
      </w:r>
    </w:p>
    <w:p w:rsidR="00C0640C" w:rsidRPr="008B53A9" w:rsidRDefault="00C0640C" w:rsidP="005F43DF">
      <w:pPr>
        <w:pStyle w:val="Standardntext"/>
        <w:numPr>
          <w:ilvl w:val="0"/>
          <w:numId w:val="44"/>
        </w:numPr>
      </w:pPr>
      <w:r w:rsidRPr="008B53A9">
        <w:t>V případě podpory formou finančních nástrojů bude výběr operací proveden podle zásad uvedených v bodě 2.A.6.3.</w:t>
      </w:r>
    </w:p>
    <w:p w:rsidR="00272AE4" w:rsidRPr="008B53A9" w:rsidRDefault="00BA6461" w:rsidP="005F43DF">
      <w:pPr>
        <w:pStyle w:val="Nadpis5"/>
        <w:numPr>
          <w:ilvl w:val="4"/>
          <w:numId w:val="24"/>
        </w:numPr>
        <w:rPr>
          <w:rFonts w:cs="Calibri"/>
        </w:rPr>
      </w:pPr>
      <w:r w:rsidRPr="008B53A9">
        <w:t>Plánované využití finančních nástrojů (použije-li se)</w:t>
      </w:r>
    </w:p>
    <w:p w:rsidR="00C45CD5" w:rsidRPr="008B53A9" w:rsidRDefault="000373F5" w:rsidP="000373F5">
      <w:pPr>
        <w:pStyle w:val="Standardntext"/>
      </w:pPr>
      <w:r w:rsidRPr="008B53A9">
        <w:t>Při provádění této investiční priority budou koneční příjemci podpořeni finančními nástroji ve formě poskytování úvěrů kombinovaných s granty</w:t>
      </w:r>
      <w:r w:rsidR="008C5E50" w:rsidRPr="008B53A9">
        <w:t>, zejména na technickou podporu přípravy investice konečného příjemce v souladu s čl. 5 nařízení Komise v přenesené pravomoci (EU) č. 480 2014 ze dne 3. března 2014 a/</w:t>
      </w:r>
      <w:r w:rsidRPr="008B53A9">
        <w:t xml:space="preserve">nebo subvencemi úrokových sazeb podle čl. 37 odst. 7 </w:t>
      </w:r>
      <w:r w:rsidR="0044254C" w:rsidRPr="008B53A9">
        <w:t>o</w:t>
      </w:r>
      <w:r w:rsidRPr="008B53A9">
        <w:t xml:space="preserve">becného nařízení. </w:t>
      </w:r>
      <w:r w:rsidR="008C5E50" w:rsidRPr="008B53A9">
        <w:t xml:space="preserve">Grant na technickou podporu konečného příjemce bude financován ze zdrojů specifického cíle 3.5. </w:t>
      </w:r>
      <w:r w:rsidRPr="008B53A9">
        <w:t>V souladu s čl. 38 odst. 1 písm. b)</w:t>
      </w:r>
      <w:r w:rsidR="004B4505" w:rsidRPr="008B53A9">
        <w:t xml:space="preserve"> obecného nařízení</w:t>
      </w:r>
      <w:r w:rsidRPr="008B53A9">
        <w:t xml:space="preserve"> půjde o finanční nástroje zřízené na celostátní úrovni. Pro řízení finančních nástrojů ŘO OP PIK využije možnosti investovat do kapitálu stávajících nebo nově vytvořených právnických osob, které se ujmou prováděcích úkolů podle čl. 38 odst. 4 písm. a) nebo prováděcí úkoly svěří podle čl. 38 odst. 4 písm. b)</w:t>
      </w:r>
      <w:r w:rsidR="004B4505" w:rsidRPr="008B53A9">
        <w:t xml:space="preserve"> obecného nařízení</w:t>
      </w:r>
      <w:r w:rsidRPr="008B53A9">
        <w:t xml:space="preserve">. Implementace finančních nástrojů zahrne fond fondů </w:t>
      </w:r>
      <w:r w:rsidR="008C5E50" w:rsidRPr="008B53A9">
        <w:t>nebo samostatné finanční nástroje. V případě, že bude využita struktura fondu fondů, budou</w:t>
      </w:r>
      <w:r w:rsidRPr="008B53A9">
        <w:t xml:space="preserve"> finanční </w:t>
      </w:r>
      <w:r w:rsidR="008C5E50" w:rsidRPr="008B53A9">
        <w:t>zprostředkovatelé</w:t>
      </w:r>
      <w:r w:rsidRPr="008B53A9">
        <w:t xml:space="preserve"> na vla</w:t>
      </w:r>
      <w:r w:rsidR="001F0603" w:rsidRPr="008B53A9">
        <w:t>stní odpovědnost příjemce, manaž</w:t>
      </w:r>
      <w:r w:rsidRPr="008B53A9">
        <w:t>era fondu fondů, splňovat kritéria stanovená v čl. 140 odst. 1, 2 a 4 Finančního nařízení</w:t>
      </w:r>
      <w:r w:rsidR="00DC5013" w:rsidRPr="008B53A9">
        <w:rPr>
          <w:rStyle w:val="Znakapoznpodarou"/>
        </w:rPr>
        <w:footnoteReference w:id="64"/>
      </w:r>
      <w:r w:rsidRPr="008B53A9">
        <w:t xml:space="preserve">. Detaily a případné odchylky stanoví předběžné posouzení finančních nástrojů OP PIK dle čl. 37 odst. 2 </w:t>
      </w:r>
      <w:r w:rsidR="00814828" w:rsidRPr="008B53A9">
        <w:t>o</w:t>
      </w:r>
      <w:r w:rsidRPr="008B53A9">
        <w:t xml:space="preserve">becného nařízení, případně jeho revize podle čl. 37 odst. 2 písm. g) </w:t>
      </w:r>
      <w:r w:rsidR="00DC5013" w:rsidRPr="008B53A9">
        <w:t>o</w:t>
      </w:r>
      <w:r w:rsidRPr="008B53A9">
        <w:t>becného nařízení. Předběžné posouzení finančních nástrojů provede ŘO OP PIK a musí být dokončeno před datem, kdy řídicí orgán rozhodne, že fond fondů/finanční nástroj obdrží příspěvek z programu.</w:t>
      </w:r>
    </w:p>
    <w:p w:rsidR="00272AE4" w:rsidRPr="008B53A9" w:rsidRDefault="00BA6461" w:rsidP="005F43DF">
      <w:pPr>
        <w:pStyle w:val="Nadpis5"/>
        <w:numPr>
          <w:ilvl w:val="4"/>
          <w:numId w:val="24"/>
        </w:numPr>
      </w:pPr>
      <w:r w:rsidRPr="008B53A9">
        <w:t>Plánované využití velkých projektů (použije-li se)</w:t>
      </w:r>
    </w:p>
    <w:p w:rsidR="002A4D1D" w:rsidRPr="008B53A9" w:rsidRDefault="002A4D1D" w:rsidP="002A4D1D">
      <w:pPr>
        <w:pStyle w:val="Standardntext"/>
      </w:pPr>
      <w:r w:rsidRPr="008B53A9">
        <w:t xml:space="preserve">Velké projekty ve smyslu čl. </w:t>
      </w:r>
      <w:r w:rsidR="008F52F8" w:rsidRPr="008B53A9">
        <w:t>10</w:t>
      </w:r>
      <w:r w:rsidRPr="008B53A9">
        <w:t>0 obecného nařízení nejsou plánovány.</w:t>
      </w:r>
    </w:p>
    <w:p w:rsidR="0058402E" w:rsidRPr="008B53A9" w:rsidRDefault="00BA6461" w:rsidP="005F43DF">
      <w:pPr>
        <w:pStyle w:val="Nadpis5"/>
        <w:numPr>
          <w:ilvl w:val="4"/>
          <w:numId w:val="24"/>
        </w:numPr>
      </w:pPr>
      <w:r w:rsidRPr="008B53A9">
        <w:lastRenderedPageBreak/>
        <w:t>Ukazatele výstupů podle investiční priority a případně podle kategorie regionů</w:t>
      </w:r>
    </w:p>
    <w:p w:rsidR="0058402E" w:rsidRPr="008B53A9" w:rsidRDefault="0058402E" w:rsidP="00EC2D25">
      <w:pPr>
        <w:pStyle w:val="Titulek"/>
        <w:keepNext/>
        <w:keepLines/>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1154"/>
        <w:gridCol w:w="1991"/>
        <w:gridCol w:w="1055"/>
        <w:gridCol w:w="665"/>
        <w:gridCol w:w="1231"/>
        <w:gridCol w:w="1317"/>
        <w:gridCol w:w="713"/>
        <w:gridCol w:w="1200"/>
      </w:tblGrid>
      <w:tr w:rsidR="001B2E5C" w:rsidRPr="008B53A9">
        <w:trPr>
          <w:trHeight w:hRule="exact" w:val="1044"/>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Kategorie regionu</w:t>
            </w:r>
          </w:p>
        </w:tc>
        <w:tc>
          <w:tcPr>
            <w:tcW w:w="131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956C4F">
            <w:pPr>
              <w:pStyle w:val="Tabulka"/>
              <w:keepNext/>
              <w:keepLines/>
              <w:rPr>
                <w:rFonts w:cs="Calibri"/>
                <w:b/>
                <w:lang w:val="cs-CZ" w:eastAsia="cs-CZ"/>
              </w:rPr>
            </w:pPr>
            <w:r w:rsidRPr="008B53A9">
              <w:rPr>
                <w:rFonts w:cs="Calibri"/>
                <w:b/>
                <w:lang w:val="cs-CZ" w:eastAsia="cs-CZ"/>
              </w:rPr>
              <w:t>Cílová hodnota</w:t>
            </w:r>
            <w:r w:rsidR="00956C4F" w:rsidRPr="008B53A9">
              <w:rPr>
                <w:rFonts w:cs="Calibri"/>
                <w:b/>
                <w:lang w:val="cs-CZ" w:eastAsia="cs-CZ"/>
              </w:rPr>
              <w:t xml:space="preserve"> </w:t>
            </w:r>
            <w:r w:rsidRPr="008B53A9">
              <w:rPr>
                <w:rFonts w:cs="Calibri"/>
                <w:b/>
                <w:lang w:val="cs-CZ" w:eastAsia="cs-CZ"/>
              </w:rPr>
              <w:t>(2023)</w:t>
            </w:r>
          </w:p>
        </w:tc>
        <w:tc>
          <w:tcPr>
            <w:tcW w:w="71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EC2D25">
            <w:pPr>
              <w:pStyle w:val="Tabulka"/>
              <w:keepNext/>
              <w:keepLines/>
              <w:rPr>
                <w:rFonts w:cs="Calibri"/>
                <w:b/>
                <w:lang w:val="cs-CZ" w:eastAsia="cs-CZ"/>
              </w:rPr>
            </w:pPr>
            <w:r w:rsidRPr="008B53A9">
              <w:rPr>
                <w:rFonts w:cs="Calibri"/>
                <w:b/>
                <w:lang w:val="cs-CZ" w:eastAsia="cs-CZ"/>
              </w:rPr>
              <w:t>Četnost podávání zpráv</w:t>
            </w:r>
          </w:p>
        </w:tc>
      </w:tr>
      <w:tr w:rsidR="00FD039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EC113F" w:rsidP="00EC2D25">
            <w:pPr>
              <w:pStyle w:val="Tabulka"/>
              <w:keepNext/>
              <w:keepLines/>
              <w:rPr>
                <w:rFonts w:cs="Calibri"/>
                <w:lang w:val="cs-CZ" w:eastAsia="cs-CZ"/>
              </w:rPr>
            </w:pPr>
            <w:r w:rsidRPr="008B53A9">
              <w:rPr>
                <w:rFonts w:cs="Calibri"/>
                <w:lang w:val="cs-CZ" w:eastAsia="cs-CZ"/>
              </w:rPr>
              <w:t>C</w:t>
            </w:r>
            <w:r w:rsidR="00D803FD" w:rsidRPr="008B53A9">
              <w:rPr>
                <w:rFonts w:cs="Calibri"/>
                <w:lang w:val="cs-CZ" w:eastAsia="cs-CZ"/>
              </w:rPr>
              <w:t>/EFRR/0</w:t>
            </w:r>
            <w:r w:rsidR="00FD0399" w:rsidRPr="008B53A9">
              <w:rPr>
                <w:rFonts w:cs="Calibri"/>
                <w:lang w:val="cs-CZ" w:eastAsia="cs-CZ"/>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7D6298" w:rsidP="00EC2D25">
            <w:pPr>
              <w:pStyle w:val="Tabulka"/>
              <w:keepNext/>
              <w:keepLines/>
              <w:jc w:val="left"/>
              <w:rPr>
                <w:rFonts w:cs="Calibri"/>
                <w:lang w:val="cs-CZ" w:eastAsia="cs-CZ"/>
              </w:rPr>
            </w:pPr>
            <w:r w:rsidRPr="008B53A9">
              <w:rPr>
                <w:rFonts w:cs="Calibri"/>
                <w:lang w:val="cs-CZ" w:eastAsia="cs-CZ"/>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FD0399" w:rsidP="00EC2D25">
            <w:pPr>
              <w:pStyle w:val="Tabulka"/>
              <w:keepNext/>
              <w:keepLines/>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2B3F69" w:rsidP="00EC2D25">
            <w:pPr>
              <w:pStyle w:val="Tabulka"/>
              <w:keepNext/>
              <w:keepLines/>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FD0399" w:rsidP="00EC2D25">
            <w:pPr>
              <w:pStyle w:val="Tabulka"/>
              <w:keepNext/>
              <w:keepLines/>
              <w:rPr>
                <w:rFonts w:cs="Calibri"/>
                <w:lang w:val="cs-CZ" w:eastAsia="cs-CZ"/>
              </w:rPr>
            </w:pPr>
            <w:r w:rsidRPr="008B53A9">
              <w:rPr>
                <w:rFonts w:cs="Calibri"/>
                <w:lang w:val="cs-CZ" w:eastAsia="cs-CZ"/>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rsidR="00FD0399" w:rsidRPr="008B53A9" w:rsidRDefault="00DF464C" w:rsidP="00AA21ED">
            <w:pPr>
              <w:pStyle w:val="Tabulka"/>
              <w:keepNext/>
              <w:keepLines/>
              <w:rPr>
                <w:rFonts w:cs="Calibri"/>
                <w:lang w:val="cs-CZ" w:eastAsia="cs-CZ"/>
              </w:rPr>
            </w:pPr>
            <w:r w:rsidRPr="008B53A9">
              <w:rPr>
                <w:rFonts w:cs="Calibri"/>
                <w:lang w:val="cs-CZ" w:eastAsia="cs-CZ"/>
              </w:rPr>
              <w:t>57</w:t>
            </w:r>
            <w:r w:rsidR="002B3F69" w:rsidRPr="008B53A9">
              <w:rPr>
                <w:rFonts w:cs="Calibri"/>
                <w:lang w:val="cs-CZ" w:eastAsia="cs-CZ"/>
              </w:rPr>
              <w:t>0</w:t>
            </w:r>
          </w:p>
        </w:tc>
        <w:tc>
          <w:tcPr>
            <w:tcW w:w="713" w:type="dxa"/>
            <w:tcBorders>
              <w:top w:val="single" w:sz="4" w:space="0" w:color="000000"/>
              <w:left w:val="single" w:sz="4" w:space="0" w:color="000000"/>
              <w:bottom w:val="single" w:sz="4" w:space="0" w:color="000000"/>
              <w:right w:val="single" w:sz="4" w:space="0" w:color="000000"/>
            </w:tcBorders>
            <w:vAlign w:val="center"/>
          </w:tcPr>
          <w:p w:rsidR="00FD0399" w:rsidRPr="008B53A9" w:rsidRDefault="002163C8" w:rsidP="00EC2D25">
            <w:pPr>
              <w:pStyle w:val="Tabulka"/>
              <w:keepNext/>
              <w:keepLines/>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FD0399" w:rsidRPr="008B53A9" w:rsidRDefault="00FD0399" w:rsidP="00EC2D25">
            <w:pPr>
              <w:pStyle w:val="Tabulka"/>
              <w:keepNext/>
              <w:keepLines/>
              <w:rPr>
                <w:rFonts w:cs="Calibri"/>
                <w:lang w:val="cs-CZ" w:eastAsia="cs-CZ"/>
              </w:rPr>
            </w:pPr>
            <w:r w:rsidRPr="008B53A9">
              <w:rPr>
                <w:rFonts w:cs="Calibri"/>
                <w:lang w:val="cs-CZ" w:eastAsia="cs-CZ"/>
              </w:rPr>
              <w:t>průběžně</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C113F" w:rsidP="007E38FF">
            <w:pPr>
              <w:pStyle w:val="Tabulka"/>
              <w:rPr>
                <w:rFonts w:cs="Calibri"/>
                <w:lang w:val="cs-CZ" w:eastAsia="cs-CZ"/>
              </w:rPr>
            </w:pPr>
            <w:r w:rsidRPr="008B53A9">
              <w:rPr>
                <w:rFonts w:cs="Calibri"/>
                <w:lang w:val="cs-CZ" w:eastAsia="cs-CZ"/>
              </w:rPr>
              <w:t>C</w:t>
            </w:r>
            <w:r w:rsidR="00D803FD" w:rsidRPr="008B53A9">
              <w:rPr>
                <w:rFonts w:cs="Calibri"/>
                <w:lang w:val="cs-CZ" w:eastAsia="cs-CZ"/>
              </w:rPr>
              <w:t>/EFRR/0</w:t>
            </w:r>
            <w:r w:rsidR="002B3F69" w:rsidRPr="008B53A9">
              <w:rPr>
                <w:rFonts w:cs="Calibri"/>
                <w:lang w:val="cs-CZ" w:eastAsia="cs-CZ"/>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jc w:val="left"/>
              <w:rPr>
                <w:rFonts w:cs="Calibri"/>
                <w:lang w:val="cs-CZ" w:eastAsia="cs-CZ"/>
              </w:rPr>
            </w:pPr>
            <w:r w:rsidRPr="008B53A9">
              <w:rPr>
                <w:rFonts w:cs="Calibri"/>
                <w:lang w:val="cs-CZ" w:eastAsia="cs-CZ"/>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AA21ED" w:rsidP="007E38FF">
            <w:pPr>
              <w:pStyle w:val="Tabulka"/>
              <w:rPr>
                <w:rFonts w:cs="Calibri"/>
                <w:lang w:val="cs-CZ" w:eastAsia="cs-CZ"/>
              </w:rPr>
            </w:pPr>
            <w:r w:rsidRPr="008B53A9">
              <w:rPr>
                <w:rFonts w:cs="Calibri"/>
                <w:lang w:val="cs-CZ" w:eastAsia="cs-CZ"/>
              </w:rPr>
              <w:t>545</w:t>
            </w:r>
          </w:p>
        </w:tc>
        <w:tc>
          <w:tcPr>
            <w:tcW w:w="713"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2163C8" w:rsidP="007E38FF">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průběžně</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C113F" w:rsidP="007E38FF">
            <w:pPr>
              <w:pStyle w:val="Tabulka"/>
              <w:rPr>
                <w:rFonts w:cs="Calibri"/>
                <w:lang w:val="cs-CZ" w:eastAsia="cs-CZ"/>
              </w:rPr>
            </w:pPr>
            <w:r w:rsidRPr="008B53A9">
              <w:rPr>
                <w:rFonts w:cs="Calibri"/>
                <w:lang w:val="cs-CZ" w:eastAsia="cs-CZ"/>
              </w:rPr>
              <w:t>C</w:t>
            </w:r>
            <w:r w:rsidR="00E374F6" w:rsidRPr="008B53A9">
              <w:rPr>
                <w:rFonts w:cs="Calibri"/>
                <w:lang w:val="cs-CZ" w:eastAsia="cs-CZ"/>
              </w:rPr>
              <w:t>/EFRR/0</w:t>
            </w:r>
            <w:r w:rsidR="002B3F69" w:rsidRPr="008B53A9">
              <w:rPr>
                <w:rFonts w:cs="Calibri"/>
                <w:lang w:val="cs-CZ" w:eastAsia="cs-CZ"/>
              </w:rPr>
              <w:t>3</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A2DBD" w:rsidP="007E38FF">
            <w:pPr>
              <w:pStyle w:val="Tabulka"/>
              <w:jc w:val="left"/>
              <w:rPr>
                <w:rFonts w:cs="Calibri"/>
                <w:lang w:val="cs-CZ" w:eastAsia="cs-CZ"/>
              </w:rPr>
            </w:pPr>
            <w:r w:rsidRPr="008B53A9">
              <w:rPr>
                <w:rFonts w:cs="Calibri"/>
                <w:lang w:val="cs-CZ" w:eastAsia="cs-CZ"/>
              </w:rPr>
              <w:t>Počet podniků pobírajících jinou finanční pomoc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AA21ED" w:rsidP="007E38FF">
            <w:pPr>
              <w:pStyle w:val="Tabulka"/>
              <w:rPr>
                <w:rFonts w:cs="Calibri"/>
                <w:lang w:val="cs-CZ" w:eastAsia="cs-CZ"/>
              </w:rPr>
            </w:pPr>
            <w:r w:rsidRPr="008B53A9">
              <w:rPr>
                <w:rFonts w:cs="Calibri"/>
                <w:lang w:val="cs-CZ" w:eastAsia="cs-CZ"/>
              </w:rPr>
              <w:t>25</w:t>
            </w:r>
            <w:r w:rsidR="003027A0" w:rsidRPr="008B53A9">
              <w:rPr>
                <w:rStyle w:val="Znakapoznpodarou"/>
                <w:rFonts w:cs="Calibri"/>
                <w:lang w:val="cs-CZ" w:eastAsia="cs-CZ"/>
              </w:rPr>
              <w:footnoteReference w:id="65"/>
            </w:r>
          </w:p>
        </w:tc>
        <w:tc>
          <w:tcPr>
            <w:tcW w:w="713"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2163C8" w:rsidP="007E38FF">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průběžně</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C113F" w:rsidP="007E38FF">
            <w:pPr>
              <w:pStyle w:val="Tabulka"/>
              <w:rPr>
                <w:rFonts w:cs="Calibri"/>
                <w:lang w:val="cs-CZ" w:eastAsia="cs-CZ"/>
              </w:rPr>
            </w:pPr>
            <w:r w:rsidRPr="008B53A9">
              <w:rPr>
                <w:rFonts w:cs="Calibri"/>
                <w:lang w:val="cs-CZ" w:eastAsia="cs-CZ"/>
              </w:rPr>
              <w:t>C</w:t>
            </w:r>
            <w:r w:rsidR="00E374F6" w:rsidRPr="008B53A9">
              <w:rPr>
                <w:rFonts w:cs="Calibri"/>
                <w:lang w:val="cs-CZ" w:eastAsia="cs-CZ"/>
              </w:rPr>
              <w:t>/EFRR/0</w:t>
            </w:r>
            <w:r w:rsidR="002B3F69" w:rsidRPr="008B53A9">
              <w:rPr>
                <w:rFonts w:cs="Calibri"/>
                <w:lang w:val="cs-CZ" w:eastAsia="cs-CZ"/>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A2DBD" w:rsidP="007E38FF">
            <w:pPr>
              <w:pStyle w:val="Tabulka"/>
              <w:jc w:val="left"/>
              <w:rPr>
                <w:rFonts w:cs="Calibri"/>
                <w:lang w:val="cs-CZ" w:eastAsia="cs-CZ"/>
              </w:rPr>
            </w:pPr>
            <w:r w:rsidRPr="008B53A9">
              <w:rPr>
                <w:rFonts w:cs="Calibri"/>
                <w:lang w:val="cs-CZ" w:eastAsia="cs-CZ"/>
              </w:rPr>
              <w:t>Soukromé investice v projektech s veřejnou podporou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AA21ED" w:rsidP="00DF464C">
            <w:pPr>
              <w:pStyle w:val="Tabulka"/>
              <w:rPr>
                <w:rFonts w:cs="Calibri"/>
                <w:lang w:val="cs-CZ" w:eastAsia="cs-CZ"/>
              </w:rPr>
            </w:pPr>
            <w:r w:rsidRPr="008B53A9">
              <w:rPr>
                <w:rFonts w:cs="Calibri"/>
                <w:lang w:val="cs-CZ" w:eastAsia="cs-CZ"/>
              </w:rPr>
              <w:t>230 000 000</w:t>
            </w:r>
          </w:p>
        </w:tc>
        <w:tc>
          <w:tcPr>
            <w:tcW w:w="713"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2163C8" w:rsidP="007E38FF">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průběžně</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C113F" w:rsidP="007E38FF">
            <w:pPr>
              <w:pStyle w:val="Tabulka"/>
              <w:rPr>
                <w:rFonts w:cs="Calibri"/>
                <w:lang w:val="cs-CZ" w:eastAsia="cs-CZ"/>
              </w:rPr>
            </w:pPr>
            <w:r w:rsidRPr="008B53A9">
              <w:rPr>
                <w:rFonts w:cs="Calibri"/>
                <w:lang w:val="cs-CZ" w:eastAsia="cs-CZ"/>
              </w:rPr>
              <w:t>C</w:t>
            </w:r>
            <w:r w:rsidR="00E374F6" w:rsidRPr="008B53A9">
              <w:rPr>
                <w:rFonts w:cs="Calibri"/>
                <w:lang w:val="cs-CZ" w:eastAsia="cs-CZ"/>
              </w:rPr>
              <w:t>/EFRR/0</w:t>
            </w:r>
            <w:r w:rsidR="002B3F69" w:rsidRPr="008B53A9">
              <w:rPr>
                <w:rFonts w:cs="Calibri"/>
                <w:lang w:val="cs-CZ" w:eastAsia="cs-CZ"/>
              </w:rPr>
              <w:t>7</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A2DBD" w:rsidP="007E38FF">
            <w:pPr>
              <w:pStyle w:val="Tabulka"/>
              <w:jc w:val="left"/>
              <w:rPr>
                <w:rFonts w:cs="Calibri"/>
                <w:lang w:val="cs-CZ" w:eastAsia="cs-CZ"/>
              </w:rPr>
            </w:pPr>
            <w:r w:rsidRPr="008B53A9">
              <w:rPr>
                <w:rFonts w:cs="Calibri"/>
                <w:lang w:val="cs-CZ" w:eastAsia="cs-CZ"/>
              </w:rPr>
              <w:t>Soukromé investice v projektech s veřejnou podporou (jiné než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Méně rozvinuté regiony</w:t>
            </w:r>
          </w:p>
        </w:tc>
        <w:tc>
          <w:tcPr>
            <w:tcW w:w="1317"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AA21ED" w:rsidP="007E38FF">
            <w:pPr>
              <w:pStyle w:val="Tabulka"/>
              <w:rPr>
                <w:rFonts w:cs="Calibri"/>
                <w:lang w:val="cs-CZ" w:eastAsia="cs-CZ"/>
              </w:rPr>
            </w:pPr>
            <w:r w:rsidRPr="008B53A9">
              <w:rPr>
                <w:rFonts w:cs="Calibri"/>
                <w:lang w:val="cs-CZ" w:eastAsia="cs-CZ"/>
              </w:rPr>
              <w:t>16 000 000</w:t>
            </w:r>
            <w:r w:rsidR="003027A0" w:rsidRPr="008B53A9">
              <w:rPr>
                <w:rStyle w:val="Znakapoznpodarou"/>
                <w:rFonts w:cs="Calibri"/>
                <w:lang w:val="cs-CZ" w:eastAsia="cs-CZ"/>
              </w:rPr>
              <w:footnoteReference w:id="66"/>
            </w:r>
          </w:p>
        </w:tc>
        <w:tc>
          <w:tcPr>
            <w:tcW w:w="713"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2163C8" w:rsidP="007E38FF">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7E38FF">
            <w:pPr>
              <w:pStyle w:val="Tabulka"/>
              <w:rPr>
                <w:rFonts w:cs="Calibri"/>
                <w:lang w:val="cs-CZ" w:eastAsia="cs-CZ"/>
              </w:rPr>
            </w:pPr>
            <w:r w:rsidRPr="008B53A9">
              <w:rPr>
                <w:rFonts w:cs="Calibri"/>
                <w:lang w:val="cs-CZ" w:eastAsia="cs-CZ"/>
              </w:rPr>
              <w:t>průběžně</w:t>
            </w:r>
          </w:p>
        </w:tc>
      </w:tr>
    </w:tbl>
    <w:p w:rsidR="004C3774" w:rsidRPr="008B53A9" w:rsidRDefault="004C3774" w:rsidP="005F43DF">
      <w:pPr>
        <w:pStyle w:val="kapitola2A0"/>
        <w:numPr>
          <w:ilvl w:val="2"/>
          <w:numId w:val="76"/>
        </w:numPr>
      </w:pPr>
      <w:bookmarkStart w:id="78" w:name="_Toc391539644"/>
      <w:r w:rsidRPr="008B53A9">
        <w:t>INVESTIČNÍ PRIORITA 6 prioritní osy 3: Zvyšování energetické účinnosti a zabezpečení dodávek prostřednictvím rozvoje inteligentních systémů pro distribuci, skladování a přenos energie a prostřednictvím integrace distribuované výroby z obnovitelných zdrojů</w:t>
      </w:r>
      <w:bookmarkEnd w:id="78"/>
    </w:p>
    <w:p w:rsidR="004C3774" w:rsidRPr="008B53A9" w:rsidRDefault="004C3774" w:rsidP="005F43DF">
      <w:pPr>
        <w:pStyle w:val="kapitola2A0"/>
        <w:numPr>
          <w:ilvl w:val="2"/>
          <w:numId w:val="76"/>
        </w:numPr>
      </w:pPr>
      <w:bookmarkStart w:id="79" w:name="_Toc391539645"/>
      <w:r w:rsidRPr="008B53A9">
        <w:t>Specifické cíle odpovídající investiční prioritě a očekávané výsledky</w:t>
      </w:r>
      <w:bookmarkEnd w:id="79"/>
    </w:p>
    <w:p w:rsidR="004C3774" w:rsidRPr="008B53A9" w:rsidRDefault="004C3774" w:rsidP="004C3774">
      <w:pPr>
        <w:pStyle w:val="Modrnadpis"/>
      </w:pPr>
      <w:r w:rsidRPr="008B53A9">
        <w:t xml:space="preserve">SPECIFICKÝ CÍL 3.6: </w:t>
      </w:r>
      <w:r w:rsidR="00951C8A" w:rsidRPr="008B53A9">
        <w:t>Posílit energetickou bezpečnost přenosové soustavy</w:t>
      </w:r>
    </w:p>
    <w:p w:rsidR="004C3774" w:rsidRPr="008B53A9" w:rsidRDefault="00CD0C96" w:rsidP="004C3774">
      <w:pPr>
        <w:pStyle w:val="Standardntext"/>
      </w:pPr>
      <w:r w:rsidRPr="008B53A9">
        <w:t xml:space="preserve">Pro dlouhodobě stabilní provoz přenosové soustavy je nutná modernizace a rekonstrukce jejích stávajících prvků při uplatnění inovativních postupů, které přispějí k integraci do konceptu smart řízení celé elektrizační soustavy. </w:t>
      </w:r>
      <w:r w:rsidR="005F7F3F" w:rsidRPr="008B53A9">
        <w:t xml:space="preserve">Investice do moderní energetické infrastruktury jsou neodmyslitelnou součástí rozvoje </w:t>
      </w:r>
      <w:r w:rsidRPr="008B53A9">
        <w:t xml:space="preserve">všech </w:t>
      </w:r>
      <w:r w:rsidR="005F7F3F" w:rsidRPr="008B53A9">
        <w:t>průmyslově se rozvíjejících regionů.</w:t>
      </w:r>
      <w:r w:rsidR="00951C8A" w:rsidRPr="008B53A9">
        <w:t xml:space="preserve"> Hlavním cílem je posílení konkurenceschopnosti a udržitelnosti české ekonomiky prostřednictvím rozvoje a modernizace energetické infrastruktury.</w:t>
      </w:r>
    </w:p>
    <w:p w:rsidR="004C3774" w:rsidRPr="008B53A9" w:rsidRDefault="004C3774" w:rsidP="004C3774">
      <w:pPr>
        <w:pStyle w:val="Modrnadpis"/>
      </w:pPr>
      <w:r w:rsidRPr="008B53A9">
        <w:lastRenderedPageBreak/>
        <w:t>Výsledky, kterých chce ČR dosáhnout s podporou Unie</w:t>
      </w:r>
    </w:p>
    <w:p w:rsidR="004C3774" w:rsidRPr="008B53A9" w:rsidRDefault="00773FB8" w:rsidP="005F43DF">
      <w:pPr>
        <w:pStyle w:val="Standardntext"/>
        <w:numPr>
          <w:ilvl w:val="0"/>
          <w:numId w:val="52"/>
        </w:numPr>
        <w:rPr>
          <w:i/>
        </w:rPr>
      </w:pPr>
      <w:r w:rsidRPr="008B53A9">
        <w:t>Zlepšení kvality, bezpečnosti a udržitelnosti dodávek elektřiny konečným zákazníkům ve všech regionech České republiky mimo Prahu</w:t>
      </w:r>
    </w:p>
    <w:p w:rsidR="004C3774" w:rsidRPr="008B53A9" w:rsidRDefault="00773FB8" w:rsidP="005F43DF">
      <w:pPr>
        <w:pStyle w:val="Standardntext"/>
        <w:numPr>
          <w:ilvl w:val="0"/>
          <w:numId w:val="52"/>
        </w:numPr>
      </w:pPr>
      <w:r w:rsidRPr="008B53A9">
        <w:t>Přispět k rychlejšímu dotvoření plně funkčního a propojeného vnitřního trhu s energií a zajištění spolehlivých vedení výkonů v rámci trhů s elektřinou v EU.</w:t>
      </w:r>
    </w:p>
    <w:p w:rsidR="00773FB8" w:rsidRPr="008B53A9" w:rsidRDefault="00773FB8" w:rsidP="005F43DF">
      <w:pPr>
        <w:pStyle w:val="Standardntext"/>
        <w:numPr>
          <w:ilvl w:val="0"/>
          <w:numId w:val="52"/>
        </w:numPr>
      </w:pPr>
      <w:r w:rsidRPr="008B53A9">
        <w:t>Minimalizace úzkých profilů a integrace decentralizovaných zdrojů energie.</w:t>
      </w:r>
    </w:p>
    <w:p w:rsidR="00773FB8" w:rsidRPr="008B53A9" w:rsidRDefault="00773FB8" w:rsidP="005F43DF">
      <w:pPr>
        <w:pStyle w:val="Standardntext"/>
        <w:numPr>
          <w:ilvl w:val="0"/>
          <w:numId w:val="52"/>
        </w:numPr>
      </w:pPr>
      <w:r w:rsidRPr="008B53A9">
        <w:t>Impuls pro rozvoj průmyslu, podnikání a celé ekonomiky díky rozvoji a modernizaci energetické infrastruktury.</w:t>
      </w:r>
    </w:p>
    <w:p w:rsidR="004C3774" w:rsidRPr="008B53A9" w:rsidRDefault="004C3774" w:rsidP="00957169">
      <w:pPr>
        <w:pStyle w:val="Titulek"/>
        <w:keepNext/>
        <w:keepLines/>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\r3 </w:instrText>
      </w:r>
      <w:r w:rsidRPr="008B53A9">
        <w:rPr>
          <w:rFonts w:cs="Calibri"/>
        </w:rPr>
        <w:fldChar w:fldCharType="separate"/>
      </w:r>
      <w:r w:rsidR="00E54216" w:rsidRPr="008B53A9">
        <w:rPr>
          <w:rFonts w:cs="Calibri"/>
          <w:noProof/>
        </w:rPr>
        <w:t>3</w:t>
      </w:r>
      <w:r w:rsidRPr="008B53A9">
        <w:rPr>
          <w:rFonts w:cs="Calibri"/>
        </w:rPr>
        <w:fldChar w:fldCharType="end"/>
      </w:r>
      <w:r w:rsidRPr="008B53A9">
        <w:rPr>
          <w:rFonts w:cs="Calibri"/>
        </w:rPr>
        <w:t>: Ukazatele výsledků specifické pro jednotlivé programy, podle specifického cíle (pro EFRR a Fond soudržnosti)</w:t>
      </w:r>
    </w:p>
    <w:tbl>
      <w:tblPr>
        <w:tblW w:w="5000" w:type="pct"/>
        <w:tblLayout w:type="fixed"/>
        <w:tblCellMar>
          <w:left w:w="57" w:type="dxa"/>
          <w:right w:w="57" w:type="dxa"/>
        </w:tblCellMar>
        <w:tblLook w:val="01E0" w:firstRow="1" w:lastRow="1" w:firstColumn="1" w:lastColumn="1" w:noHBand="0" w:noVBand="0"/>
      </w:tblPr>
      <w:tblGrid>
        <w:gridCol w:w="909"/>
        <w:gridCol w:w="991"/>
        <w:gridCol w:w="993"/>
        <w:gridCol w:w="1146"/>
        <w:gridCol w:w="979"/>
        <w:gridCol w:w="851"/>
        <w:gridCol w:w="992"/>
        <w:gridCol w:w="1419"/>
        <w:gridCol w:w="1046"/>
      </w:tblGrid>
      <w:tr w:rsidR="00D57106" w:rsidRPr="008B53A9">
        <w:trPr>
          <w:trHeight w:hRule="exact" w:val="1385"/>
        </w:trPr>
        <w:tc>
          <w:tcPr>
            <w:tcW w:w="487"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957169">
            <w:pPr>
              <w:pStyle w:val="Tabulka"/>
              <w:keepNext/>
              <w:keepLines/>
              <w:rPr>
                <w:rFonts w:cs="Calibri"/>
                <w:b/>
                <w:bCs/>
                <w:lang w:val="cs-CZ" w:eastAsia="cs-CZ"/>
              </w:rPr>
            </w:pPr>
            <w:r w:rsidRPr="008B53A9">
              <w:rPr>
                <w:rFonts w:cs="Calibri"/>
                <w:b/>
                <w:bCs/>
                <w:lang w:val="cs-CZ" w:eastAsia="cs-CZ"/>
              </w:rPr>
              <w:t>ID</w:t>
            </w:r>
          </w:p>
        </w:tc>
        <w:tc>
          <w:tcPr>
            <w:tcW w:w="531"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957169">
            <w:pPr>
              <w:pStyle w:val="Tabulka"/>
              <w:keepNext/>
              <w:keepLines/>
              <w:rPr>
                <w:rFonts w:cs="Calibri"/>
                <w:b/>
                <w:bCs/>
                <w:lang w:val="cs-CZ" w:eastAsia="cs-CZ"/>
              </w:rPr>
            </w:pPr>
            <w:r w:rsidRPr="008B53A9">
              <w:rPr>
                <w:rFonts w:cs="Calibri"/>
                <w:b/>
                <w:bCs/>
                <w:lang w:val="cs-CZ" w:eastAsia="cs-CZ"/>
              </w:rPr>
              <w:t>Ukazatel</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957169">
            <w:pPr>
              <w:pStyle w:val="Tabulka"/>
              <w:keepNext/>
              <w:keepLines/>
              <w:rPr>
                <w:rFonts w:cs="Calibri"/>
                <w:b/>
                <w:bCs/>
                <w:lang w:val="cs-CZ" w:eastAsia="cs-CZ"/>
              </w:rPr>
            </w:pPr>
            <w:r w:rsidRPr="008B53A9">
              <w:rPr>
                <w:rFonts w:cs="Calibri"/>
                <w:b/>
                <w:bCs/>
                <w:lang w:val="cs-CZ" w:eastAsia="cs-CZ"/>
              </w:rPr>
              <w:t>Měrná</w:t>
            </w:r>
          </w:p>
          <w:p w:rsidR="004C3774" w:rsidRPr="008B53A9" w:rsidRDefault="004C3774" w:rsidP="00957169">
            <w:pPr>
              <w:pStyle w:val="Tabulka"/>
              <w:keepNext/>
              <w:keepLines/>
              <w:rPr>
                <w:rFonts w:cs="Calibri"/>
                <w:b/>
                <w:bCs/>
                <w:lang w:val="cs-CZ" w:eastAsia="cs-CZ"/>
              </w:rPr>
            </w:pPr>
            <w:r w:rsidRPr="008B53A9">
              <w:rPr>
                <w:rFonts w:cs="Calibri"/>
                <w:b/>
                <w:bCs/>
                <w:lang w:val="cs-CZ" w:eastAsia="cs-CZ"/>
              </w:rPr>
              <w:t>jednotka</w:t>
            </w:r>
          </w:p>
        </w:tc>
        <w:tc>
          <w:tcPr>
            <w:tcW w:w="614"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957169">
            <w:pPr>
              <w:pStyle w:val="Tabulka"/>
              <w:keepNext/>
              <w:keepLines/>
              <w:rPr>
                <w:rFonts w:cs="Calibri"/>
                <w:b/>
                <w:bCs/>
                <w:lang w:val="cs-CZ" w:eastAsia="cs-CZ"/>
              </w:rPr>
            </w:pPr>
            <w:r w:rsidRPr="008B53A9">
              <w:rPr>
                <w:rFonts w:cs="Calibri"/>
                <w:b/>
                <w:bCs/>
                <w:lang w:val="cs-CZ" w:eastAsia="cs-CZ"/>
              </w:rPr>
              <w:t>Kategorie regionů (je-li relevantní)</w:t>
            </w:r>
          </w:p>
        </w:tc>
        <w:tc>
          <w:tcPr>
            <w:tcW w:w="525"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B0854" w:rsidP="00957169">
            <w:pPr>
              <w:pStyle w:val="Tabulka"/>
              <w:keepNext/>
              <w:keepLines/>
              <w:rPr>
                <w:rFonts w:cs="Calibri"/>
                <w:b/>
                <w:bCs/>
                <w:lang w:val="cs-CZ" w:eastAsia="cs-CZ"/>
              </w:rPr>
            </w:pPr>
            <w:r w:rsidRPr="008B53A9">
              <w:rPr>
                <w:rFonts w:cs="Calibri"/>
                <w:b/>
                <w:bCs/>
                <w:lang w:val="cs-CZ" w:eastAsia="cs-CZ"/>
              </w:rPr>
              <w:t>Výchozí hodnota</w:t>
            </w:r>
          </w:p>
        </w:tc>
        <w:tc>
          <w:tcPr>
            <w:tcW w:w="456"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B0854" w:rsidP="004B0854">
            <w:pPr>
              <w:pStyle w:val="Tabulka"/>
              <w:keepNext/>
              <w:keepLines/>
              <w:rPr>
                <w:rFonts w:cs="Calibri"/>
                <w:b/>
                <w:bCs/>
                <w:lang w:val="cs-CZ" w:eastAsia="cs-CZ"/>
              </w:rPr>
            </w:pPr>
            <w:r w:rsidRPr="008B53A9">
              <w:rPr>
                <w:rFonts w:cs="Calibri"/>
                <w:b/>
                <w:bCs/>
                <w:sz w:val="20"/>
                <w:lang w:val="cs-CZ" w:eastAsia="cs-CZ"/>
              </w:rPr>
              <w:t xml:space="preserve">Výchozí </w:t>
            </w:r>
            <w:r w:rsidR="004C3774" w:rsidRPr="008B53A9">
              <w:rPr>
                <w:rFonts w:cs="Calibri"/>
                <w:b/>
                <w:bCs/>
                <w:sz w:val="20"/>
                <w:lang w:val="cs-CZ" w:eastAsia="cs-CZ"/>
              </w:rPr>
              <w:t>rok</w:t>
            </w:r>
          </w:p>
        </w:tc>
        <w:tc>
          <w:tcPr>
            <w:tcW w:w="532"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957169">
            <w:pPr>
              <w:pStyle w:val="Tabulka"/>
              <w:keepNext/>
              <w:keepLines/>
              <w:rPr>
                <w:rFonts w:cs="Calibri"/>
                <w:b/>
                <w:bCs/>
                <w:lang w:val="cs-CZ" w:eastAsia="cs-CZ"/>
              </w:rPr>
            </w:pPr>
            <w:r w:rsidRPr="008B53A9">
              <w:rPr>
                <w:rFonts w:cs="Calibri"/>
                <w:b/>
                <w:bCs/>
                <w:lang w:val="cs-CZ" w:eastAsia="cs-CZ"/>
              </w:rPr>
              <w:t>Cílová hodnota (2023)</w:t>
            </w:r>
          </w:p>
        </w:tc>
        <w:tc>
          <w:tcPr>
            <w:tcW w:w="761"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957169">
            <w:pPr>
              <w:pStyle w:val="Tabulka"/>
              <w:keepNext/>
              <w:keepLines/>
              <w:rPr>
                <w:rFonts w:cs="Calibri"/>
                <w:b/>
                <w:bCs/>
                <w:lang w:val="cs-CZ" w:eastAsia="cs-CZ"/>
              </w:rPr>
            </w:pPr>
            <w:r w:rsidRPr="008B53A9">
              <w:rPr>
                <w:rFonts w:cs="Calibri"/>
                <w:b/>
                <w:bCs/>
                <w:lang w:val="cs-CZ" w:eastAsia="cs-CZ"/>
              </w:rPr>
              <w:t>Zdroj údajů</w:t>
            </w:r>
          </w:p>
        </w:tc>
        <w:tc>
          <w:tcPr>
            <w:tcW w:w="561" w:type="pct"/>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957169">
            <w:pPr>
              <w:pStyle w:val="Tabulka"/>
              <w:keepNext/>
              <w:keepLines/>
              <w:rPr>
                <w:rFonts w:cs="Calibri"/>
                <w:b/>
                <w:bCs/>
                <w:lang w:val="cs-CZ" w:eastAsia="cs-CZ"/>
              </w:rPr>
            </w:pPr>
            <w:r w:rsidRPr="008B53A9">
              <w:rPr>
                <w:rFonts w:cs="Calibri"/>
                <w:b/>
                <w:bCs/>
                <w:lang w:val="cs-CZ" w:eastAsia="cs-CZ"/>
              </w:rPr>
              <w:t>Četnost podávání zpráv</w:t>
            </w:r>
          </w:p>
        </w:tc>
      </w:tr>
      <w:tr w:rsidR="00956C4F" w:rsidRPr="008B53A9">
        <w:trPr>
          <w:trHeight w:hRule="exact" w:val="1193"/>
        </w:trPr>
        <w:tc>
          <w:tcPr>
            <w:tcW w:w="487" w:type="pct"/>
            <w:tcBorders>
              <w:top w:val="single" w:sz="4" w:space="0" w:color="000000"/>
              <w:left w:val="single" w:sz="4" w:space="0" w:color="000000"/>
              <w:bottom w:val="single" w:sz="4" w:space="0" w:color="000000"/>
              <w:right w:val="single" w:sz="4" w:space="0" w:color="000000"/>
            </w:tcBorders>
            <w:vAlign w:val="center"/>
          </w:tcPr>
          <w:p w:rsidR="004C3774" w:rsidRPr="008B53A9" w:rsidRDefault="002252D2" w:rsidP="00957169">
            <w:pPr>
              <w:pStyle w:val="Tabulka"/>
              <w:keepNext/>
              <w:keepLines/>
              <w:rPr>
                <w:rFonts w:cs="Calibri"/>
                <w:lang w:val="cs-CZ" w:eastAsia="cs-CZ"/>
              </w:rPr>
            </w:pPr>
            <w:r w:rsidRPr="008B53A9">
              <w:rPr>
                <w:rFonts w:cs="Calibri"/>
                <w:lang w:val="cs-CZ" w:eastAsia="cs-CZ"/>
              </w:rPr>
              <w:t>33800</w:t>
            </w:r>
          </w:p>
        </w:tc>
        <w:tc>
          <w:tcPr>
            <w:tcW w:w="531" w:type="pct"/>
            <w:tcBorders>
              <w:top w:val="single" w:sz="4" w:space="0" w:color="000000"/>
              <w:left w:val="single" w:sz="4" w:space="0" w:color="000000"/>
              <w:bottom w:val="single" w:sz="4" w:space="0" w:color="000000"/>
              <w:right w:val="single" w:sz="4" w:space="0" w:color="000000"/>
            </w:tcBorders>
            <w:vAlign w:val="center"/>
          </w:tcPr>
          <w:p w:rsidR="004C3774" w:rsidRPr="008B53A9" w:rsidRDefault="00672F46" w:rsidP="00957169">
            <w:pPr>
              <w:pStyle w:val="Tabulka"/>
              <w:keepNext/>
              <w:keepLines/>
              <w:jc w:val="left"/>
              <w:rPr>
                <w:rFonts w:cs="Calibri"/>
                <w:lang w:val="cs-CZ" w:eastAsia="cs-CZ"/>
              </w:rPr>
            </w:pPr>
            <w:r w:rsidRPr="008B53A9">
              <w:rPr>
                <w:rFonts w:cs="Calibri"/>
                <w:szCs w:val="20"/>
                <w:lang w:val="cs-CZ" w:eastAsia="cs-CZ"/>
              </w:rPr>
              <w:t>Transfor</w:t>
            </w:r>
            <w:r w:rsidR="00D57106" w:rsidRPr="008B53A9">
              <w:rPr>
                <w:rFonts w:cs="Calibri"/>
                <w:szCs w:val="20"/>
                <w:lang w:val="cs-CZ" w:eastAsia="cs-CZ"/>
              </w:rPr>
              <w:t>-</w:t>
            </w:r>
            <w:r w:rsidRPr="008B53A9">
              <w:rPr>
                <w:rFonts w:cs="Calibri"/>
                <w:szCs w:val="20"/>
                <w:lang w:val="cs-CZ" w:eastAsia="cs-CZ"/>
              </w:rPr>
              <w:t>mační výkon PS/DS</w:t>
            </w:r>
          </w:p>
        </w:tc>
        <w:tc>
          <w:tcPr>
            <w:tcW w:w="532" w:type="pct"/>
            <w:tcBorders>
              <w:top w:val="single" w:sz="4" w:space="0" w:color="000000"/>
              <w:left w:val="single" w:sz="4" w:space="0" w:color="000000"/>
              <w:bottom w:val="single" w:sz="4" w:space="0" w:color="000000"/>
              <w:right w:val="single" w:sz="4" w:space="0" w:color="000000"/>
            </w:tcBorders>
            <w:vAlign w:val="center"/>
          </w:tcPr>
          <w:p w:rsidR="004C3774" w:rsidRPr="008B53A9" w:rsidRDefault="004C3774" w:rsidP="00957169">
            <w:pPr>
              <w:pStyle w:val="Tabulka"/>
              <w:keepNext/>
              <w:keepLines/>
              <w:rPr>
                <w:rFonts w:cs="Calibri"/>
                <w:lang w:val="cs-CZ" w:eastAsia="cs-CZ"/>
              </w:rPr>
            </w:pPr>
            <w:r w:rsidRPr="008B53A9">
              <w:rPr>
                <w:rFonts w:cs="Calibri"/>
                <w:lang w:val="cs-CZ" w:eastAsia="cs-CZ"/>
              </w:rPr>
              <w:t>MVA</w:t>
            </w:r>
          </w:p>
        </w:tc>
        <w:tc>
          <w:tcPr>
            <w:tcW w:w="614" w:type="pct"/>
            <w:tcBorders>
              <w:top w:val="single" w:sz="4" w:space="0" w:color="000000"/>
              <w:left w:val="single" w:sz="4" w:space="0" w:color="000000"/>
              <w:bottom w:val="single" w:sz="4" w:space="0" w:color="000000"/>
              <w:right w:val="single" w:sz="4" w:space="0" w:color="000000"/>
            </w:tcBorders>
            <w:vAlign w:val="center"/>
          </w:tcPr>
          <w:p w:rsidR="004C3774" w:rsidRPr="008B53A9" w:rsidRDefault="004C3774" w:rsidP="00957169">
            <w:pPr>
              <w:pStyle w:val="Tabulka"/>
              <w:keepNext/>
              <w:keepLines/>
              <w:rPr>
                <w:rFonts w:cs="Calibri"/>
                <w:lang w:val="cs-CZ" w:eastAsia="cs-CZ"/>
              </w:rPr>
            </w:pPr>
            <w:r w:rsidRPr="008B53A9">
              <w:rPr>
                <w:rFonts w:cs="Calibri"/>
                <w:lang w:val="cs-CZ" w:eastAsia="cs-CZ"/>
              </w:rPr>
              <w:t>Méně rozvinuté regiony</w:t>
            </w:r>
          </w:p>
        </w:tc>
        <w:tc>
          <w:tcPr>
            <w:tcW w:w="525" w:type="pct"/>
            <w:tcBorders>
              <w:top w:val="single" w:sz="4" w:space="0" w:color="000000"/>
              <w:left w:val="single" w:sz="4" w:space="0" w:color="000000"/>
              <w:bottom w:val="single" w:sz="4" w:space="0" w:color="000000"/>
              <w:right w:val="single" w:sz="4" w:space="0" w:color="000000"/>
            </w:tcBorders>
            <w:vAlign w:val="center"/>
          </w:tcPr>
          <w:p w:rsidR="004C3774" w:rsidRPr="008B53A9" w:rsidRDefault="004C3774" w:rsidP="00957169">
            <w:pPr>
              <w:pStyle w:val="Tabulka"/>
              <w:keepNext/>
              <w:keepLines/>
              <w:rPr>
                <w:rFonts w:cs="Calibri"/>
                <w:lang w:val="cs-CZ" w:eastAsia="cs-CZ"/>
              </w:rPr>
            </w:pPr>
            <w:r w:rsidRPr="008B53A9">
              <w:rPr>
                <w:rFonts w:cs="Calibri"/>
                <w:lang w:val="cs-CZ" w:eastAsia="cs-CZ"/>
              </w:rPr>
              <w:t>21 680</w:t>
            </w:r>
          </w:p>
        </w:tc>
        <w:tc>
          <w:tcPr>
            <w:tcW w:w="456" w:type="pct"/>
            <w:tcBorders>
              <w:top w:val="single" w:sz="4" w:space="0" w:color="000000"/>
              <w:left w:val="single" w:sz="4" w:space="0" w:color="000000"/>
              <w:bottom w:val="single" w:sz="4" w:space="0" w:color="000000"/>
              <w:right w:val="single" w:sz="4" w:space="0" w:color="000000"/>
            </w:tcBorders>
            <w:vAlign w:val="center"/>
          </w:tcPr>
          <w:p w:rsidR="004C3774" w:rsidRPr="008B53A9" w:rsidRDefault="004C3774" w:rsidP="00957169">
            <w:pPr>
              <w:pStyle w:val="Tabulka"/>
              <w:keepNext/>
              <w:keepLines/>
              <w:rPr>
                <w:rFonts w:cs="Calibri"/>
                <w:lang w:val="cs-CZ" w:eastAsia="cs-CZ"/>
              </w:rPr>
            </w:pPr>
            <w:r w:rsidRPr="008B53A9">
              <w:rPr>
                <w:rFonts w:cs="Calibri"/>
                <w:lang w:val="cs-CZ" w:eastAsia="cs-CZ"/>
              </w:rPr>
              <w:t>201</w:t>
            </w:r>
            <w:r w:rsidR="000E2AD0" w:rsidRPr="008B53A9">
              <w:rPr>
                <w:rFonts w:cs="Calibri"/>
                <w:lang w:val="cs-CZ" w:eastAsia="cs-CZ"/>
              </w:rPr>
              <w:t>3</w:t>
            </w:r>
          </w:p>
        </w:tc>
        <w:tc>
          <w:tcPr>
            <w:tcW w:w="532" w:type="pct"/>
            <w:tcBorders>
              <w:top w:val="single" w:sz="4" w:space="0" w:color="000000"/>
              <w:left w:val="single" w:sz="4" w:space="0" w:color="000000"/>
              <w:bottom w:val="single" w:sz="4" w:space="0" w:color="000000"/>
              <w:right w:val="single" w:sz="4" w:space="0" w:color="000000"/>
            </w:tcBorders>
            <w:vAlign w:val="center"/>
          </w:tcPr>
          <w:p w:rsidR="004C3774" w:rsidRPr="008B53A9" w:rsidRDefault="005F7F3F" w:rsidP="00957169">
            <w:pPr>
              <w:pStyle w:val="Tabulka"/>
              <w:keepNext/>
              <w:keepLines/>
              <w:rPr>
                <w:rFonts w:cs="Calibri"/>
                <w:lang w:val="cs-CZ" w:eastAsia="cs-CZ"/>
              </w:rPr>
            </w:pPr>
            <w:r w:rsidRPr="008B53A9">
              <w:rPr>
                <w:rFonts w:cs="Calibri"/>
                <w:lang w:val="cs-CZ" w:eastAsia="cs-CZ"/>
              </w:rPr>
              <w:t>23 430</w:t>
            </w:r>
          </w:p>
        </w:tc>
        <w:tc>
          <w:tcPr>
            <w:tcW w:w="761" w:type="pct"/>
            <w:tcBorders>
              <w:top w:val="single" w:sz="4" w:space="0" w:color="000000"/>
              <w:left w:val="single" w:sz="4" w:space="0" w:color="000000"/>
              <w:bottom w:val="single" w:sz="4" w:space="0" w:color="000000"/>
              <w:right w:val="single" w:sz="4" w:space="0" w:color="000000"/>
            </w:tcBorders>
            <w:vAlign w:val="center"/>
          </w:tcPr>
          <w:p w:rsidR="004C3774" w:rsidRPr="008B53A9" w:rsidRDefault="004B58FE" w:rsidP="00957169">
            <w:pPr>
              <w:pStyle w:val="Tabulka"/>
              <w:keepNext/>
              <w:keepLines/>
              <w:rPr>
                <w:rFonts w:cs="Calibri"/>
                <w:lang w:val="cs-CZ" w:eastAsia="cs-CZ"/>
              </w:rPr>
            </w:pPr>
            <w:r w:rsidRPr="008B53A9">
              <w:rPr>
                <w:rFonts w:cs="Calibri"/>
                <w:lang w:val="cs-CZ" w:eastAsia="cs-CZ"/>
              </w:rPr>
              <w:t>Provozovatel přenosové soustavy</w:t>
            </w:r>
            <w:r w:rsidR="00672F46" w:rsidRPr="008B53A9">
              <w:rPr>
                <w:rFonts w:cs="Calibri"/>
                <w:lang w:val="cs-CZ" w:eastAsia="cs-CZ"/>
              </w:rPr>
              <w:t xml:space="preserve"> + Ž/P</w:t>
            </w:r>
          </w:p>
        </w:tc>
        <w:tc>
          <w:tcPr>
            <w:tcW w:w="561" w:type="pct"/>
            <w:tcBorders>
              <w:top w:val="single" w:sz="4" w:space="0" w:color="000000"/>
              <w:left w:val="single" w:sz="4" w:space="0" w:color="000000"/>
              <w:bottom w:val="single" w:sz="4" w:space="0" w:color="000000"/>
              <w:right w:val="single" w:sz="4" w:space="0" w:color="000000"/>
            </w:tcBorders>
            <w:vAlign w:val="center"/>
          </w:tcPr>
          <w:p w:rsidR="004C3774" w:rsidRPr="008B53A9" w:rsidRDefault="004C3774" w:rsidP="00957169">
            <w:pPr>
              <w:pStyle w:val="Tabulka"/>
              <w:keepNext/>
              <w:keepLines/>
              <w:rPr>
                <w:rFonts w:cs="Calibri"/>
                <w:lang w:val="cs-CZ" w:eastAsia="cs-CZ"/>
              </w:rPr>
            </w:pPr>
            <w:r w:rsidRPr="008B53A9">
              <w:rPr>
                <w:rFonts w:cs="Calibri"/>
                <w:lang w:val="cs-CZ" w:eastAsia="cs-CZ"/>
              </w:rPr>
              <w:t>průběžně</w:t>
            </w:r>
          </w:p>
        </w:tc>
      </w:tr>
    </w:tbl>
    <w:p w:rsidR="004C3774" w:rsidRPr="008B53A9" w:rsidRDefault="004C3774" w:rsidP="005F43DF">
      <w:pPr>
        <w:pStyle w:val="kapitola2A0"/>
        <w:numPr>
          <w:ilvl w:val="2"/>
          <w:numId w:val="76"/>
        </w:numPr>
      </w:pPr>
      <w:bookmarkStart w:id="80" w:name="_Toc391539646"/>
      <w:r w:rsidRPr="008B53A9">
        <w:t>Opatření, jež má být podpořeno v rámci investiční priority</w:t>
      </w:r>
      <w:bookmarkEnd w:id="80"/>
    </w:p>
    <w:p w:rsidR="004C3774" w:rsidRPr="008B53A9" w:rsidRDefault="004C3774" w:rsidP="005F43DF">
      <w:pPr>
        <w:pStyle w:val="Nadpis5"/>
        <w:numPr>
          <w:ilvl w:val="4"/>
          <w:numId w:val="77"/>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4C3774" w:rsidRPr="008B53A9" w:rsidRDefault="00177462" w:rsidP="004C3774">
      <w:pPr>
        <w:pStyle w:val="Standardntext"/>
        <w:rPr>
          <w:b/>
        </w:rPr>
      </w:pPr>
      <w:r w:rsidRPr="008B53A9">
        <w:rPr>
          <w:b/>
        </w:rPr>
        <w:t>Indikativní výčet podporovaných aktivit:</w:t>
      </w:r>
    </w:p>
    <w:p w:rsidR="00896EDF" w:rsidRPr="008B53A9" w:rsidRDefault="004C3774" w:rsidP="005F7F3F">
      <w:pPr>
        <w:pStyle w:val="Standardntext"/>
        <w:numPr>
          <w:ilvl w:val="0"/>
          <w:numId w:val="42"/>
        </w:numPr>
      </w:pPr>
      <w:r w:rsidRPr="008B53A9">
        <w:t>Výstavba, posílení, modernizace a rekonstrukce vedení přenosové soustavy a transformoven</w:t>
      </w:r>
      <w:r w:rsidR="00B24119" w:rsidRPr="008B53A9">
        <w:t xml:space="preserve"> </w:t>
      </w:r>
      <w:r w:rsidR="004E6583" w:rsidRPr="008B53A9">
        <w:t>(v souladu s konceptem chytrých sítí</w:t>
      </w:r>
      <w:r w:rsidR="00DE2376" w:rsidRPr="008B53A9">
        <w:t>).</w:t>
      </w:r>
    </w:p>
    <w:p w:rsidR="005F7F3F" w:rsidRPr="008B53A9" w:rsidRDefault="005F7F3F" w:rsidP="00896EDF">
      <w:pPr>
        <w:pStyle w:val="Standardntext"/>
      </w:pPr>
      <w:r w:rsidRPr="008B53A9">
        <w:t>Přenosová soustava jako celek je tvořena soustavou jednotlivých prvků zejména rozvoden, vedení a transformátorů, které byly budovány a vzájemně propojovány postupně tak, jak v průběhu vývoje vyžadovaly potřeby hospodářství ČR. Jednotlivé prvky přenosové soustavy tak vznikaly v různých etapách její výstavby a mnohdy s velkým časovým odstupem. Tyto prvky byly proto navrhovány a realizovány s odlišnými technickými parametry, které odpovídaly technickým možnostem a potřebám období jejich výstavby. Bezpečný a spolehlivý provoz, který je hlavním požadavkem kladeným na přenosovou soustavu, lze přitom zajistit pouze v případě bezpečného a spolehlivého provozu každého prvku přenosové soustavy. Základní podmínkou dlouhodobě stabilního provozu přenosové soustavy je vedle jejího plánovitého rozvoje i modernizace a rekonstrukce stávajících prvků soustavy, a to tak, aby všechny tyto prvky splňovaly stanovené technické a spolehlivostní požadavky s ohledem na inovativní postupy a umožnění plné integrace do konceptu smart řízení celé elektrizační soustavy přispívající k efektivnímu využití infrastruktury.</w:t>
      </w:r>
      <w:r w:rsidR="003D4D3F" w:rsidRPr="008B53A9">
        <w:t xml:space="preserve"> </w:t>
      </w:r>
      <w:r w:rsidRPr="008B53A9">
        <w:t xml:space="preserve">Aktivity zaměřené na rozvoj a modernizaci přenosové soustavy jsou proto směrovány zejména do </w:t>
      </w:r>
      <w:r w:rsidR="003D4D3F" w:rsidRPr="008B53A9">
        <w:t>následujících</w:t>
      </w:r>
      <w:r w:rsidRPr="008B53A9">
        <w:t xml:space="preserve"> typových projektů.</w:t>
      </w:r>
    </w:p>
    <w:p w:rsidR="005F7F3F" w:rsidRPr="008B53A9" w:rsidRDefault="003D4D3F" w:rsidP="005F7F3F">
      <w:pPr>
        <w:pStyle w:val="Standardntext"/>
      </w:pPr>
      <w:r w:rsidRPr="008B53A9">
        <w:lastRenderedPageBreak/>
        <w:t>Prvním typovým projektem je v</w:t>
      </w:r>
      <w:r w:rsidR="005F7F3F" w:rsidRPr="008B53A9">
        <w:t>ýstavba nových linek a posilování přenosové schopnosti linek stávajících. U vybraných páteřních linek je plánováno jejich zdvojení, které výrazným způsobem zvyšuje přenosovou kapacitu linky při minimalizaci nároků na zábor pozemků a zatížení životního prostředí. Součástí procesu posilování přenosové schopnosti linek je i jejich modernizace zaměřená na plnění zvýšených požadavkům bezpečnosti provozu a nově stanovených ekologických požadavků (např. limitní hodnoty elektromagnetického pole) a to za účelem dosažení dostatečné kapacity pro přenos elektrické energie mezi výrobci a spotřebiteli.</w:t>
      </w:r>
      <w:r w:rsidRPr="008B53A9">
        <w:t xml:space="preserve"> </w:t>
      </w:r>
      <w:r w:rsidR="005F7F3F" w:rsidRPr="008B53A9">
        <w:t>Výstupem projektu bude nové nebo posílené vedení, které se promítá do výsledků ve formě zvýšené kapacity (bezpečnost, odolnost a spolehlivost provozu).</w:t>
      </w:r>
    </w:p>
    <w:p w:rsidR="005F7F3F" w:rsidRPr="008B53A9" w:rsidRDefault="003D4D3F" w:rsidP="005F7F3F">
      <w:pPr>
        <w:pStyle w:val="Standardntext"/>
      </w:pPr>
      <w:r w:rsidRPr="008B53A9">
        <w:t>Dalším typovým projektem je v</w:t>
      </w:r>
      <w:r w:rsidR="005F7F3F" w:rsidRPr="008B53A9">
        <w:t xml:space="preserve">ýstavba a modernizace rozvoden. Nedílnou součástí rozvoje přenosové soustavy je </w:t>
      </w:r>
      <w:r w:rsidRPr="008B53A9">
        <w:t xml:space="preserve">totiž </w:t>
      </w:r>
      <w:r w:rsidR="005F7F3F" w:rsidRPr="008B53A9">
        <w:t>výstavba nových rozvoden s navazující transformací na napěťovou úroveň 110 kV v místech s výrazným nárůstem spotřeby. Vedle výstavby nových rozvoden je realizován i proces modernizace rozvoden, který se především zaměřuje na zajištění dostatečné přenosové schopnosti ve všech uzlech soustavy a na zlepšení i dalších technických parametrů rozvoden tak, aby byl zajištěn spolehlivý provoz přenosové soustavy i v m</w:t>
      </w:r>
      <w:r w:rsidRPr="008B53A9">
        <w:t xml:space="preserve">imořádných provozních režimech. </w:t>
      </w:r>
      <w:r w:rsidR="005F7F3F" w:rsidRPr="008B53A9">
        <w:t>Výstupem projektu bude nová či modernizovaná transformovna, která se promítá do výsledků ve formě zvýšené kapacity (bezpečnost, odolnost a spolehlivost provozu).</w:t>
      </w:r>
    </w:p>
    <w:p w:rsidR="005F7F3F" w:rsidRPr="008B53A9" w:rsidRDefault="003D4D3F" w:rsidP="005F7F3F">
      <w:pPr>
        <w:pStyle w:val="Standardntext"/>
      </w:pPr>
      <w:r w:rsidRPr="008B53A9">
        <w:t>Mezi typové projekty patří také z</w:t>
      </w:r>
      <w:r w:rsidR="005F7F3F" w:rsidRPr="008B53A9">
        <w:t>ajištění dostatečného transformačního výkonu z přenosové soustavy do všech částí distribuční soustavy. Tento požadavek je řešen instalací nových transformátorů v oblastech s nárůstem spotřeby a dále plánovanou výměnou stávajících transformátorů za nové stroje většího výkonu. Postupná výměna transformátorů je plánována především s ohledem na požadovaný přenášený výkon a spolehlivost provozu jednotlivých transformátorů, která je ovlivněna stářím stroje. V rámci výměny transformátorů je řešena i ekologizace jejich provozu, která se zaměřuje na snižování hladiny hluku v okolí strojů a bezpečnost olejového hospodářství.</w:t>
      </w:r>
      <w:r w:rsidRPr="008B53A9">
        <w:t xml:space="preserve"> </w:t>
      </w:r>
      <w:r w:rsidR="005F7F3F" w:rsidRPr="008B53A9">
        <w:t>Výstupem projektu bude nová či modernizovaná transformovna, která se promítá do výsledků ve formě zvýšené kapacity (bezpečnost, odolnost a spolehlivost provozu).</w:t>
      </w:r>
    </w:p>
    <w:p w:rsidR="005F7F3F" w:rsidRPr="008B53A9" w:rsidRDefault="003D4D3F" w:rsidP="005F7F3F">
      <w:pPr>
        <w:pStyle w:val="Standardntext"/>
      </w:pPr>
      <w:r w:rsidRPr="008B53A9">
        <w:t>Dalším typovým projektem je m</w:t>
      </w:r>
      <w:r w:rsidR="005F7F3F" w:rsidRPr="008B53A9">
        <w:t>odernizace řídicích a komunikačních systém</w:t>
      </w:r>
      <w:r w:rsidRPr="008B53A9">
        <w:t>ů</w:t>
      </w:r>
      <w:r w:rsidR="005F7F3F" w:rsidRPr="008B53A9">
        <w:t xml:space="preserve">. Modernizovány </w:t>
      </w:r>
      <w:r w:rsidRPr="008B53A9">
        <w:t>budou</w:t>
      </w:r>
      <w:r w:rsidR="005F7F3F" w:rsidRPr="008B53A9">
        <w:t xml:space="preserve"> řídicí systémy v jednotlivých uzlech soustavy, ale i dispečerské řídicí systémy. Tento proces zajistí zlepšení provozu přenosové soustavy </w:t>
      </w:r>
      <w:r w:rsidR="00127389" w:rsidRPr="008B53A9">
        <w:t xml:space="preserve">s </w:t>
      </w:r>
      <w:r w:rsidR="005F7F3F" w:rsidRPr="008B53A9">
        <w:t>ohledem na jeho bezpečnost a spolehlivost, umožní ve větší míře zohlednit i ekonomické faktory provozu přenosové soustavy a postupně vytvoří podmínky pro zavádění prvků smart grid do řízení přenosové soustavy.</w:t>
      </w:r>
      <w:r w:rsidRPr="008B53A9">
        <w:t xml:space="preserve"> </w:t>
      </w:r>
      <w:r w:rsidR="005F7F3F" w:rsidRPr="008B53A9">
        <w:t>Výstupem projektu bude nová či modernizovaná transformovna, která se promítá do výsledků ve formě zvýšené kapacity (bezpečnost, odolnost a spolehlivost provozu).</w:t>
      </w:r>
    </w:p>
    <w:p w:rsidR="004C3774" w:rsidRPr="008B53A9" w:rsidRDefault="004C3774" w:rsidP="004C3774">
      <w:pPr>
        <w:pStyle w:val="Standardntext"/>
      </w:pPr>
      <w:r w:rsidRPr="008B53A9">
        <w:rPr>
          <w:b/>
        </w:rPr>
        <w:t xml:space="preserve">Hlavní cílová skupina: </w:t>
      </w:r>
      <w:r w:rsidR="00127389" w:rsidRPr="008B53A9">
        <w:t>P</w:t>
      </w:r>
      <w:r w:rsidR="00773FB8" w:rsidRPr="008B53A9">
        <w:t>rovozovatel přenosové soustavy, který se hodlá soustředit na modernizaci a rozvoj přenosové soustavy.</w:t>
      </w:r>
    </w:p>
    <w:p w:rsidR="004C3774" w:rsidRPr="008B53A9" w:rsidRDefault="004C3774" w:rsidP="004C3774">
      <w:pPr>
        <w:pStyle w:val="Standardntext"/>
      </w:pPr>
      <w:r w:rsidRPr="008B53A9">
        <w:rPr>
          <w:b/>
        </w:rPr>
        <w:t>Cílové území:</w:t>
      </w:r>
      <w:r w:rsidRPr="008B53A9">
        <w:t xml:space="preserve"> </w:t>
      </w:r>
      <w:r w:rsidR="001E0AA2" w:rsidRPr="008B53A9">
        <w:t>Území České republiky, mimo území hl. m. Prahy.</w:t>
      </w:r>
      <w:r w:rsidRPr="008B53A9">
        <w:t xml:space="preserve"> </w:t>
      </w:r>
      <w:r w:rsidR="00A46CD6" w:rsidRPr="008B53A9">
        <w:t>Předpokládá se plošné směrování intervencí bez vymezení územní dimenze</w:t>
      </w:r>
      <w:r w:rsidRPr="008B53A9">
        <w:t>.</w:t>
      </w:r>
    </w:p>
    <w:p w:rsidR="004C3774" w:rsidRPr="008B53A9" w:rsidRDefault="004C3774" w:rsidP="004C3774">
      <w:pPr>
        <w:pStyle w:val="Standardntext"/>
        <w:rPr>
          <w:b/>
        </w:rPr>
      </w:pPr>
      <w:r w:rsidRPr="008B53A9">
        <w:rPr>
          <w:b/>
        </w:rPr>
        <w:t xml:space="preserve">Typy příjemců: </w:t>
      </w:r>
      <w:r w:rsidR="00773FB8" w:rsidRPr="008B53A9">
        <w:t>Podnikatelsk</w:t>
      </w:r>
      <w:r w:rsidR="00FA6AB3" w:rsidRPr="008B53A9">
        <w:t xml:space="preserve">ý </w:t>
      </w:r>
      <w:r w:rsidR="00773FB8" w:rsidRPr="008B53A9">
        <w:t>subjekt (</w:t>
      </w:r>
      <w:r w:rsidR="00FA6AB3" w:rsidRPr="008B53A9">
        <w:t xml:space="preserve">provozovatel přenosové soustavy). </w:t>
      </w:r>
      <w:r w:rsidR="003D4D3F" w:rsidRPr="008B53A9">
        <w:t>Provozovatel přenosových sítí j</w:t>
      </w:r>
      <w:r w:rsidR="00FA6AB3" w:rsidRPr="008B53A9">
        <w:t xml:space="preserve">e </w:t>
      </w:r>
      <w:r w:rsidR="003D4D3F" w:rsidRPr="008B53A9">
        <w:t>z principu velk</w:t>
      </w:r>
      <w:r w:rsidR="00FA6AB3" w:rsidRPr="008B53A9">
        <w:t xml:space="preserve">ý </w:t>
      </w:r>
      <w:r w:rsidR="003D4D3F" w:rsidRPr="008B53A9">
        <w:t xml:space="preserve">podnik. Intervence v této oblasti tedy nelze realizovat v segmentu malých a středních firem. Přenosová soustava (páteřní část celé elektrizační soustavy) provozovaná na napěťových hladinách 400 a 220 kV zajišťuje přenos elektřiny po celém území České republiky a napájí elektřinou distribuční soustavy, které ji dále rozvádějí až ke konečným spotřebitelům. Do přenosové soustavy je připojena více </w:t>
      </w:r>
      <w:r w:rsidR="00D23729" w:rsidRPr="008B53A9">
        <w:t>než</w:t>
      </w:r>
      <w:r w:rsidR="003D4D3F" w:rsidRPr="008B53A9">
        <w:t xml:space="preserve"> polovina instalovaného výkonu elektráren ČR.</w:t>
      </w:r>
    </w:p>
    <w:p w:rsidR="004C3774" w:rsidRPr="008B53A9" w:rsidRDefault="004C3774" w:rsidP="005F43DF">
      <w:pPr>
        <w:pStyle w:val="Nadpis5"/>
        <w:numPr>
          <w:ilvl w:val="4"/>
          <w:numId w:val="77"/>
        </w:numPr>
      </w:pPr>
      <w:r w:rsidRPr="008B53A9">
        <w:lastRenderedPageBreak/>
        <w:t>Hlavní zásady pro výběr operací</w:t>
      </w:r>
    </w:p>
    <w:p w:rsidR="0042487A" w:rsidRPr="008B53A9" w:rsidRDefault="004C3774" w:rsidP="0042487A">
      <w:pPr>
        <w:pStyle w:val="Standardntext"/>
      </w:pPr>
      <w:r w:rsidRPr="008B53A9">
        <w:t xml:space="preserve">V rámci této investiční priority budou vyhlašovány výzvy na předkládání individuálních projektů. </w:t>
      </w:r>
      <w:r w:rsidR="00855A0B" w:rsidRPr="008B53A9">
        <w:t>Předložené projekty budou  nejdříve posuzovány ze strany řídícího orgánu / zprostředkujícího subjektu z pohledu jejich souladu s podmínkami daného programu podpory.</w:t>
      </w:r>
      <w:r w:rsidRPr="008B53A9">
        <w:t xml:space="preserve"> Projektové žádosti, které úspěšně projdou tímto procesem, bu</w:t>
      </w:r>
      <w:r w:rsidR="00773FB8" w:rsidRPr="008B53A9">
        <w:t xml:space="preserve">dou následně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kritérií odpovídajících charakteru jednotlivých specifických cílů. </w:t>
      </w:r>
      <w:r w:rsidR="00952A8B" w:rsidRPr="008B53A9">
        <w:t xml:space="preserve">Ve finální fázi hodnocení </w:t>
      </w:r>
      <w:r w:rsidRPr="008B53A9">
        <w:t>budou doporučené projekty posuzovány hodnotitelskou komisí, která bude tvořena zástupci ŘO a dalšími relevantními partnery a experty na danou problematiku</w:t>
      </w:r>
      <w:r w:rsidR="00467BD2" w:rsidRPr="008B53A9">
        <w:t xml:space="preserve">, popř. </w:t>
      </w:r>
      <w:r w:rsidRPr="008B53A9">
        <w:t>regionálními partnery</w:t>
      </w:r>
      <w:r w:rsidR="00467BD2" w:rsidRPr="008B53A9">
        <w:t xml:space="preserve">. </w:t>
      </w:r>
      <w:r w:rsidR="00C57EB7" w:rsidRPr="008B53A9">
        <w:t xml:space="preserve">Výběr </w:t>
      </w:r>
      <w:r w:rsidR="002730C3" w:rsidRPr="008B53A9">
        <w:t>odborných hodnotitelů</w:t>
      </w:r>
      <w:r w:rsidR="00C57EB7"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C57EB7" w:rsidRPr="008B53A9">
        <w:rPr>
          <w:rStyle w:val="Znakapoznpodarou"/>
        </w:rPr>
        <w:footnoteReference w:id="67"/>
      </w:r>
      <w:r w:rsidR="00C57EB7" w:rsidRPr="008B53A9">
        <w:t xml:space="preserve"> Hodnotitelé budou průběžně školeni tak, aby byl zajištěn jejich rovný přístup ke všem projektům. </w:t>
      </w:r>
      <w:r w:rsidR="0042487A" w:rsidRPr="008B53A9">
        <w:t>Tento systém bude nastaven maximálně transparentně, s cílem zajistit kvalitní a objektivní hodnocení projektů, a realizací schválených projektů dosažení stanovených cílů programu.</w:t>
      </w:r>
    </w:p>
    <w:p w:rsidR="00C0640C" w:rsidRPr="008B53A9" w:rsidRDefault="00C0640C" w:rsidP="00C0640C">
      <w:pPr>
        <w:pStyle w:val="Standardntext"/>
      </w:pPr>
      <w:r w:rsidRPr="008B53A9">
        <w:t>V rámci výběru a hodnocení projektů budou posuzována především následující kritéria:</w:t>
      </w:r>
    </w:p>
    <w:p w:rsidR="00C0640C" w:rsidRPr="008B53A9" w:rsidRDefault="00C0640C" w:rsidP="005F43DF">
      <w:pPr>
        <w:pStyle w:val="Standardntext"/>
        <w:numPr>
          <w:ilvl w:val="0"/>
          <w:numId w:val="44"/>
        </w:numPr>
      </w:pPr>
      <w:r w:rsidRPr="008B53A9">
        <w:t xml:space="preserve">Kvalita a potřebnost projektu </w:t>
      </w:r>
      <w:r w:rsidR="00DC4382" w:rsidRPr="008B53A9">
        <w:t>s ohledem na jeho přínosy k energetické bezpečnosti</w:t>
      </w:r>
      <w:r w:rsidRPr="008B53A9">
        <w:t>.</w:t>
      </w:r>
    </w:p>
    <w:p w:rsidR="00C0640C" w:rsidRPr="008B53A9" w:rsidRDefault="00C0640C"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C0640C" w:rsidRPr="008B53A9" w:rsidRDefault="00C0640C" w:rsidP="005F43DF">
      <w:pPr>
        <w:pStyle w:val="Standardntext"/>
        <w:numPr>
          <w:ilvl w:val="0"/>
          <w:numId w:val="44"/>
        </w:numPr>
      </w:pPr>
      <w:r w:rsidRPr="008B53A9">
        <w:t>Žadatel nesmí mít právní formu akciové společnosti s listinnými akciemi na majitele.</w:t>
      </w:r>
    </w:p>
    <w:p w:rsidR="004C3774" w:rsidRPr="008B53A9" w:rsidRDefault="004C3774" w:rsidP="005F43DF">
      <w:pPr>
        <w:pStyle w:val="Nadpis5"/>
        <w:numPr>
          <w:ilvl w:val="4"/>
          <w:numId w:val="77"/>
        </w:numPr>
        <w:rPr>
          <w:rFonts w:cs="Calibri"/>
        </w:rPr>
      </w:pPr>
      <w:r w:rsidRPr="008B53A9">
        <w:t>Plánované využití finančních nástrojů (použije-li se)</w:t>
      </w:r>
    </w:p>
    <w:p w:rsidR="004C3774" w:rsidRPr="008B53A9" w:rsidRDefault="000373F5" w:rsidP="004C3774">
      <w:pPr>
        <w:pStyle w:val="Standardntext"/>
      </w:pPr>
      <w:r w:rsidRPr="008B53A9">
        <w:t>Řídící orgán nepředpokládá využití finančních nástrojů v této investiční prioritě. Případné odchylky stanoví konečná verze předběžného posouzení finančních nástrojů OP PIK dle čl. 37 odst. 2 obecného nařízení, které provede ŘO OP PIK, případně jeho revize podle čl. 37 odst. 2 písm. g) obecného nařízení.</w:t>
      </w:r>
    </w:p>
    <w:p w:rsidR="004C3774" w:rsidRPr="008B53A9" w:rsidRDefault="004C3774" w:rsidP="005F43DF">
      <w:pPr>
        <w:pStyle w:val="Nadpis5"/>
        <w:numPr>
          <w:ilvl w:val="4"/>
          <w:numId w:val="77"/>
        </w:numPr>
      </w:pPr>
      <w:r w:rsidRPr="008B53A9">
        <w:t>Plánované využití velkých projektů (použije-li se)</w:t>
      </w:r>
    </w:p>
    <w:p w:rsidR="004C3774" w:rsidRPr="008B53A9" w:rsidRDefault="004C3774" w:rsidP="004C3774">
      <w:pPr>
        <w:pStyle w:val="Standardntext"/>
      </w:pPr>
      <w:r w:rsidRPr="008B53A9">
        <w:t>Velké projekty ve smyslu čl. 100 obecného nařízení nejsou plánovány.</w:t>
      </w:r>
    </w:p>
    <w:p w:rsidR="004C3774" w:rsidRPr="008B53A9" w:rsidRDefault="004C3774" w:rsidP="00DE2376">
      <w:pPr>
        <w:pStyle w:val="Nadpis5"/>
        <w:numPr>
          <w:ilvl w:val="4"/>
          <w:numId w:val="77"/>
        </w:numPr>
      </w:pPr>
      <w:r w:rsidRPr="008B53A9">
        <w:lastRenderedPageBreak/>
        <w:t>Ukazatele výstupů podle investiční priority a případně podle kategorie regionů</w:t>
      </w:r>
    </w:p>
    <w:p w:rsidR="004C3774" w:rsidRPr="008B53A9" w:rsidRDefault="004C3774" w:rsidP="00DE2376">
      <w:pPr>
        <w:pStyle w:val="Titulek"/>
        <w:keepNext/>
        <w:keepLines/>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Společné a programově specifické ukazatele výstupů</w:t>
      </w:r>
    </w:p>
    <w:tbl>
      <w:tblPr>
        <w:tblW w:w="0" w:type="auto"/>
        <w:tblCellMar>
          <w:left w:w="57" w:type="dxa"/>
          <w:right w:w="57" w:type="dxa"/>
        </w:tblCellMar>
        <w:tblLook w:val="01E0" w:firstRow="1" w:lastRow="1" w:firstColumn="1" w:lastColumn="1" w:noHBand="0" w:noVBand="0"/>
      </w:tblPr>
      <w:tblGrid>
        <w:gridCol w:w="664"/>
        <w:gridCol w:w="2478"/>
        <w:gridCol w:w="1079"/>
        <w:gridCol w:w="665"/>
        <w:gridCol w:w="1272"/>
        <w:gridCol w:w="1138"/>
        <w:gridCol w:w="782"/>
        <w:gridCol w:w="1248"/>
      </w:tblGrid>
      <w:tr w:rsidR="004C3774" w:rsidRPr="008B53A9">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DE2376">
            <w:pPr>
              <w:pStyle w:val="Tabulka"/>
              <w:keepNext/>
              <w:keepLines/>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DE2376">
            <w:pPr>
              <w:pStyle w:val="Tabulka"/>
              <w:keepNext/>
              <w:keepLines/>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DE2376">
            <w:pPr>
              <w:pStyle w:val="Tabulka"/>
              <w:keepNext/>
              <w:keepLines/>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DE2376">
            <w:pPr>
              <w:pStyle w:val="Tabulka"/>
              <w:keepNext/>
              <w:keepLines/>
              <w:rPr>
                <w:rFonts w:cs="Calibri"/>
                <w:b/>
                <w:lang w:val="cs-CZ" w:eastAsia="cs-CZ"/>
              </w:rPr>
            </w:pPr>
            <w:r w:rsidRPr="008B53A9">
              <w:rPr>
                <w:rFonts w:cs="Calibri"/>
                <w:b/>
                <w:lang w:val="cs-CZ" w:eastAsia="cs-CZ"/>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DE2376">
            <w:pPr>
              <w:pStyle w:val="Tabulka"/>
              <w:keepNext/>
              <w:keepLines/>
              <w:rPr>
                <w:rFonts w:cs="Calibri"/>
                <w:b/>
                <w:lang w:val="cs-CZ" w:eastAsia="cs-CZ"/>
              </w:rPr>
            </w:pPr>
            <w:r w:rsidRPr="008B53A9">
              <w:rPr>
                <w:rFonts w:cs="Calibri"/>
                <w:b/>
                <w:lang w:val="cs-CZ" w:eastAsia="cs-CZ"/>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DE2376">
            <w:pPr>
              <w:pStyle w:val="Tabulka"/>
              <w:keepNext/>
              <w:keepLines/>
              <w:rPr>
                <w:rFonts w:cs="Calibri"/>
                <w:b/>
                <w:lang w:val="cs-CZ" w:eastAsia="cs-CZ"/>
              </w:rPr>
            </w:pPr>
            <w:r w:rsidRPr="008B53A9">
              <w:rPr>
                <w:rFonts w:cs="Calibri"/>
                <w:b/>
                <w:lang w:val="cs-CZ" w:eastAsia="cs-CZ"/>
              </w:rPr>
              <w:t>Cílová hodnota</w:t>
            </w:r>
            <w:r w:rsidR="00956C4F" w:rsidRPr="008B53A9">
              <w:rPr>
                <w:rFonts w:cs="Calibri"/>
                <w:b/>
                <w:lang w:val="cs-CZ" w:eastAsia="cs-CZ"/>
              </w:rPr>
              <w:t xml:space="preserve"> </w:t>
            </w:r>
            <w:r w:rsidRPr="008B53A9">
              <w:rPr>
                <w:rFonts w:cs="Calibri"/>
                <w:b/>
                <w:lang w:val="cs-CZ" w:eastAsia="cs-CZ"/>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DE2376">
            <w:pPr>
              <w:pStyle w:val="Tabulka"/>
              <w:keepNext/>
              <w:keepLines/>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4C3774" w:rsidRPr="008B53A9" w:rsidRDefault="004C3774" w:rsidP="00DE2376">
            <w:pPr>
              <w:pStyle w:val="Tabulka"/>
              <w:keepNext/>
              <w:keepLines/>
              <w:rPr>
                <w:rFonts w:cs="Calibri"/>
                <w:b/>
                <w:lang w:val="cs-CZ" w:eastAsia="cs-CZ"/>
              </w:rPr>
            </w:pPr>
            <w:r w:rsidRPr="008B53A9">
              <w:rPr>
                <w:rFonts w:cs="Calibri"/>
                <w:b/>
                <w:lang w:val="cs-CZ" w:eastAsia="cs-CZ"/>
              </w:rPr>
              <w:t>Četnost podávání zpráv</w:t>
            </w:r>
          </w:p>
        </w:tc>
      </w:tr>
      <w:tr w:rsidR="004C3774"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4C3774" w:rsidRPr="008B53A9" w:rsidRDefault="00AF5135" w:rsidP="00957169">
            <w:pPr>
              <w:pStyle w:val="Tabulka"/>
              <w:rPr>
                <w:rFonts w:cs="Calibri"/>
                <w:lang w:val="cs-CZ" w:eastAsia="cs-CZ"/>
              </w:rPr>
            </w:pPr>
            <w:r w:rsidRPr="008B53A9">
              <w:rPr>
                <w:rFonts w:cs="Calibri"/>
                <w:lang w:val="cs-CZ" w:eastAsia="cs-CZ"/>
              </w:rPr>
              <w:t>33500</w:t>
            </w:r>
          </w:p>
        </w:tc>
        <w:tc>
          <w:tcPr>
            <w:tcW w:w="0" w:type="auto"/>
            <w:tcBorders>
              <w:top w:val="single" w:sz="4" w:space="0" w:color="000000"/>
              <w:left w:val="single" w:sz="4" w:space="0" w:color="000000"/>
              <w:bottom w:val="single" w:sz="4" w:space="0" w:color="000000"/>
              <w:right w:val="single" w:sz="4" w:space="0" w:color="000000"/>
            </w:tcBorders>
            <w:vAlign w:val="center"/>
          </w:tcPr>
          <w:p w:rsidR="004C3774" w:rsidRPr="008B53A9" w:rsidRDefault="00DE4146" w:rsidP="00957169">
            <w:pPr>
              <w:pStyle w:val="Tabulka"/>
              <w:jc w:val="left"/>
              <w:rPr>
                <w:rFonts w:cs="Calibri"/>
                <w:lang w:val="cs-CZ" w:eastAsia="cs-CZ"/>
              </w:rPr>
            </w:pPr>
            <w:r w:rsidRPr="008B53A9">
              <w:rPr>
                <w:rFonts w:cs="Calibri"/>
                <w:lang w:val="cs-CZ" w:eastAsia="cs-CZ"/>
              </w:rPr>
              <w:t>Počet komplexních opatření na</w:t>
            </w:r>
            <w:r w:rsidR="00FB1FBF" w:rsidRPr="008B53A9">
              <w:rPr>
                <w:rFonts w:cs="Calibri"/>
                <w:lang w:val="cs-CZ" w:eastAsia="cs-CZ"/>
              </w:rPr>
              <w:t xml:space="preserve"> posílení energetické bezpečnosti přenosové soustavy</w:t>
            </w:r>
          </w:p>
        </w:tc>
        <w:tc>
          <w:tcPr>
            <w:tcW w:w="0" w:type="auto"/>
            <w:tcBorders>
              <w:top w:val="single" w:sz="4" w:space="0" w:color="000000"/>
              <w:left w:val="single" w:sz="4" w:space="0" w:color="000000"/>
              <w:bottom w:val="single" w:sz="4" w:space="0" w:color="000000"/>
              <w:right w:val="single" w:sz="4" w:space="0" w:color="000000"/>
            </w:tcBorders>
            <w:vAlign w:val="center"/>
          </w:tcPr>
          <w:p w:rsidR="004C3774" w:rsidRPr="008B53A9" w:rsidRDefault="00DE4146" w:rsidP="00957169">
            <w:pPr>
              <w:pStyle w:val="Tabulka"/>
              <w:rPr>
                <w:rFonts w:cs="Calibri"/>
                <w:lang w:val="cs-CZ" w:eastAsia="cs-CZ"/>
              </w:rPr>
            </w:pPr>
            <w:r w:rsidRPr="008B53A9">
              <w:rPr>
                <w:rFonts w:cs="Calibri"/>
                <w:lang w:val="cs-CZ" w:eastAsia="cs-CZ"/>
              </w:rPr>
              <w:t>opatření</w:t>
            </w:r>
          </w:p>
        </w:tc>
        <w:tc>
          <w:tcPr>
            <w:tcW w:w="0" w:type="auto"/>
            <w:tcBorders>
              <w:top w:val="single" w:sz="4" w:space="0" w:color="000000"/>
              <w:left w:val="single" w:sz="4" w:space="0" w:color="000000"/>
              <w:bottom w:val="single" w:sz="4" w:space="0" w:color="000000"/>
              <w:right w:val="single" w:sz="4" w:space="0" w:color="000000"/>
            </w:tcBorders>
            <w:vAlign w:val="center"/>
          </w:tcPr>
          <w:p w:rsidR="004C3774" w:rsidRPr="008B53A9" w:rsidRDefault="004C3774" w:rsidP="00957169">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4C3774" w:rsidRPr="008B53A9" w:rsidRDefault="004C3774" w:rsidP="00957169">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4C3774" w:rsidRPr="008B53A9" w:rsidRDefault="00FB1FBF" w:rsidP="00957169">
            <w:pPr>
              <w:pStyle w:val="Tabulka"/>
              <w:rPr>
                <w:rFonts w:cs="Calibri"/>
                <w:lang w:val="cs-CZ" w:eastAsia="cs-CZ"/>
              </w:rPr>
            </w:pPr>
            <w:r w:rsidRPr="008B53A9">
              <w:rPr>
                <w:rFonts w:cs="Calibri"/>
                <w:lang w:val="cs-CZ" w:eastAsia="cs-CZ"/>
              </w:rPr>
              <w:t>15</w:t>
            </w:r>
          </w:p>
        </w:tc>
        <w:tc>
          <w:tcPr>
            <w:tcW w:w="0" w:type="auto"/>
            <w:tcBorders>
              <w:top w:val="single" w:sz="4" w:space="0" w:color="000000"/>
              <w:left w:val="single" w:sz="4" w:space="0" w:color="000000"/>
              <w:bottom w:val="single" w:sz="4" w:space="0" w:color="000000"/>
              <w:right w:val="single" w:sz="4" w:space="0" w:color="000000"/>
            </w:tcBorders>
            <w:vAlign w:val="center"/>
          </w:tcPr>
          <w:p w:rsidR="004C3774" w:rsidRPr="008B53A9" w:rsidRDefault="002163C8" w:rsidP="00957169">
            <w:pPr>
              <w:pStyle w:val="Tabulka"/>
              <w:rPr>
                <w:rFonts w:cs="Calibri"/>
                <w:lang w:val="cs-CZ" w:eastAsia="cs-CZ"/>
              </w:rPr>
            </w:pPr>
            <w:r w:rsidRPr="008B53A9">
              <w:rPr>
                <w:rFonts w:cs="Calibri"/>
                <w:lang w:val="cs-CZ" w:eastAsia="cs-CZ"/>
              </w:rPr>
              <w:t>Ž/P</w:t>
            </w:r>
          </w:p>
        </w:tc>
        <w:tc>
          <w:tcPr>
            <w:tcW w:w="0" w:type="auto"/>
            <w:tcBorders>
              <w:top w:val="single" w:sz="4" w:space="0" w:color="000000"/>
              <w:left w:val="single" w:sz="4" w:space="0" w:color="000000"/>
              <w:bottom w:val="single" w:sz="4" w:space="0" w:color="000000"/>
              <w:right w:val="single" w:sz="4" w:space="0" w:color="000000"/>
            </w:tcBorders>
            <w:vAlign w:val="center"/>
          </w:tcPr>
          <w:p w:rsidR="004C3774" w:rsidRPr="008B53A9" w:rsidRDefault="004C3774" w:rsidP="00957169">
            <w:pPr>
              <w:pStyle w:val="Tabulka"/>
              <w:rPr>
                <w:rFonts w:cs="Calibri"/>
                <w:lang w:val="cs-CZ" w:eastAsia="cs-CZ"/>
              </w:rPr>
            </w:pPr>
            <w:r w:rsidRPr="008B53A9">
              <w:rPr>
                <w:rFonts w:cs="Calibri"/>
                <w:lang w:val="cs-CZ" w:eastAsia="cs-CZ"/>
              </w:rPr>
              <w:t>průběžně</w:t>
            </w:r>
          </w:p>
        </w:tc>
      </w:tr>
    </w:tbl>
    <w:p w:rsidR="00B53995" w:rsidRPr="008B53A9" w:rsidRDefault="00B53995" w:rsidP="005F43DF">
      <w:pPr>
        <w:pStyle w:val="kapitola2A0"/>
        <w:numPr>
          <w:ilvl w:val="2"/>
          <w:numId w:val="74"/>
        </w:numPr>
      </w:pPr>
      <w:bookmarkStart w:id="81" w:name="_Toc391539647"/>
      <w:r w:rsidRPr="008B53A9">
        <w:t>Sociální inovace, nadnárodní spolupráce a přínos k tematickým cílům 1 až 7</w:t>
      </w:r>
      <w:bookmarkEnd w:id="81"/>
    </w:p>
    <w:p w:rsidR="004126CC" w:rsidRPr="008B53A9" w:rsidRDefault="006B6307" w:rsidP="008A5FCE">
      <w:pPr>
        <w:pStyle w:val="Standardntext"/>
        <w:sectPr w:rsidR="004126CC" w:rsidRPr="008B53A9" w:rsidSect="004126CC">
          <w:headerReference w:type="default" r:id="rId29"/>
          <w:footerReference w:type="default" r:id="rId30"/>
          <w:pgSz w:w="11906" w:h="16838"/>
          <w:pgMar w:top="1418" w:right="1276" w:bottom="1276" w:left="1418" w:header="709" w:footer="709" w:gutter="0"/>
          <w:cols w:space="708"/>
          <w:docGrid w:linePitch="272"/>
        </w:sectPr>
      </w:pPr>
      <w:r w:rsidRPr="008B53A9">
        <w:t>Není relevantní pro OP PIK.</w:t>
      </w:r>
    </w:p>
    <w:p w:rsidR="00B53995" w:rsidRPr="008B53A9" w:rsidRDefault="00B53995" w:rsidP="005F43DF">
      <w:pPr>
        <w:pStyle w:val="kapitola2A0"/>
        <w:numPr>
          <w:ilvl w:val="2"/>
          <w:numId w:val="74"/>
        </w:numPr>
      </w:pPr>
      <w:bookmarkStart w:id="82" w:name="_Toc391539648"/>
      <w:r w:rsidRPr="008B53A9">
        <w:lastRenderedPageBreak/>
        <w:t>Výkonnostní rámec</w:t>
      </w:r>
      <w:bookmarkEnd w:id="82"/>
    </w:p>
    <w:p w:rsidR="00F7325F" w:rsidRPr="008B53A9" w:rsidRDefault="00F7325F" w:rsidP="007E38FF">
      <w:pPr>
        <w:pStyle w:val="Titulek"/>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6</w:t>
      </w:r>
      <w:r w:rsidR="00C3289B" w:rsidRPr="008B53A9">
        <w:rPr>
          <w:noProof/>
        </w:rPr>
        <w:fldChar w:fldCharType="end"/>
      </w:r>
      <w:r w:rsidRPr="008B53A9">
        <w:t xml:space="preserve">: </w:t>
      </w:r>
      <w:r w:rsidR="00AC6E26" w:rsidRPr="008B53A9">
        <w:t>Výkonnostní rámec prioritní osy</w:t>
      </w:r>
      <w:r w:rsidRPr="008B53A9">
        <w:t xml:space="preserve"> </w:t>
      </w:r>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4"/>
        <w:gridCol w:w="1820"/>
        <w:gridCol w:w="1154"/>
        <w:gridCol w:w="1433"/>
        <w:gridCol w:w="1054"/>
        <w:gridCol w:w="767"/>
        <w:gridCol w:w="1168"/>
        <w:gridCol w:w="1132"/>
        <w:gridCol w:w="1561"/>
        <w:gridCol w:w="709"/>
        <w:gridCol w:w="2577"/>
      </w:tblGrid>
      <w:tr w:rsidR="00AE32DE" w:rsidRPr="008B53A9">
        <w:tc>
          <w:tcPr>
            <w:tcW w:w="0" w:type="auto"/>
            <w:shd w:val="clear" w:color="auto" w:fill="B8CCE4"/>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Prioritní osa</w:t>
            </w:r>
          </w:p>
        </w:tc>
        <w:tc>
          <w:tcPr>
            <w:tcW w:w="1820" w:type="dxa"/>
            <w:shd w:val="clear" w:color="auto" w:fill="B8CCE4"/>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Typ ukazatele</w:t>
            </w:r>
          </w:p>
          <w:p w:rsidR="00AE32DE" w:rsidRPr="008B53A9" w:rsidRDefault="00AE32DE" w:rsidP="00956C4F">
            <w:pPr>
              <w:pStyle w:val="Tabulka"/>
              <w:keepNext/>
              <w:keepLines/>
              <w:rPr>
                <w:rFonts w:cs="Calibri"/>
                <w:b/>
                <w:lang w:val="cs-CZ" w:eastAsia="cs-CZ"/>
              </w:rPr>
            </w:pPr>
            <w:r w:rsidRPr="008B53A9">
              <w:rPr>
                <w:rFonts w:cs="Calibri"/>
                <w:b/>
                <w:lang w:val="cs-CZ" w:eastAsia="cs-CZ"/>
              </w:rPr>
              <w:t>(klíčový krok provádění, finanční výstup nebo popřípadě ukazatel výsledků)</w:t>
            </w:r>
          </w:p>
        </w:tc>
        <w:tc>
          <w:tcPr>
            <w:tcW w:w="518" w:type="dxa"/>
            <w:shd w:val="clear" w:color="auto" w:fill="B8CCE4"/>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ID</w:t>
            </w:r>
          </w:p>
        </w:tc>
        <w:tc>
          <w:tcPr>
            <w:tcW w:w="0" w:type="auto"/>
            <w:shd w:val="clear" w:color="auto" w:fill="B8CCE4"/>
            <w:tcMar>
              <w:top w:w="0" w:type="dxa"/>
              <w:left w:w="108" w:type="dxa"/>
              <w:bottom w:w="0" w:type="dxa"/>
              <w:right w:w="108" w:type="dxa"/>
            </w:tcMar>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Ukazatel nebo klíčový krok provádění</w:t>
            </w:r>
          </w:p>
        </w:tc>
        <w:tc>
          <w:tcPr>
            <w:tcW w:w="0" w:type="auto"/>
            <w:shd w:val="clear" w:color="auto" w:fill="B8CCE4"/>
            <w:tcMar>
              <w:top w:w="0" w:type="dxa"/>
              <w:left w:w="108" w:type="dxa"/>
              <w:bottom w:w="0" w:type="dxa"/>
              <w:right w:w="108" w:type="dxa"/>
            </w:tcMar>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Měrná jednotka (použije-li se)</w:t>
            </w:r>
          </w:p>
        </w:tc>
        <w:tc>
          <w:tcPr>
            <w:tcW w:w="0" w:type="auto"/>
            <w:shd w:val="clear" w:color="auto" w:fill="B8CCE4"/>
            <w:tcMar>
              <w:top w:w="0" w:type="dxa"/>
              <w:left w:w="108" w:type="dxa"/>
              <w:bottom w:w="0" w:type="dxa"/>
              <w:right w:w="108" w:type="dxa"/>
            </w:tcMar>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Fond</w:t>
            </w:r>
          </w:p>
        </w:tc>
        <w:tc>
          <w:tcPr>
            <w:tcW w:w="1168" w:type="dxa"/>
            <w:shd w:val="clear" w:color="auto" w:fill="B8CCE4"/>
            <w:tcMar>
              <w:top w:w="0" w:type="dxa"/>
              <w:left w:w="108" w:type="dxa"/>
              <w:bottom w:w="0" w:type="dxa"/>
              <w:right w:w="108" w:type="dxa"/>
            </w:tcMar>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Kategorie regionů</w:t>
            </w:r>
          </w:p>
        </w:tc>
        <w:tc>
          <w:tcPr>
            <w:tcW w:w="1132" w:type="dxa"/>
            <w:shd w:val="clear" w:color="auto" w:fill="B8CCE4"/>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Milník pro rok 2018</w:t>
            </w:r>
          </w:p>
        </w:tc>
        <w:tc>
          <w:tcPr>
            <w:tcW w:w="1561" w:type="dxa"/>
            <w:shd w:val="clear" w:color="auto" w:fill="B8CCE4"/>
            <w:tcMar>
              <w:top w:w="0" w:type="dxa"/>
              <w:left w:w="108" w:type="dxa"/>
              <w:bottom w:w="0" w:type="dxa"/>
              <w:right w:w="108" w:type="dxa"/>
            </w:tcMar>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Konečný cíl (2023)</w:t>
            </w:r>
          </w:p>
        </w:tc>
        <w:tc>
          <w:tcPr>
            <w:tcW w:w="709" w:type="dxa"/>
            <w:shd w:val="clear" w:color="auto" w:fill="B8CCE4"/>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Zdroj dat</w:t>
            </w:r>
          </w:p>
        </w:tc>
        <w:tc>
          <w:tcPr>
            <w:tcW w:w="2577" w:type="dxa"/>
            <w:shd w:val="clear" w:color="auto" w:fill="B8CCE4"/>
            <w:vAlign w:val="center"/>
          </w:tcPr>
          <w:p w:rsidR="00AE32DE" w:rsidRPr="008B53A9" w:rsidRDefault="00AE32DE" w:rsidP="00956C4F">
            <w:pPr>
              <w:pStyle w:val="Tabulka"/>
              <w:keepNext/>
              <w:keepLines/>
              <w:rPr>
                <w:rFonts w:cs="Calibri"/>
                <w:b/>
                <w:lang w:val="cs-CZ" w:eastAsia="cs-CZ"/>
              </w:rPr>
            </w:pPr>
            <w:r w:rsidRPr="008B53A9">
              <w:rPr>
                <w:rFonts w:cs="Calibri"/>
                <w:b/>
                <w:lang w:val="cs-CZ" w:eastAsia="cs-CZ"/>
              </w:rPr>
              <w:t>Popřípadě vysvětlení relevantnosti ukazatele</w:t>
            </w:r>
          </w:p>
        </w:tc>
      </w:tr>
      <w:tr w:rsidR="00AE32DE" w:rsidRPr="008B53A9">
        <w:trPr>
          <w:trHeight w:val="1107"/>
        </w:trPr>
        <w:tc>
          <w:tcPr>
            <w:tcW w:w="0" w:type="auto"/>
            <w:vAlign w:val="center"/>
          </w:tcPr>
          <w:p w:rsidR="00AE32DE" w:rsidRPr="008B53A9" w:rsidRDefault="00AE32DE" w:rsidP="00956C4F">
            <w:pPr>
              <w:pStyle w:val="Tabulka"/>
              <w:rPr>
                <w:rFonts w:cs="Calibri"/>
                <w:lang w:val="cs-CZ" w:eastAsia="cs-CZ"/>
              </w:rPr>
            </w:pPr>
            <w:r w:rsidRPr="008B53A9">
              <w:rPr>
                <w:rFonts w:cs="Calibri"/>
                <w:lang w:val="cs-CZ" w:eastAsia="cs-CZ"/>
              </w:rPr>
              <w:t>PO 3</w:t>
            </w:r>
          </w:p>
        </w:tc>
        <w:tc>
          <w:tcPr>
            <w:tcW w:w="1820" w:type="dxa"/>
            <w:vAlign w:val="center"/>
          </w:tcPr>
          <w:p w:rsidR="00AE32DE" w:rsidRPr="008B53A9" w:rsidRDefault="00AE32DE" w:rsidP="00956C4F">
            <w:pPr>
              <w:pStyle w:val="Tabulka"/>
              <w:rPr>
                <w:rFonts w:cs="Calibri"/>
                <w:lang w:val="cs-CZ" w:eastAsia="cs-CZ"/>
              </w:rPr>
            </w:pPr>
            <w:r w:rsidRPr="008B53A9">
              <w:rPr>
                <w:rFonts w:cs="Calibri"/>
                <w:lang w:val="cs-CZ" w:eastAsia="cs-CZ"/>
              </w:rPr>
              <w:t>finanční</w:t>
            </w:r>
          </w:p>
        </w:tc>
        <w:tc>
          <w:tcPr>
            <w:tcW w:w="518" w:type="dxa"/>
            <w:vAlign w:val="center"/>
          </w:tcPr>
          <w:p w:rsidR="00AE32DE" w:rsidRPr="008B53A9" w:rsidRDefault="005823A6" w:rsidP="00956C4F">
            <w:pPr>
              <w:pStyle w:val="Tabulka"/>
              <w:rPr>
                <w:rFonts w:cs="Calibri"/>
                <w:lang w:val="cs-CZ" w:eastAsia="cs-CZ"/>
              </w:rPr>
            </w:pPr>
            <w:r w:rsidRPr="008B53A9">
              <w:rPr>
                <w:rFonts w:cs="Calibri"/>
                <w:lang w:val="cs-CZ" w:eastAsia="cs-CZ"/>
              </w:rPr>
              <w:t>N/A</w:t>
            </w:r>
          </w:p>
        </w:tc>
        <w:tc>
          <w:tcPr>
            <w:tcW w:w="0" w:type="auto"/>
            <w:shd w:val="clear" w:color="auto" w:fill="auto"/>
            <w:tcMar>
              <w:top w:w="0" w:type="dxa"/>
              <w:left w:w="108" w:type="dxa"/>
              <w:bottom w:w="0" w:type="dxa"/>
              <w:right w:w="108" w:type="dxa"/>
            </w:tcMar>
            <w:vAlign w:val="center"/>
          </w:tcPr>
          <w:p w:rsidR="00AE32DE" w:rsidRPr="008B53A9" w:rsidRDefault="000620DB" w:rsidP="00956C4F">
            <w:pPr>
              <w:pStyle w:val="Tabulka"/>
              <w:rPr>
                <w:rFonts w:cs="Calibri"/>
                <w:lang w:val="cs-CZ" w:eastAsia="cs-CZ"/>
              </w:rPr>
            </w:pPr>
            <w:r w:rsidRPr="008B53A9">
              <w:rPr>
                <w:rFonts w:cs="Calibri"/>
                <w:lang w:val="cs-CZ" w:eastAsia="cs-CZ"/>
              </w:rPr>
              <w:t>Certifikované finanční prostředky</w:t>
            </w:r>
          </w:p>
        </w:tc>
        <w:tc>
          <w:tcPr>
            <w:tcW w:w="0" w:type="auto"/>
            <w:shd w:val="clear" w:color="auto" w:fill="auto"/>
            <w:tcMar>
              <w:top w:w="0" w:type="dxa"/>
              <w:left w:w="108" w:type="dxa"/>
              <w:bottom w:w="0" w:type="dxa"/>
              <w:right w:w="108" w:type="dxa"/>
            </w:tcMar>
            <w:vAlign w:val="center"/>
          </w:tcPr>
          <w:p w:rsidR="00AE32DE" w:rsidRPr="008B53A9" w:rsidRDefault="00AE32DE" w:rsidP="00956C4F">
            <w:pPr>
              <w:pStyle w:val="Tabulka"/>
              <w:rPr>
                <w:rFonts w:cs="Calibri"/>
                <w:lang w:val="cs-CZ" w:eastAsia="cs-CZ"/>
              </w:rPr>
            </w:pPr>
            <w:r w:rsidRPr="008B53A9">
              <w:rPr>
                <w:rFonts w:cs="Calibri"/>
                <w:lang w:val="cs-CZ" w:eastAsia="cs-CZ"/>
              </w:rPr>
              <w:t>EUR</w:t>
            </w:r>
          </w:p>
        </w:tc>
        <w:tc>
          <w:tcPr>
            <w:tcW w:w="0" w:type="auto"/>
            <w:shd w:val="clear" w:color="auto" w:fill="auto"/>
            <w:tcMar>
              <w:top w:w="0" w:type="dxa"/>
              <w:left w:w="108" w:type="dxa"/>
              <w:bottom w:w="0" w:type="dxa"/>
              <w:right w:w="108" w:type="dxa"/>
            </w:tcMar>
            <w:vAlign w:val="center"/>
          </w:tcPr>
          <w:p w:rsidR="00AE32DE" w:rsidRPr="008B53A9" w:rsidRDefault="00AE32DE" w:rsidP="00956C4F">
            <w:pPr>
              <w:pStyle w:val="Tabulka"/>
              <w:rPr>
                <w:rFonts w:cs="Calibri"/>
                <w:lang w:val="cs-CZ" w:eastAsia="cs-CZ"/>
              </w:rPr>
            </w:pPr>
            <w:r w:rsidRPr="008B53A9">
              <w:rPr>
                <w:rFonts w:cs="Calibri"/>
                <w:lang w:val="cs-CZ" w:eastAsia="cs-CZ"/>
              </w:rPr>
              <w:t>EFRR</w:t>
            </w:r>
          </w:p>
        </w:tc>
        <w:tc>
          <w:tcPr>
            <w:tcW w:w="1168" w:type="dxa"/>
            <w:shd w:val="clear" w:color="auto" w:fill="auto"/>
            <w:tcMar>
              <w:top w:w="0" w:type="dxa"/>
              <w:left w:w="108" w:type="dxa"/>
              <w:bottom w:w="0" w:type="dxa"/>
              <w:right w:w="108" w:type="dxa"/>
            </w:tcMar>
            <w:vAlign w:val="center"/>
          </w:tcPr>
          <w:p w:rsidR="00AE32DE" w:rsidRPr="008B53A9" w:rsidRDefault="00AE32DE" w:rsidP="00956C4F">
            <w:pPr>
              <w:pStyle w:val="Tabulka"/>
              <w:rPr>
                <w:rFonts w:cs="Calibri"/>
                <w:lang w:val="cs-CZ" w:eastAsia="cs-CZ"/>
              </w:rPr>
            </w:pPr>
            <w:r w:rsidRPr="008B53A9">
              <w:rPr>
                <w:rFonts w:cs="Calibri"/>
                <w:lang w:val="cs-CZ" w:eastAsia="cs-CZ"/>
              </w:rPr>
              <w:t>Méně rozvinuté regiony</w:t>
            </w:r>
          </w:p>
        </w:tc>
        <w:tc>
          <w:tcPr>
            <w:tcW w:w="1132" w:type="dxa"/>
            <w:vAlign w:val="center"/>
          </w:tcPr>
          <w:p w:rsidR="00AE32DE" w:rsidRPr="008B53A9" w:rsidRDefault="00A12802" w:rsidP="00956C4F">
            <w:pPr>
              <w:pStyle w:val="Tabulka"/>
              <w:rPr>
                <w:rFonts w:cs="Calibri"/>
                <w:lang w:val="cs-CZ" w:eastAsia="cs-CZ"/>
              </w:rPr>
            </w:pPr>
            <w:r w:rsidRPr="008B53A9">
              <w:rPr>
                <w:rFonts w:cs="Calibri"/>
                <w:lang w:val="cs-CZ" w:eastAsia="cs-CZ"/>
              </w:rPr>
              <w:t>200 000 000</w:t>
            </w:r>
          </w:p>
        </w:tc>
        <w:tc>
          <w:tcPr>
            <w:tcW w:w="1561" w:type="dxa"/>
            <w:shd w:val="clear" w:color="auto" w:fill="auto"/>
            <w:tcMar>
              <w:top w:w="0" w:type="dxa"/>
              <w:left w:w="108" w:type="dxa"/>
              <w:bottom w:w="0" w:type="dxa"/>
              <w:right w:w="108" w:type="dxa"/>
            </w:tcMar>
            <w:vAlign w:val="center"/>
          </w:tcPr>
          <w:p w:rsidR="00AE32DE" w:rsidRPr="008B53A9" w:rsidRDefault="003F1172" w:rsidP="00956C4F">
            <w:pPr>
              <w:pStyle w:val="Tabulka"/>
              <w:rPr>
                <w:rFonts w:cs="Calibri"/>
                <w:lang w:val="cs-CZ" w:eastAsia="cs-CZ"/>
              </w:rPr>
            </w:pPr>
            <w:r w:rsidRPr="008B53A9">
              <w:rPr>
                <w:rFonts w:cs="Calibri"/>
                <w:lang w:val="cs-CZ" w:eastAsia="cs-CZ"/>
              </w:rPr>
              <w:t>1 217 129 658</w:t>
            </w:r>
          </w:p>
        </w:tc>
        <w:tc>
          <w:tcPr>
            <w:tcW w:w="709" w:type="dxa"/>
            <w:vAlign w:val="center"/>
          </w:tcPr>
          <w:p w:rsidR="00AE32DE" w:rsidRPr="008B53A9" w:rsidRDefault="002163C8" w:rsidP="00956C4F">
            <w:pPr>
              <w:pStyle w:val="Tabulka"/>
              <w:rPr>
                <w:rFonts w:cs="Calibri"/>
                <w:lang w:val="cs-CZ" w:eastAsia="cs-CZ"/>
              </w:rPr>
            </w:pPr>
            <w:r w:rsidRPr="008B53A9">
              <w:rPr>
                <w:rFonts w:cs="Calibri"/>
                <w:lang w:val="cs-CZ" w:eastAsia="cs-CZ"/>
              </w:rPr>
              <w:t>ŘO</w:t>
            </w:r>
          </w:p>
        </w:tc>
        <w:tc>
          <w:tcPr>
            <w:tcW w:w="2577" w:type="dxa"/>
            <w:vAlign w:val="center"/>
          </w:tcPr>
          <w:p w:rsidR="00AE32DE" w:rsidRPr="008B53A9" w:rsidRDefault="000620DB" w:rsidP="00956C4F">
            <w:pPr>
              <w:pStyle w:val="Tabulka"/>
              <w:rPr>
                <w:rFonts w:cs="Calibri"/>
                <w:lang w:val="cs-CZ" w:eastAsia="cs-CZ"/>
              </w:rPr>
            </w:pPr>
            <w:r w:rsidRPr="008B53A9">
              <w:rPr>
                <w:rFonts w:cs="Calibri"/>
                <w:lang w:val="cs-CZ" w:eastAsia="cs-CZ"/>
              </w:rPr>
              <w:t>Objem celkových způsobilých výdajů zaslaných do účetního systému certifikačního orgánu a certifikovaných</w:t>
            </w:r>
            <w:r w:rsidR="00C70BA9" w:rsidRPr="008B53A9">
              <w:rPr>
                <w:rFonts w:cs="Calibri"/>
                <w:lang w:val="cs-CZ" w:eastAsia="cs-CZ"/>
              </w:rPr>
              <w:t xml:space="preserve"> certifikačním orgánem</w:t>
            </w:r>
            <w:r w:rsidRPr="008B53A9">
              <w:rPr>
                <w:rFonts w:cs="Calibri"/>
                <w:lang w:val="cs-CZ" w:eastAsia="cs-CZ"/>
              </w:rPr>
              <w:t>.</w:t>
            </w:r>
          </w:p>
        </w:tc>
      </w:tr>
      <w:tr w:rsidR="00AE32DE" w:rsidRPr="008B53A9">
        <w:tc>
          <w:tcPr>
            <w:tcW w:w="0" w:type="auto"/>
            <w:vAlign w:val="center"/>
          </w:tcPr>
          <w:p w:rsidR="00AE32DE" w:rsidRPr="008B53A9" w:rsidRDefault="00AE32DE" w:rsidP="00956C4F">
            <w:pPr>
              <w:pStyle w:val="Tabulka"/>
              <w:rPr>
                <w:rFonts w:cs="Calibri"/>
                <w:lang w:val="cs-CZ" w:eastAsia="cs-CZ"/>
              </w:rPr>
            </w:pPr>
            <w:r w:rsidRPr="008B53A9">
              <w:rPr>
                <w:rFonts w:cs="Calibri"/>
                <w:lang w:val="cs-CZ" w:eastAsia="cs-CZ"/>
              </w:rPr>
              <w:t>PO 3</w:t>
            </w:r>
          </w:p>
        </w:tc>
        <w:tc>
          <w:tcPr>
            <w:tcW w:w="1820" w:type="dxa"/>
            <w:vAlign w:val="center"/>
          </w:tcPr>
          <w:p w:rsidR="00AE32DE" w:rsidRPr="008B53A9" w:rsidRDefault="00AE32DE" w:rsidP="00956C4F">
            <w:pPr>
              <w:pStyle w:val="Tabulka"/>
              <w:rPr>
                <w:rFonts w:cs="Calibri"/>
                <w:lang w:val="cs-CZ" w:eastAsia="cs-CZ"/>
              </w:rPr>
            </w:pPr>
            <w:r w:rsidRPr="008B53A9">
              <w:rPr>
                <w:rFonts w:cs="Calibri"/>
                <w:lang w:val="cs-CZ" w:eastAsia="cs-CZ"/>
              </w:rPr>
              <w:t>výstupový</w:t>
            </w:r>
          </w:p>
        </w:tc>
        <w:tc>
          <w:tcPr>
            <w:tcW w:w="518" w:type="dxa"/>
            <w:vAlign w:val="center"/>
          </w:tcPr>
          <w:p w:rsidR="00AE32DE" w:rsidRPr="008B53A9" w:rsidRDefault="00EC4EB7" w:rsidP="00956C4F">
            <w:pPr>
              <w:pStyle w:val="Tabulka"/>
              <w:rPr>
                <w:rFonts w:cs="Calibri"/>
                <w:lang w:val="cs-CZ" w:eastAsia="cs-CZ"/>
              </w:rPr>
            </w:pPr>
            <w:r w:rsidRPr="008B53A9">
              <w:rPr>
                <w:rFonts w:cs="Calibri"/>
                <w:lang w:val="cs-CZ" w:eastAsia="cs-CZ"/>
              </w:rPr>
              <w:t>C</w:t>
            </w:r>
            <w:r w:rsidR="0079010C" w:rsidRPr="008B53A9">
              <w:rPr>
                <w:rFonts w:cs="Calibri"/>
                <w:lang w:val="cs-CZ" w:eastAsia="cs-CZ"/>
              </w:rPr>
              <w:t>/EFRR/0</w:t>
            </w:r>
            <w:r w:rsidRPr="008B53A9">
              <w:rPr>
                <w:rFonts w:cs="Calibri"/>
                <w:lang w:val="cs-CZ" w:eastAsia="cs-CZ"/>
              </w:rPr>
              <w:t>1</w:t>
            </w:r>
          </w:p>
        </w:tc>
        <w:tc>
          <w:tcPr>
            <w:tcW w:w="0" w:type="auto"/>
            <w:shd w:val="clear" w:color="auto" w:fill="auto"/>
            <w:tcMar>
              <w:top w:w="0" w:type="dxa"/>
              <w:left w:w="108" w:type="dxa"/>
              <w:bottom w:w="0" w:type="dxa"/>
              <w:right w:w="108" w:type="dxa"/>
            </w:tcMar>
            <w:vAlign w:val="center"/>
          </w:tcPr>
          <w:p w:rsidR="00AE32DE" w:rsidRPr="008B53A9" w:rsidRDefault="00EC4EB7" w:rsidP="00956C4F">
            <w:pPr>
              <w:pStyle w:val="Tabulka"/>
              <w:rPr>
                <w:rFonts w:cs="Calibri"/>
                <w:lang w:val="cs-CZ" w:eastAsia="cs-CZ"/>
              </w:rPr>
            </w:pPr>
            <w:r w:rsidRPr="008B53A9">
              <w:rPr>
                <w:rFonts w:cs="Calibri"/>
                <w:lang w:val="cs-CZ" w:eastAsia="cs-CZ"/>
              </w:rPr>
              <w:t>Počet podniků pobírajících podporu</w:t>
            </w:r>
          </w:p>
        </w:tc>
        <w:tc>
          <w:tcPr>
            <w:tcW w:w="0" w:type="auto"/>
            <w:shd w:val="clear" w:color="auto" w:fill="auto"/>
            <w:tcMar>
              <w:top w:w="0" w:type="dxa"/>
              <w:left w:w="108" w:type="dxa"/>
              <w:bottom w:w="0" w:type="dxa"/>
              <w:right w:w="108" w:type="dxa"/>
            </w:tcMar>
            <w:vAlign w:val="center"/>
          </w:tcPr>
          <w:p w:rsidR="00AE32DE" w:rsidRPr="008B53A9" w:rsidRDefault="004316EB" w:rsidP="00956C4F">
            <w:pPr>
              <w:pStyle w:val="Tabulka"/>
              <w:rPr>
                <w:rFonts w:cs="Calibri"/>
                <w:lang w:val="cs-CZ" w:eastAsia="cs-CZ"/>
              </w:rPr>
            </w:pPr>
            <w:r w:rsidRPr="008B53A9">
              <w:rPr>
                <w:rFonts w:cs="Calibri"/>
                <w:lang w:val="cs-CZ" w:eastAsia="cs-CZ"/>
              </w:rPr>
              <w:t>Podniky</w:t>
            </w:r>
          </w:p>
        </w:tc>
        <w:tc>
          <w:tcPr>
            <w:tcW w:w="0" w:type="auto"/>
            <w:shd w:val="clear" w:color="auto" w:fill="auto"/>
            <w:tcMar>
              <w:top w:w="0" w:type="dxa"/>
              <w:left w:w="108" w:type="dxa"/>
              <w:bottom w:w="0" w:type="dxa"/>
              <w:right w:w="108" w:type="dxa"/>
            </w:tcMar>
            <w:vAlign w:val="center"/>
          </w:tcPr>
          <w:p w:rsidR="00AE32DE" w:rsidRPr="008B53A9" w:rsidRDefault="00AE32DE" w:rsidP="00956C4F">
            <w:pPr>
              <w:pStyle w:val="Tabulka"/>
              <w:rPr>
                <w:rFonts w:cs="Calibri"/>
                <w:lang w:val="cs-CZ" w:eastAsia="cs-CZ"/>
              </w:rPr>
            </w:pPr>
            <w:r w:rsidRPr="008B53A9">
              <w:rPr>
                <w:rFonts w:cs="Calibri"/>
                <w:lang w:val="cs-CZ" w:eastAsia="cs-CZ"/>
              </w:rPr>
              <w:t>EFRR</w:t>
            </w:r>
          </w:p>
        </w:tc>
        <w:tc>
          <w:tcPr>
            <w:tcW w:w="1168" w:type="dxa"/>
            <w:shd w:val="clear" w:color="auto" w:fill="auto"/>
            <w:tcMar>
              <w:top w:w="0" w:type="dxa"/>
              <w:left w:w="108" w:type="dxa"/>
              <w:bottom w:w="0" w:type="dxa"/>
              <w:right w:w="108" w:type="dxa"/>
            </w:tcMar>
            <w:vAlign w:val="center"/>
          </w:tcPr>
          <w:p w:rsidR="00AE32DE" w:rsidRPr="008B53A9" w:rsidRDefault="00AE32DE" w:rsidP="00956C4F">
            <w:pPr>
              <w:pStyle w:val="Tabulka"/>
              <w:rPr>
                <w:rFonts w:cs="Calibri"/>
                <w:lang w:val="cs-CZ" w:eastAsia="cs-CZ"/>
              </w:rPr>
            </w:pPr>
            <w:r w:rsidRPr="008B53A9">
              <w:rPr>
                <w:rFonts w:cs="Calibri"/>
                <w:lang w:val="cs-CZ" w:eastAsia="cs-CZ"/>
              </w:rPr>
              <w:t>Méně rozvinuté regiony</w:t>
            </w:r>
          </w:p>
        </w:tc>
        <w:tc>
          <w:tcPr>
            <w:tcW w:w="1132" w:type="dxa"/>
            <w:vAlign w:val="center"/>
          </w:tcPr>
          <w:p w:rsidR="00AE32DE" w:rsidRPr="008B53A9" w:rsidRDefault="00FC2291" w:rsidP="00956C4F">
            <w:pPr>
              <w:pStyle w:val="Tabulka"/>
              <w:rPr>
                <w:rFonts w:cs="Calibri"/>
                <w:lang w:val="cs-CZ" w:eastAsia="cs-CZ"/>
              </w:rPr>
            </w:pPr>
            <w:r w:rsidRPr="008B53A9">
              <w:rPr>
                <w:rFonts w:cs="Calibri"/>
                <w:lang w:val="cs-CZ" w:eastAsia="cs-CZ"/>
              </w:rPr>
              <w:t>350</w:t>
            </w:r>
          </w:p>
        </w:tc>
        <w:tc>
          <w:tcPr>
            <w:tcW w:w="1561" w:type="dxa"/>
            <w:shd w:val="clear" w:color="auto" w:fill="auto"/>
            <w:tcMar>
              <w:top w:w="0" w:type="dxa"/>
              <w:left w:w="108" w:type="dxa"/>
              <w:bottom w:w="0" w:type="dxa"/>
              <w:right w:w="108" w:type="dxa"/>
            </w:tcMar>
            <w:vAlign w:val="center"/>
          </w:tcPr>
          <w:p w:rsidR="00AE32DE" w:rsidRPr="008B53A9" w:rsidRDefault="00066FAA" w:rsidP="00956C4F">
            <w:pPr>
              <w:pStyle w:val="Tabulka"/>
              <w:rPr>
                <w:rFonts w:cs="Calibri"/>
                <w:lang w:val="cs-CZ" w:eastAsia="cs-CZ"/>
              </w:rPr>
            </w:pPr>
            <w:r w:rsidRPr="008B53A9">
              <w:rPr>
                <w:rFonts w:cs="Calibri"/>
                <w:lang w:val="cs-CZ" w:eastAsia="cs-CZ"/>
              </w:rPr>
              <w:t>4 091</w:t>
            </w:r>
          </w:p>
        </w:tc>
        <w:tc>
          <w:tcPr>
            <w:tcW w:w="709" w:type="dxa"/>
            <w:vAlign w:val="center"/>
          </w:tcPr>
          <w:p w:rsidR="00AE32DE" w:rsidRPr="008B53A9" w:rsidRDefault="002163C8" w:rsidP="00956C4F">
            <w:pPr>
              <w:pStyle w:val="Tabulka"/>
              <w:rPr>
                <w:rFonts w:cs="Calibri"/>
                <w:lang w:val="cs-CZ" w:eastAsia="cs-CZ"/>
              </w:rPr>
            </w:pPr>
            <w:r w:rsidRPr="008B53A9">
              <w:rPr>
                <w:rFonts w:cs="Calibri"/>
                <w:lang w:val="cs-CZ" w:eastAsia="cs-CZ"/>
              </w:rPr>
              <w:t>ŘO</w:t>
            </w:r>
          </w:p>
        </w:tc>
        <w:tc>
          <w:tcPr>
            <w:tcW w:w="2577" w:type="dxa"/>
            <w:vAlign w:val="center"/>
          </w:tcPr>
          <w:p w:rsidR="00AE32DE" w:rsidRPr="008B53A9" w:rsidRDefault="00CC3FED" w:rsidP="00E84B36">
            <w:pPr>
              <w:pStyle w:val="Tabulka"/>
              <w:rPr>
                <w:rFonts w:cs="Calibri"/>
                <w:lang w:val="cs-CZ" w:eastAsia="cs-CZ"/>
              </w:rPr>
            </w:pPr>
            <w:r w:rsidRPr="008B53A9">
              <w:rPr>
                <w:rFonts w:cs="Calibri"/>
                <w:lang w:val="cs-CZ" w:eastAsia="cs-CZ"/>
              </w:rPr>
              <w:t>Indikátor sleduje počet</w:t>
            </w:r>
            <w:r w:rsidR="00E84B36" w:rsidRPr="008B53A9">
              <w:rPr>
                <w:rFonts w:cs="Calibri"/>
                <w:lang w:val="cs-CZ" w:eastAsia="cs-CZ"/>
              </w:rPr>
              <w:t xml:space="preserve"> </w:t>
            </w:r>
            <w:r w:rsidRPr="008B53A9">
              <w:rPr>
                <w:rFonts w:cs="Calibri"/>
                <w:lang w:val="cs-CZ" w:eastAsia="cs-CZ"/>
              </w:rPr>
              <w:t>podpořených firem a pokrývá finančně</w:t>
            </w:r>
            <w:r w:rsidR="00E84B36" w:rsidRPr="008B53A9">
              <w:rPr>
                <w:rFonts w:cs="Calibri"/>
                <w:lang w:val="cs-CZ" w:eastAsia="cs-CZ"/>
              </w:rPr>
              <w:t xml:space="preserve"> </w:t>
            </w:r>
            <w:r w:rsidRPr="008B53A9">
              <w:rPr>
                <w:rFonts w:cs="Calibri"/>
                <w:lang w:val="cs-CZ" w:eastAsia="cs-CZ"/>
              </w:rPr>
              <w:t>nejobjemnější část intervence</w:t>
            </w:r>
            <w:r w:rsidR="00E84B36" w:rsidRPr="008B53A9">
              <w:rPr>
                <w:rFonts w:cs="Calibri"/>
                <w:lang w:val="cs-CZ" w:eastAsia="cs-CZ"/>
              </w:rPr>
              <w:t xml:space="preserve"> </w:t>
            </w:r>
            <w:r w:rsidRPr="008B53A9">
              <w:rPr>
                <w:rFonts w:cs="Calibri"/>
                <w:lang w:val="cs-CZ" w:eastAsia="cs-CZ"/>
              </w:rPr>
              <w:t xml:space="preserve">v rámci prioritní osy 3. </w:t>
            </w:r>
            <w:r w:rsidR="00104BB5" w:rsidRPr="008B53A9">
              <w:rPr>
                <w:rFonts w:cs="Calibri"/>
                <w:lang w:val="cs-CZ" w:eastAsia="cs-CZ"/>
              </w:rPr>
              <w:t>Rozhodujícím okamžikem pro započítání hodnoty milníku bude počet podpořených firem s ukončenou fyzickou realizací tzn. dosažením cílů projektů</w:t>
            </w:r>
            <w:r w:rsidRPr="008B53A9">
              <w:rPr>
                <w:rFonts w:cs="Calibri"/>
                <w:lang w:val="cs-CZ" w:eastAsia="cs-CZ"/>
              </w:rPr>
              <w:t>.</w:t>
            </w:r>
          </w:p>
        </w:tc>
      </w:tr>
    </w:tbl>
    <w:p w:rsidR="004126CC" w:rsidRPr="008B53A9" w:rsidRDefault="004126CC" w:rsidP="005F43DF">
      <w:pPr>
        <w:pStyle w:val="kapitola2A0"/>
        <w:numPr>
          <w:ilvl w:val="2"/>
          <w:numId w:val="74"/>
        </w:numPr>
        <w:sectPr w:rsidR="004126CC" w:rsidRPr="008B53A9" w:rsidSect="004126CC">
          <w:headerReference w:type="default" r:id="rId31"/>
          <w:footerReference w:type="default" r:id="rId32"/>
          <w:pgSz w:w="16838" w:h="11906" w:orient="landscape"/>
          <w:pgMar w:top="1418" w:right="1418" w:bottom="1276" w:left="1276" w:header="709" w:footer="709" w:gutter="0"/>
          <w:cols w:space="708"/>
          <w:docGrid w:linePitch="272"/>
        </w:sectPr>
      </w:pPr>
      <w:bookmarkStart w:id="83" w:name="_Toc364327634"/>
    </w:p>
    <w:p w:rsidR="00EA4A20" w:rsidRPr="008B53A9" w:rsidRDefault="00EA4A20" w:rsidP="00EA4A20">
      <w:pPr>
        <w:pStyle w:val="Titulek"/>
      </w:pPr>
      <w:r w:rsidRPr="008B53A9">
        <w:lastRenderedPageBreak/>
        <w:t>Další kvalitativní informace o stanovení výkonnostního rámce</w:t>
      </w:r>
    </w:p>
    <w:p w:rsidR="00B523F1" w:rsidRPr="008B53A9" w:rsidRDefault="00B523F1" w:rsidP="00B523F1">
      <w:pPr>
        <w:pStyle w:val="Standardntext"/>
        <w:rPr>
          <w:lang w:val="cs-CZ"/>
        </w:rPr>
      </w:pPr>
      <w:r w:rsidRPr="008B53A9">
        <w:t xml:space="preserve">Pro OP PIK byly stanoveny hodnoty milníků pro rok 2018 a 2023 (finanční ukazatele </w:t>
      </w:r>
      <w:r w:rsidR="00F9696B" w:rsidRPr="008B53A9">
        <w:rPr>
          <w:lang w:val="cs-CZ"/>
        </w:rPr>
        <w:t xml:space="preserve">a </w:t>
      </w:r>
      <w:r w:rsidRPr="008B53A9">
        <w:t>„certifikované finanční prostředky“, ukazatele výstupů). V případě hodnot milníků stanovených pro rok 2018 přitom není započítáno 6 % určených na výkonnostní rezervu programu. Dále uvedené předpoklady jsou s ohledem na charakter stanovovaných milníků platné pro všechny prioritní osy operačního programu.</w:t>
      </w:r>
    </w:p>
    <w:p w:rsidR="00EA4A20" w:rsidRPr="008B53A9" w:rsidRDefault="00EA4A20" w:rsidP="001B0B94">
      <w:pPr>
        <w:pStyle w:val="Standardntext"/>
      </w:pPr>
      <w:r w:rsidRPr="008B53A9">
        <w:t xml:space="preserve">Při kvantifikaci milníků </w:t>
      </w:r>
      <w:r w:rsidRPr="008B53A9">
        <w:rPr>
          <w:b/>
          <w:bCs/>
        </w:rPr>
        <w:t>pro rok 2018</w:t>
      </w:r>
      <w:r w:rsidRPr="008B53A9">
        <w:t xml:space="preserve"> byly zohledněny dále uvedené klíčové předpoklady:</w:t>
      </w:r>
    </w:p>
    <w:p w:rsidR="00EA4A20" w:rsidRPr="008B53A9" w:rsidRDefault="00EA4A20" w:rsidP="001B0B94">
      <w:pPr>
        <w:pStyle w:val="Standardntext"/>
        <w:numPr>
          <w:ilvl w:val="0"/>
          <w:numId w:val="106"/>
        </w:numPr>
        <w:rPr>
          <w:strike/>
        </w:rPr>
      </w:pPr>
      <w:r w:rsidRPr="008B53A9">
        <w:t>Zohledněn je aktuální finanční plán OP PIK</w:t>
      </w:r>
      <w:r w:rsidR="00EE5FD7" w:rsidRPr="008B53A9">
        <w:rPr>
          <w:lang w:val="cs-CZ"/>
        </w:rPr>
        <w:t>;</w:t>
      </w:r>
    </w:p>
    <w:p w:rsidR="00EA4A20" w:rsidRPr="008B53A9" w:rsidRDefault="00EA4A20" w:rsidP="001B0B94">
      <w:pPr>
        <w:pStyle w:val="Standardntext"/>
        <w:numPr>
          <w:ilvl w:val="0"/>
          <w:numId w:val="106"/>
        </w:numPr>
      </w:pPr>
      <w:r w:rsidRPr="008B53A9">
        <w:t>Při stanovení milníku bylo v maximální možné míře vycházeno ze zkušeností s OPPI;</w:t>
      </w:r>
    </w:p>
    <w:p w:rsidR="00EA4A20" w:rsidRPr="008B53A9" w:rsidRDefault="00EA4A20" w:rsidP="001B0B94">
      <w:pPr>
        <w:pStyle w:val="Standardntext"/>
        <w:numPr>
          <w:ilvl w:val="0"/>
          <w:numId w:val="106"/>
        </w:numPr>
      </w:pPr>
      <w:r w:rsidRPr="008B53A9">
        <w:t>První výzvy budou vyhlášeny pravděpodobně nejdříve až v 1. čtvrtletí 2015, není ovšem zřejmé (ve vazbě na připravovaný indikativní plán výzev), zda budou v tomto obd</w:t>
      </w:r>
      <w:r w:rsidR="00EE5FD7" w:rsidRPr="008B53A9">
        <w:t xml:space="preserve">obí vyhlášeny výzvy již ve všech </w:t>
      </w:r>
      <w:r w:rsidRPr="008B53A9">
        <w:t>specifických cílech. Od nich se bude odvíjet příjem žádostí, hodnocení projektů a následně zahájení realizace prvních podpořených projektů, tj. pravděpodobně ve 2. čtvrtletí 2015;</w:t>
      </w:r>
    </w:p>
    <w:p w:rsidR="00EA4A20" w:rsidRPr="008B53A9" w:rsidRDefault="00EA4A20" w:rsidP="001B0B94">
      <w:pPr>
        <w:pStyle w:val="Standardntext"/>
        <w:numPr>
          <w:ilvl w:val="0"/>
          <w:numId w:val="106"/>
        </w:numPr>
      </w:pPr>
      <w:r w:rsidRPr="008B53A9">
        <w:t xml:space="preserve">Při možném předpokladu, že projekty budou dvouleté, to znamená, že první z nich ukončí realizaci nejdříve ve druhé polovině roku 2017 a finanční prostředky tak budou předkládány k certifikaci až v průběhu roku 2017 či dokonce 2018 (např. u delších projektů); </w:t>
      </w:r>
    </w:p>
    <w:p w:rsidR="00EA4A20" w:rsidRPr="008B53A9" w:rsidRDefault="00EA4A20" w:rsidP="001B0B94">
      <w:pPr>
        <w:pStyle w:val="Standardntext"/>
        <w:numPr>
          <w:ilvl w:val="0"/>
          <w:numId w:val="106"/>
        </w:numPr>
      </w:pPr>
      <w:r w:rsidRPr="008B53A9">
        <w:t>Ukazatelé výstupů stanovené ve výkonnostním rámci odpovídají více než 50 % finančního přídělu na prioritu (v souladu se čl. 5 Prováděcího nařízení komise (EU) č. 215/2014);</w:t>
      </w:r>
    </w:p>
    <w:p w:rsidR="00EA4A20" w:rsidRPr="008B53A9" w:rsidRDefault="00EA4A20" w:rsidP="001B0B94">
      <w:pPr>
        <w:pStyle w:val="Standardntext"/>
        <w:numPr>
          <w:ilvl w:val="0"/>
          <w:numId w:val="106"/>
        </w:numPr>
      </w:pPr>
      <w:r w:rsidRPr="008B53A9">
        <w:t>Není započítána výkonnostní rezerva 6 %;</w:t>
      </w:r>
    </w:p>
    <w:p w:rsidR="00EA4A20" w:rsidRPr="008B53A9" w:rsidRDefault="00EA4A20" w:rsidP="001B0B94">
      <w:pPr>
        <w:pStyle w:val="Standardntext"/>
        <w:numPr>
          <w:ilvl w:val="0"/>
          <w:numId w:val="106"/>
        </w:numPr>
      </w:pPr>
      <w:r w:rsidRPr="008B53A9">
        <w:t>Pravidlo n+3, na základě kterého je nutné vzít v úvahu, že na konci roku 2018 by měla být vyčerpána alokace let 2014, 2015;</w:t>
      </w:r>
    </w:p>
    <w:p w:rsidR="00EA4A20" w:rsidRPr="008B53A9" w:rsidRDefault="00EA4A20" w:rsidP="003752F8">
      <w:pPr>
        <w:pStyle w:val="Standardntext"/>
        <w:numPr>
          <w:ilvl w:val="0"/>
          <w:numId w:val="106"/>
        </w:numPr>
        <w:rPr>
          <w:strike/>
        </w:rPr>
      </w:pPr>
      <w:r w:rsidRPr="008B53A9">
        <w:t>Nové typy aktivit</w:t>
      </w:r>
      <w:r w:rsidR="003752F8" w:rsidRPr="008B53A9">
        <w:rPr>
          <w:lang w:val="cs-CZ"/>
        </w:rPr>
        <w:t xml:space="preserve"> v</w:t>
      </w:r>
      <w:r w:rsidR="00155F36" w:rsidRPr="008B53A9">
        <w:rPr>
          <w:lang w:val="cs-CZ"/>
        </w:rPr>
        <w:t xml:space="preserve"> některých specifických cílech </w:t>
      </w:r>
      <w:r w:rsidR="003752F8" w:rsidRPr="008B53A9">
        <w:rPr>
          <w:lang w:val="cs-CZ"/>
        </w:rPr>
        <w:t>této prioritní os</w:t>
      </w:r>
      <w:r w:rsidR="00155F36" w:rsidRPr="008B53A9">
        <w:rPr>
          <w:lang w:val="cs-CZ"/>
        </w:rPr>
        <w:t>y</w:t>
      </w:r>
      <w:r w:rsidR="003752F8" w:rsidRPr="008B53A9">
        <w:rPr>
          <w:lang w:val="cs-CZ"/>
        </w:rPr>
        <w:t xml:space="preserve"> </w:t>
      </w:r>
      <w:r w:rsidRPr="008B53A9">
        <w:t>OP PIK</w:t>
      </w:r>
      <w:r w:rsidR="003752F8" w:rsidRPr="008B53A9">
        <w:rPr>
          <w:lang w:val="cs-CZ"/>
        </w:rPr>
        <w:t xml:space="preserve"> (akti</w:t>
      </w:r>
      <w:r w:rsidR="00156EE9" w:rsidRPr="008B53A9">
        <w:rPr>
          <w:lang w:val="cs-CZ"/>
        </w:rPr>
        <w:t>vity v SC 3.3, SC 3.4, SC 3.6);</w:t>
      </w:r>
    </w:p>
    <w:p w:rsidR="00EA4A20" w:rsidRPr="008B53A9" w:rsidRDefault="009A3E77" w:rsidP="001B0B94">
      <w:pPr>
        <w:pStyle w:val="Standardntext"/>
        <w:numPr>
          <w:ilvl w:val="0"/>
          <w:numId w:val="107"/>
        </w:numPr>
      </w:pPr>
      <w:r w:rsidRPr="008B53A9">
        <w:t>Využití finančních nástrojů (úvěry, záruky za bankovní úvěry, rizikový kapitál) v SC 3.2 a SC 3.5, rizikovým je v tomto případě např. časový rámec pro přípravu projektu, lze tak předpok</w:t>
      </w:r>
      <w:r w:rsidR="001B0B94" w:rsidRPr="008B53A9">
        <w:t>ládat pomalejší rozjezd aktivit.</w:t>
      </w:r>
    </w:p>
    <w:p w:rsidR="00EA4A20" w:rsidRPr="008B53A9" w:rsidRDefault="00EA4A20" w:rsidP="001B0B94">
      <w:pPr>
        <w:pStyle w:val="Standardntext"/>
      </w:pPr>
      <w:r w:rsidRPr="008B53A9">
        <w:t xml:space="preserve">Při kvantifikaci milníků </w:t>
      </w:r>
      <w:r w:rsidRPr="008B53A9">
        <w:rPr>
          <w:b/>
          <w:bCs/>
        </w:rPr>
        <w:t>pro rok 2023</w:t>
      </w:r>
      <w:r w:rsidRPr="008B53A9">
        <w:t xml:space="preserve"> byly zohledněny ještě dále uvedené klíčové předpoklady:</w:t>
      </w:r>
    </w:p>
    <w:p w:rsidR="00EA4A20" w:rsidRPr="008B53A9" w:rsidRDefault="00EA4A20" w:rsidP="001B0B94">
      <w:pPr>
        <w:pStyle w:val="Standardntext"/>
        <w:numPr>
          <w:ilvl w:val="0"/>
          <w:numId w:val="108"/>
        </w:numPr>
      </w:pPr>
      <w:r w:rsidRPr="008B53A9">
        <w:t>Klíčovým předpokladem je naplnění stanovených cílů programu v jednotlivých prioritních osách (finanční i věcné plnění);</w:t>
      </w:r>
    </w:p>
    <w:p w:rsidR="00EA4A20" w:rsidRPr="008B53A9" w:rsidRDefault="00EA4A20" w:rsidP="001B0B94">
      <w:pPr>
        <w:pStyle w:val="Standardntext"/>
        <w:numPr>
          <w:ilvl w:val="0"/>
          <w:numId w:val="108"/>
        </w:numPr>
      </w:pPr>
      <w:r w:rsidRPr="008B53A9">
        <w:t xml:space="preserve">Započítána je již i výkonnostní rezerva. </w:t>
      </w:r>
    </w:p>
    <w:p w:rsidR="003752F8" w:rsidRPr="008B53A9" w:rsidRDefault="00EA4A20" w:rsidP="00156EE9">
      <w:pPr>
        <w:jc w:val="both"/>
        <w:rPr>
          <w:sz w:val="24"/>
          <w:szCs w:val="24"/>
          <w:lang w:val="x-none" w:eastAsia="x-none"/>
        </w:rPr>
      </w:pPr>
      <w:r w:rsidRPr="008B53A9">
        <w:rPr>
          <w:sz w:val="24"/>
          <w:szCs w:val="24"/>
        </w:rPr>
        <w:t xml:space="preserve">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w:t>
      </w:r>
      <w:r w:rsidRPr="008B53A9">
        <w:rPr>
          <w:sz w:val="24"/>
          <w:szCs w:val="24"/>
        </w:rPr>
        <w:lastRenderedPageBreak/>
        <w:t>vysvětlovací seminární či jiné aktivity ze strany Řídícího orgánu vůči potenciálním příjemcům, atd.</w:t>
      </w:r>
      <w:r w:rsidR="003752F8" w:rsidRPr="008B53A9">
        <w:rPr>
          <w:sz w:val="24"/>
          <w:szCs w:val="24"/>
        </w:rPr>
        <w:t xml:space="preserve"> </w:t>
      </w:r>
      <w:r w:rsidR="003752F8" w:rsidRPr="008B53A9">
        <w:rPr>
          <w:sz w:val="24"/>
          <w:szCs w:val="24"/>
          <w:lang w:val="x-none" w:eastAsia="x-none"/>
        </w:rPr>
        <w:t xml:space="preserve">Téma výkonnostní rezervy a milníků je dále rozpracováno v příloze 3. </w:t>
      </w:r>
    </w:p>
    <w:p w:rsidR="00B53995" w:rsidRPr="008B53A9" w:rsidRDefault="00B53995" w:rsidP="005F43DF">
      <w:pPr>
        <w:pStyle w:val="kapitola2A0"/>
        <w:numPr>
          <w:ilvl w:val="2"/>
          <w:numId w:val="74"/>
        </w:numPr>
      </w:pPr>
      <w:bookmarkStart w:id="84" w:name="_Toc391539649"/>
      <w:r w:rsidRPr="008B53A9">
        <w:t>Kategorie zásahů</w:t>
      </w:r>
      <w:bookmarkEnd w:id="84"/>
    </w:p>
    <w:bookmarkEnd w:id="83"/>
    <w:p w:rsidR="00F7325F" w:rsidRPr="008B53A9" w:rsidRDefault="00F7325F" w:rsidP="007E38FF">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7</w:t>
      </w:r>
      <w:r w:rsidR="00C3289B" w:rsidRPr="008B53A9">
        <w:rPr>
          <w:noProof/>
        </w:rPr>
        <w:fldChar w:fldCharType="end"/>
      </w:r>
      <w:r w:rsidRPr="008B53A9">
        <w:t xml:space="preserve"> - </w:t>
      </w:r>
      <w:r w:rsidR="00C3289B" w:rsidRPr="008B53A9">
        <w:fldChar w:fldCharType="begin"/>
      </w:r>
      <w:r w:rsidR="00C3289B" w:rsidRPr="008B53A9">
        <w:instrText xml:space="preserve"> SEQ Tabulka \* ARABIC \r11 </w:instrText>
      </w:r>
      <w:r w:rsidR="00C3289B" w:rsidRPr="008B53A9">
        <w:fldChar w:fldCharType="separate"/>
      </w:r>
      <w:r w:rsidR="00E54216" w:rsidRPr="008B53A9">
        <w:rPr>
          <w:noProof/>
        </w:rPr>
        <w:t>11</w:t>
      </w:r>
      <w:r w:rsidR="00C3289B" w:rsidRPr="008B53A9">
        <w:rPr>
          <w:noProof/>
        </w:rPr>
        <w:fldChar w:fldCharType="end"/>
      </w:r>
      <w:r w:rsidR="00F2469F" w:rsidRPr="008B53A9">
        <w:t>: Kategorie zásahů</w:t>
      </w:r>
      <w:r w:rsidR="006C2096" w:rsidRPr="008B53A9">
        <w:rPr>
          <w:rStyle w:val="Znakapoznpodarou"/>
        </w:rPr>
        <w:footnoteReference w:id="6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8B53A9">
        <w:tc>
          <w:tcPr>
            <w:tcW w:w="9326" w:type="dxa"/>
            <w:gridSpan w:val="8"/>
            <w:shd w:val="clear" w:color="auto" w:fill="B8CCE4"/>
            <w:vAlign w:val="center"/>
          </w:tcPr>
          <w:p w:rsidR="009F18F5" w:rsidRPr="008B53A9" w:rsidRDefault="009F18F5" w:rsidP="009F18F5">
            <w:pPr>
              <w:pStyle w:val="Tabulka"/>
              <w:keepNext/>
              <w:keepLines/>
              <w:rPr>
                <w:rFonts w:cs="Calibri"/>
                <w:b/>
                <w:lang w:val="cs-CZ" w:eastAsia="cs-CZ"/>
              </w:rPr>
            </w:pPr>
            <w:r w:rsidRPr="008B53A9">
              <w:rPr>
                <w:rFonts w:cs="Calibri"/>
                <w:b/>
                <w:lang w:val="cs-CZ" w:eastAsia="cs-CZ"/>
              </w:rPr>
              <w:t xml:space="preserve">Fond: </w:t>
            </w:r>
            <w:r w:rsidRPr="008B53A9">
              <w:rPr>
                <w:rFonts w:cs="Calibri"/>
                <w:lang w:val="cs-CZ" w:eastAsia="cs-CZ"/>
              </w:rPr>
              <w:t>EFRR</w:t>
            </w:r>
          </w:p>
          <w:p w:rsidR="000B2315" w:rsidRPr="008B53A9" w:rsidRDefault="009F18F5" w:rsidP="009F18F5">
            <w:pPr>
              <w:pStyle w:val="Tabulka"/>
              <w:keepNext/>
              <w:keepLines/>
              <w:rPr>
                <w:rFonts w:cs="Calibri"/>
                <w:i/>
                <w:lang w:val="cs-CZ" w:eastAsia="cs-CZ"/>
              </w:rPr>
            </w:pPr>
            <w:r w:rsidRPr="008B53A9">
              <w:rPr>
                <w:rFonts w:cs="Calibri"/>
                <w:b/>
                <w:lang w:val="cs-CZ" w:eastAsia="cs-CZ"/>
              </w:rPr>
              <w:t xml:space="preserve">Kategorie regionů: </w:t>
            </w:r>
            <w:r w:rsidRPr="008B53A9">
              <w:rPr>
                <w:rFonts w:cs="Calibri"/>
                <w:lang w:val="cs-CZ" w:eastAsia="cs-CZ"/>
              </w:rPr>
              <w:t>Méně rozvinuté regiony</w:t>
            </w:r>
          </w:p>
        </w:tc>
      </w:tr>
      <w:tr w:rsidR="000B2315" w:rsidRPr="008B53A9">
        <w:tc>
          <w:tcPr>
            <w:tcW w:w="2331"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7:</w:t>
            </w:r>
          </w:p>
          <w:p w:rsidR="000B2315" w:rsidRPr="008B53A9" w:rsidRDefault="000B2315" w:rsidP="00450475">
            <w:pPr>
              <w:pStyle w:val="Tabulka"/>
              <w:keepNext/>
              <w:keepLines/>
              <w:rPr>
                <w:rFonts w:cs="Calibri"/>
                <w:lang w:val="cs-CZ" w:eastAsia="cs-CZ"/>
              </w:rPr>
            </w:pPr>
            <w:r w:rsidRPr="008B53A9">
              <w:rPr>
                <w:rFonts w:cs="Calibri"/>
                <w:lang w:val="cs-CZ" w:eastAsia="cs-CZ"/>
              </w:rPr>
              <w:t>Dimenze 1</w:t>
            </w:r>
          </w:p>
          <w:p w:rsidR="000B2315" w:rsidRPr="008B53A9" w:rsidRDefault="000B2315" w:rsidP="00450475">
            <w:pPr>
              <w:pStyle w:val="Tabulka"/>
              <w:keepNext/>
              <w:keepLines/>
              <w:rPr>
                <w:rFonts w:cs="Calibri"/>
                <w:lang w:val="cs-CZ" w:eastAsia="cs-CZ"/>
              </w:rPr>
            </w:pPr>
            <w:r w:rsidRPr="008B53A9">
              <w:rPr>
                <w:rFonts w:cs="Calibri"/>
                <w:lang w:val="cs-CZ" w:eastAsia="cs-CZ"/>
              </w:rPr>
              <w:t>Oblast zásahu</w:t>
            </w:r>
          </w:p>
        </w:tc>
        <w:tc>
          <w:tcPr>
            <w:tcW w:w="2332"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8:</w:t>
            </w:r>
          </w:p>
          <w:p w:rsidR="000B2315" w:rsidRPr="008B53A9" w:rsidRDefault="000B2315" w:rsidP="00450475">
            <w:pPr>
              <w:pStyle w:val="Tabulka"/>
              <w:keepNext/>
              <w:keepLines/>
              <w:rPr>
                <w:rFonts w:cs="Calibri"/>
                <w:lang w:val="cs-CZ" w:eastAsia="cs-CZ"/>
              </w:rPr>
            </w:pPr>
            <w:r w:rsidRPr="008B53A9">
              <w:rPr>
                <w:rFonts w:cs="Calibri"/>
                <w:lang w:val="cs-CZ" w:eastAsia="cs-CZ"/>
              </w:rPr>
              <w:t>Dimenze 2</w:t>
            </w:r>
          </w:p>
          <w:p w:rsidR="000B2315" w:rsidRPr="008B53A9" w:rsidRDefault="000B2315" w:rsidP="00450475">
            <w:pPr>
              <w:pStyle w:val="Tabulka"/>
              <w:keepNext/>
              <w:keepLines/>
              <w:rPr>
                <w:rFonts w:cs="Calibri"/>
                <w:lang w:val="cs-CZ" w:eastAsia="cs-CZ"/>
              </w:rPr>
            </w:pPr>
            <w:r w:rsidRPr="008B53A9">
              <w:rPr>
                <w:rFonts w:cs="Calibri"/>
                <w:lang w:val="cs-CZ" w:eastAsia="cs-CZ"/>
              </w:rPr>
              <w:t>Forma financování</w:t>
            </w:r>
          </w:p>
        </w:tc>
        <w:tc>
          <w:tcPr>
            <w:tcW w:w="2331"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9:</w:t>
            </w:r>
          </w:p>
          <w:p w:rsidR="000B2315" w:rsidRPr="008B53A9" w:rsidRDefault="000B2315" w:rsidP="00450475">
            <w:pPr>
              <w:pStyle w:val="Tabulka"/>
              <w:keepNext/>
              <w:keepLines/>
              <w:rPr>
                <w:rFonts w:cs="Calibri"/>
                <w:lang w:val="cs-CZ" w:eastAsia="cs-CZ"/>
              </w:rPr>
            </w:pPr>
            <w:r w:rsidRPr="008B53A9">
              <w:rPr>
                <w:rFonts w:cs="Calibri"/>
                <w:lang w:val="cs-CZ" w:eastAsia="cs-CZ"/>
              </w:rPr>
              <w:t>Dimenze 3</w:t>
            </w:r>
          </w:p>
          <w:p w:rsidR="000B2315" w:rsidRPr="008B53A9" w:rsidRDefault="000B2315" w:rsidP="00450475">
            <w:pPr>
              <w:pStyle w:val="Tabulka"/>
              <w:keepNext/>
              <w:keepLines/>
              <w:rPr>
                <w:rFonts w:cs="Calibri"/>
                <w:lang w:val="cs-CZ" w:eastAsia="cs-CZ"/>
              </w:rPr>
            </w:pPr>
            <w:r w:rsidRPr="008B53A9">
              <w:rPr>
                <w:rFonts w:cs="Calibri"/>
                <w:lang w:val="cs-CZ" w:eastAsia="cs-CZ"/>
              </w:rPr>
              <w:t>Typ území</w:t>
            </w:r>
          </w:p>
        </w:tc>
        <w:tc>
          <w:tcPr>
            <w:tcW w:w="2332"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10:</w:t>
            </w:r>
          </w:p>
          <w:p w:rsidR="000B2315" w:rsidRPr="008B53A9" w:rsidRDefault="000B2315" w:rsidP="00450475">
            <w:pPr>
              <w:pStyle w:val="Tabulka"/>
              <w:keepNext/>
              <w:keepLines/>
              <w:rPr>
                <w:rFonts w:cs="Calibri"/>
                <w:lang w:val="cs-CZ" w:eastAsia="cs-CZ"/>
              </w:rPr>
            </w:pPr>
            <w:r w:rsidRPr="008B53A9">
              <w:rPr>
                <w:rFonts w:cs="Calibri"/>
                <w:lang w:val="cs-CZ" w:eastAsia="cs-CZ"/>
              </w:rPr>
              <w:t>Dimenze 4</w:t>
            </w:r>
          </w:p>
          <w:p w:rsidR="000B2315" w:rsidRPr="008B53A9" w:rsidRDefault="000B2315" w:rsidP="00450475">
            <w:pPr>
              <w:pStyle w:val="Tabulka"/>
              <w:keepNext/>
              <w:keepLines/>
              <w:rPr>
                <w:rFonts w:cs="Calibri"/>
                <w:lang w:val="cs-CZ" w:eastAsia="cs-CZ"/>
              </w:rPr>
            </w:pPr>
            <w:r w:rsidRPr="008B53A9">
              <w:rPr>
                <w:rFonts w:cs="Calibri"/>
                <w:lang w:val="cs-CZ" w:eastAsia="cs-CZ"/>
              </w:rPr>
              <w:t>Mechanismus územního plnění</w:t>
            </w:r>
          </w:p>
        </w:tc>
      </w:tr>
      <w:tr w:rsidR="000B2315" w:rsidRPr="008B53A9">
        <w:tc>
          <w:tcPr>
            <w:tcW w:w="624"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707"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c>
          <w:tcPr>
            <w:tcW w:w="561"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771"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c>
          <w:tcPr>
            <w:tcW w:w="639"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692"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c>
          <w:tcPr>
            <w:tcW w:w="576"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756"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r>
      <w:tr w:rsidR="00E84F99" w:rsidRPr="008B53A9">
        <w:tc>
          <w:tcPr>
            <w:tcW w:w="624" w:type="dxa"/>
            <w:shd w:val="clear" w:color="auto" w:fill="auto"/>
            <w:vAlign w:val="center"/>
          </w:tcPr>
          <w:p w:rsidR="00E84F99" w:rsidRPr="008B53A9" w:rsidRDefault="00E84F99" w:rsidP="00DD63AD">
            <w:pPr>
              <w:pStyle w:val="Tabulka"/>
              <w:rPr>
                <w:rFonts w:cs="Calibri"/>
                <w:lang w:val="cs-CZ" w:eastAsia="cs-CZ"/>
              </w:rPr>
            </w:pPr>
            <w:r w:rsidRPr="008B53A9">
              <w:rPr>
                <w:rFonts w:cs="Calibri"/>
                <w:lang w:val="cs-CZ" w:eastAsia="cs-CZ"/>
              </w:rPr>
              <w:t>003</w:t>
            </w:r>
          </w:p>
        </w:tc>
        <w:tc>
          <w:tcPr>
            <w:tcW w:w="1707" w:type="dxa"/>
            <w:shd w:val="clear" w:color="auto" w:fill="auto"/>
            <w:vAlign w:val="center"/>
          </w:tcPr>
          <w:p w:rsidR="00E84F99" w:rsidRPr="008B53A9" w:rsidRDefault="00E84F99" w:rsidP="00E84B36">
            <w:pPr>
              <w:pStyle w:val="Tabulka"/>
              <w:jc w:val="right"/>
              <w:rPr>
                <w:rFonts w:cs="Calibri"/>
                <w:lang w:val="cs-CZ" w:eastAsia="cs-CZ"/>
              </w:rPr>
            </w:pPr>
            <w:r w:rsidRPr="008B53A9">
              <w:rPr>
                <w:rFonts w:cs="Calibri"/>
                <w:lang w:val="cs-CZ" w:eastAsia="cs-CZ"/>
              </w:rPr>
              <w:t>136 430 739</w:t>
            </w:r>
          </w:p>
        </w:tc>
        <w:tc>
          <w:tcPr>
            <w:tcW w:w="561" w:type="dxa"/>
            <w:shd w:val="clear" w:color="auto" w:fill="auto"/>
            <w:vAlign w:val="center"/>
          </w:tcPr>
          <w:p w:rsidR="00E84F99" w:rsidRPr="008B53A9" w:rsidRDefault="00E84F99" w:rsidP="008B4F22">
            <w:pPr>
              <w:pStyle w:val="Tabulka"/>
              <w:rPr>
                <w:rFonts w:cs="Calibri"/>
                <w:lang w:val="cs-CZ" w:eastAsia="cs-CZ"/>
              </w:rPr>
            </w:pPr>
            <w:r w:rsidRPr="008B53A9">
              <w:rPr>
                <w:rFonts w:cs="Calibri"/>
                <w:lang w:val="cs-CZ" w:eastAsia="cs-CZ"/>
              </w:rPr>
              <w:t>01</w:t>
            </w:r>
          </w:p>
        </w:tc>
        <w:tc>
          <w:tcPr>
            <w:tcW w:w="1771" w:type="dxa"/>
            <w:shd w:val="clear" w:color="auto" w:fill="auto"/>
            <w:vAlign w:val="center"/>
          </w:tcPr>
          <w:p w:rsidR="00E84F99" w:rsidRPr="008B53A9" w:rsidRDefault="00E84F99" w:rsidP="00E84B36">
            <w:pPr>
              <w:pStyle w:val="Tabulka"/>
              <w:jc w:val="right"/>
              <w:rPr>
                <w:rFonts w:cs="Calibri"/>
                <w:lang w:val="cs-CZ" w:eastAsia="cs-CZ"/>
              </w:rPr>
            </w:pPr>
            <w:r w:rsidRPr="008B53A9">
              <w:rPr>
                <w:rFonts w:cs="Calibri"/>
                <w:lang w:val="cs-CZ" w:eastAsia="cs-CZ"/>
              </w:rPr>
              <w:t>1 186 129 658</w:t>
            </w:r>
          </w:p>
        </w:tc>
        <w:tc>
          <w:tcPr>
            <w:tcW w:w="639" w:type="dxa"/>
            <w:shd w:val="clear" w:color="auto" w:fill="auto"/>
            <w:vAlign w:val="center"/>
          </w:tcPr>
          <w:p w:rsidR="00E84F99" w:rsidRPr="008B53A9" w:rsidRDefault="00E84F99" w:rsidP="008B4F22">
            <w:pPr>
              <w:pStyle w:val="Tabulka"/>
              <w:rPr>
                <w:rFonts w:cs="Calibri"/>
                <w:lang w:val="cs-CZ" w:eastAsia="cs-CZ"/>
              </w:rPr>
            </w:pPr>
            <w:r w:rsidRPr="008B53A9">
              <w:rPr>
                <w:rFonts w:cs="Calibri"/>
                <w:lang w:val="cs-CZ" w:eastAsia="cs-CZ"/>
              </w:rPr>
              <w:t>01</w:t>
            </w:r>
          </w:p>
        </w:tc>
        <w:tc>
          <w:tcPr>
            <w:tcW w:w="1692" w:type="dxa"/>
            <w:shd w:val="clear" w:color="auto" w:fill="auto"/>
            <w:vAlign w:val="center"/>
          </w:tcPr>
          <w:p w:rsidR="00E84F99" w:rsidRPr="008B53A9" w:rsidRDefault="00E84F99" w:rsidP="00E84B36">
            <w:pPr>
              <w:pStyle w:val="Tabulka"/>
              <w:jc w:val="right"/>
              <w:rPr>
                <w:rFonts w:cs="Calibri"/>
                <w:lang w:val="cs-CZ" w:eastAsia="cs-CZ"/>
              </w:rPr>
            </w:pPr>
            <w:r w:rsidRPr="008B53A9">
              <w:rPr>
                <w:rFonts w:cs="Calibri"/>
                <w:lang w:val="cs-CZ" w:eastAsia="cs-CZ"/>
              </w:rPr>
              <w:t>245 248 243</w:t>
            </w:r>
          </w:p>
        </w:tc>
        <w:tc>
          <w:tcPr>
            <w:tcW w:w="576" w:type="dxa"/>
            <w:shd w:val="clear" w:color="auto" w:fill="auto"/>
            <w:vAlign w:val="center"/>
          </w:tcPr>
          <w:p w:rsidR="00E84F99" w:rsidRPr="008B53A9" w:rsidRDefault="00E84F99" w:rsidP="008B4F22">
            <w:pPr>
              <w:pStyle w:val="Tabulka"/>
              <w:rPr>
                <w:rFonts w:cs="Calibri"/>
                <w:lang w:val="cs-CZ" w:eastAsia="cs-CZ"/>
              </w:rPr>
            </w:pPr>
            <w:r w:rsidRPr="008B53A9">
              <w:rPr>
                <w:rFonts w:cs="Calibri"/>
                <w:lang w:val="cs-CZ" w:eastAsia="cs-CZ"/>
              </w:rPr>
              <w:t>01</w:t>
            </w:r>
          </w:p>
        </w:tc>
        <w:tc>
          <w:tcPr>
            <w:tcW w:w="1756" w:type="dxa"/>
            <w:shd w:val="clear" w:color="auto" w:fill="auto"/>
            <w:vAlign w:val="center"/>
          </w:tcPr>
          <w:p w:rsidR="00E84F99" w:rsidRPr="008B53A9" w:rsidRDefault="00E84F99" w:rsidP="00E84B36">
            <w:pPr>
              <w:pStyle w:val="Tabulka"/>
              <w:jc w:val="right"/>
              <w:rPr>
                <w:rFonts w:cs="Calibri"/>
                <w:lang w:val="cs-CZ" w:eastAsia="cs-CZ"/>
              </w:rPr>
            </w:pPr>
            <w:r w:rsidRPr="008B53A9">
              <w:rPr>
                <w:rFonts w:cs="Calibri"/>
                <w:lang w:val="cs-CZ" w:eastAsia="cs-CZ"/>
              </w:rPr>
              <w:t>51 792 751</w:t>
            </w:r>
          </w:p>
        </w:tc>
      </w:tr>
      <w:tr w:rsidR="00E84F99" w:rsidRPr="008B53A9">
        <w:tc>
          <w:tcPr>
            <w:tcW w:w="624" w:type="dxa"/>
            <w:shd w:val="clear" w:color="auto" w:fill="auto"/>
            <w:vAlign w:val="center"/>
          </w:tcPr>
          <w:p w:rsidR="00E84F99" w:rsidRPr="008B53A9" w:rsidRDefault="00E84F99" w:rsidP="00DD63AD">
            <w:pPr>
              <w:pStyle w:val="Tabulka"/>
              <w:rPr>
                <w:rFonts w:cs="Calibri"/>
                <w:lang w:val="cs-CZ" w:eastAsia="cs-CZ"/>
              </w:rPr>
            </w:pPr>
            <w:r w:rsidRPr="008B53A9">
              <w:rPr>
                <w:rFonts w:cs="Calibri"/>
                <w:lang w:val="cs-CZ" w:eastAsia="cs-CZ"/>
              </w:rPr>
              <w:t>005</w:t>
            </w:r>
          </w:p>
        </w:tc>
        <w:tc>
          <w:tcPr>
            <w:tcW w:w="1707" w:type="dxa"/>
            <w:shd w:val="clear" w:color="auto" w:fill="auto"/>
            <w:vAlign w:val="center"/>
          </w:tcPr>
          <w:p w:rsidR="00E84F99" w:rsidRPr="008B53A9" w:rsidRDefault="00E84F99" w:rsidP="00E84B36">
            <w:pPr>
              <w:pStyle w:val="Tabulka"/>
              <w:jc w:val="right"/>
              <w:rPr>
                <w:rFonts w:cs="Calibri"/>
                <w:lang w:val="cs-CZ" w:eastAsia="cs-CZ"/>
              </w:rPr>
            </w:pPr>
            <w:r w:rsidRPr="008B53A9">
              <w:rPr>
                <w:rFonts w:cs="Calibri"/>
                <w:lang w:val="cs-CZ" w:eastAsia="cs-CZ"/>
              </w:rPr>
              <w:t>199 833 699</w:t>
            </w:r>
          </w:p>
        </w:tc>
        <w:tc>
          <w:tcPr>
            <w:tcW w:w="561" w:type="dxa"/>
            <w:shd w:val="clear" w:color="auto" w:fill="auto"/>
            <w:vAlign w:val="center"/>
          </w:tcPr>
          <w:p w:rsidR="00E84F99" w:rsidRPr="008B53A9" w:rsidRDefault="00E84F99" w:rsidP="008B4F22">
            <w:pPr>
              <w:pStyle w:val="Tabulka"/>
              <w:rPr>
                <w:rFonts w:cs="Calibri"/>
                <w:lang w:val="cs-CZ" w:eastAsia="cs-CZ"/>
              </w:rPr>
            </w:pPr>
            <w:r w:rsidRPr="008B53A9">
              <w:rPr>
                <w:rFonts w:cs="Calibri"/>
                <w:lang w:val="cs-CZ" w:eastAsia="cs-CZ"/>
              </w:rPr>
              <w:t>04</w:t>
            </w:r>
          </w:p>
        </w:tc>
        <w:tc>
          <w:tcPr>
            <w:tcW w:w="1771" w:type="dxa"/>
            <w:shd w:val="clear" w:color="auto" w:fill="auto"/>
            <w:vAlign w:val="center"/>
          </w:tcPr>
          <w:p w:rsidR="00E84F99" w:rsidRPr="008B53A9" w:rsidRDefault="00E84F99" w:rsidP="00E84B36">
            <w:pPr>
              <w:pStyle w:val="Tabulka"/>
              <w:jc w:val="right"/>
              <w:rPr>
                <w:rFonts w:cs="Calibri"/>
                <w:lang w:val="cs-CZ" w:eastAsia="cs-CZ"/>
              </w:rPr>
            </w:pPr>
            <w:r w:rsidRPr="008B53A9">
              <w:rPr>
                <w:rFonts w:cs="Calibri"/>
                <w:lang w:val="cs-CZ" w:eastAsia="cs-CZ"/>
              </w:rPr>
              <w:t>22 000 000</w:t>
            </w:r>
            <w:r w:rsidRPr="008B53A9">
              <w:rPr>
                <w:rStyle w:val="Znakapoznpodarou"/>
                <w:rFonts w:cs="Calibri"/>
                <w:lang w:val="cs-CZ" w:eastAsia="cs-CZ"/>
              </w:rPr>
              <w:footnoteReference w:id="69"/>
            </w:r>
          </w:p>
        </w:tc>
        <w:tc>
          <w:tcPr>
            <w:tcW w:w="639" w:type="dxa"/>
            <w:shd w:val="clear" w:color="auto" w:fill="auto"/>
            <w:vAlign w:val="center"/>
          </w:tcPr>
          <w:p w:rsidR="00E84F99" w:rsidRPr="008B53A9" w:rsidRDefault="00E84F99" w:rsidP="008B4F22">
            <w:pPr>
              <w:pStyle w:val="Tabulka"/>
              <w:rPr>
                <w:rFonts w:cs="Calibri"/>
                <w:lang w:val="cs-CZ" w:eastAsia="cs-CZ"/>
              </w:rPr>
            </w:pPr>
            <w:r w:rsidRPr="008B53A9">
              <w:rPr>
                <w:rFonts w:cs="Calibri"/>
                <w:lang w:val="cs-CZ" w:eastAsia="cs-CZ"/>
              </w:rPr>
              <w:t>02</w:t>
            </w:r>
          </w:p>
        </w:tc>
        <w:tc>
          <w:tcPr>
            <w:tcW w:w="1692" w:type="dxa"/>
            <w:shd w:val="clear" w:color="auto" w:fill="auto"/>
            <w:vAlign w:val="center"/>
          </w:tcPr>
          <w:p w:rsidR="00E84F99" w:rsidRPr="008B53A9" w:rsidRDefault="00E84F99" w:rsidP="00E84B36">
            <w:pPr>
              <w:pStyle w:val="Tabulka"/>
              <w:jc w:val="right"/>
              <w:rPr>
                <w:rFonts w:cs="Calibri"/>
                <w:lang w:val="cs-CZ" w:eastAsia="cs-CZ"/>
              </w:rPr>
            </w:pPr>
            <w:r w:rsidRPr="008B53A9">
              <w:rPr>
                <w:rFonts w:cs="Calibri"/>
                <w:lang w:val="cs-CZ" w:eastAsia="cs-CZ"/>
              </w:rPr>
              <w:t>567 198 407</w:t>
            </w:r>
          </w:p>
        </w:tc>
        <w:tc>
          <w:tcPr>
            <w:tcW w:w="576" w:type="dxa"/>
            <w:shd w:val="clear" w:color="auto" w:fill="auto"/>
            <w:vAlign w:val="center"/>
          </w:tcPr>
          <w:p w:rsidR="00E84F99" w:rsidRPr="008B53A9" w:rsidRDefault="00E84F99" w:rsidP="008B4F22">
            <w:pPr>
              <w:pStyle w:val="Tabulka"/>
              <w:rPr>
                <w:rFonts w:cs="Calibri"/>
                <w:lang w:val="cs-CZ" w:eastAsia="cs-CZ"/>
              </w:rPr>
            </w:pPr>
            <w:r w:rsidRPr="008B53A9">
              <w:rPr>
                <w:rFonts w:cs="Calibri"/>
                <w:lang w:val="cs-CZ" w:eastAsia="cs-CZ"/>
              </w:rPr>
              <w:t>07</w:t>
            </w:r>
          </w:p>
        </w:tc>
        <w:tc>
          <w:tcPr>
            <w:tcW w:w="1756" w:type="dxa"/>
            <w:shd w:val="clear" w:color="auto" w:fill="auto"/>
            <w:vAlign w:val="center"/>
          </w:tcPr>
          <w:p w:rsidR="00E84F99" w:rsidRPr="008B53A9" w:rsidRDefault="00E84F99" w:rsidP="00E84B36">
            <w:pPr>
              <w:pStyle w:val="Tabulka"/>
              <w:jc w:val="right"/>
              <w:rPr>
                <w:rFonts w:cs="Calibri"/>
                <w:lang w:val="cs-CZ" w:eastAsia="cs-CZ"/>
              </w:rPr>
            </w:pPr>
            <w:r w:rsidRPr="008B53A9">
              <w:rPr>
                <w:rFonts w:cs="Calibri"/>
                <w:lang w:val="cs-CZ" w:eastAsia="cs-CZ"/>
              </w:rPr>
              <w:t>1 165 336 907</w:t>
            </w:r>
          </w:p>
        </w:tc>
      </w:tr>
      <w:tr w:rsidR="004A002A" w:rsidRPr="008B53A9">
        <w:tc>
          <w:tcPr>
            <w:tcW w:w="624" w:type="dxa"/>
            <w:shd w:val="clear" w:color="auto" w:fill="auto"/>
            <w:vAlign w:val="center"/>
          </w:tcPr>
          <w:p w:rsidR="004A002A" w:rsidRPr="008B53A9" w:rsidRDefault="004A002A" w:rsidP="004A002A">
            <w:pPr>
              <w:pStyle w:val="Tabulka"/>
              <w:rPr>
                <w:rFonts w:cs="Calibri"/>
                <w:lang w:val="cs-CZ" w:eastAsia="cs-CZ"/>
              </w:rPr>
            </w:pPr>
            <w:r w:rsidRPr="008B53A9">
              <w:rPr>
                <w:rFonts w:cs="Calibri"/>
                <w:lang w:val="cs-CZ" w:eastAsia="cs-CZ"/>
              </w:rPr>
              <w:t>011</w:t>
            </w:r>
          </w:p>
        </w:tc>
        <w:tc>
          <w:tcPr>
            <w:tcW w:w="1707" w:type="dxa"/>
            <w:shd w:val="clear" w:color="auto" w:fill="auto"/>
            <w:vAlign w:val="center"/>
          </w:tcPr>
          <w:p w:rsidR="004A002A" w:rsidRPr="008B53A9" w:rsidRDefault="004A002A" w:rsidP="00E84B36">
            <w:pPr>
              <w:pStyle w:val="Tabulka"/>
              <w:jc w:val="right"/>
              <w:rPr>
                <w:rFonts w:cs="Calibri"/>
                <w:lang w:val="cs-CZ" w:eastAsia="cs-CZ"/>
              </w:rPr>
            </w:pPr>
            <w:r w:rsidRPr="008B53A9">
              <w:rPr>
                <w:rFonts w:cs="Calibri"/>
                <w:lang w:val="cs-CZ" w:eastAsia="cs-CZ"/>
              </w:rPr>
              <w:t>19 266 904</w:t>
            </w:r>
          </w:p>
        </w:tc>
        <w:tc>
          <w:tcPr>
            <w:tcW w:w="561" w:type="dxa"/>
            <w:shd w:val="clear" w:color="auto" w:fill="auto"/>
            <w:vAlign w:val="center"/>
          </w:tcPr>
          <w:p w:rsidR="004A002A" w:rsidRPr="008B53A9" w:rsidRDefault="004A002A" w:rsidP="008B4F22">
            <w:pPr>
              <w:pStyle w:val="Tabulka"/>
              <w:rPr>
                <w:rFonts w:cs="Calibri"/>
                <w:lang w:val="cs-CZ" w:eastAsia="cs-CZ"/>
              </w:rPr>
            </w:pPr>
            <w:r w:rsidRPr="008B53A9">
              <w:rPr>
                <w:rFonts w:cs="Calibri"/>
                <w:lang w:val="cs-CZ" w:eastAsia="cs-CZ"/>
              </w:rPr>
              <w:t>06</w:t>
            </w:r>
          </w:p>
        </w:tc>
        <w:tc>
          <w:tcPr>
            <w:tcW w:w="1771" w:type="dxa"/>
            <w:shd w:val="clear" w:color="auto" w:fill="auto"/>
            <w:vAlign w:val="center"/>
          </w:tcPr>
          <w:p w:rsidR="004A002A" w:rsidRPr="008B53A9" w:rsidRDefault="00BA208B" w:rsidP="00E84B36">
            <w:pPr>
              <w:pStyle w:val="Tabulka"/>
              <w:jc w:val="right"/>
              <w:rPr>
                <w:rFonts w:cs="Calibri"/>
                <w:lang w:val="cs-CZ" w:eastAsia="cs-CZ"/>
              </w:rPr>
            </w:pPr>
            <w:r w:rsidRPr="008B53A9">
              <w:rPr>
                <w:rFonts w:cs="Calibri"/>
                <w:lang w:val="cs-CZ" w:eastAsia="cs-CZ"/>
              </w:rPr>
              <w:t>9 000 000</w:t>
            </w:r>
            <w:r w:rsidR="00220C58" w:rsidRPr="008B53A9">
              <w:rPr>
                <w:rStyle w:val="Znakapoznpodarou"/>
                <w:rFonts w:cs="Calibri"/>
                <w:lang w:val="cs-CZ" w:eastAsia="cs-CZ"/>
              </w:rPr>
              <w:footnoteReference w:id="70"/>
            </w:r>
          </w:p>
        </w:tc>
        <w:tc>
          <w:tcPr>
            <w:tcW w:w="639" w:type="dxa"/>
            <w:shd w:val="clear" w:color="auto" w:fill="auto"/>
            <w:vAlign w:val="center"/>
          </w:tcPr>
          <w:p w:rsidR="004A002A" w:rsidRPr="008B53A9" w:rsidRDefault="004A002A" w:rsidP="008B4F22">
            <w:pPr>
              <w:pStyle w:val="Tabulka"/>
              <w:rPr>
                <w:rFonts w:cs="Calibri"/>
                <w:lang w:val="cs-CZ" w:eastAsia="cs-CZ"/>
              </w:rPr>
            </w:pPr>
            <w:r w:rsidRPr="008B53A9">
              <w:rPr>
                <w:rFonts w:cs="Calibri"/>
                <w:lang w:val="cs-CZ" w:eastAsia="cs-CZ"/>
              </w:rPr>
              <w:t>03</w:t>
            </w:r>
          </w:p>
        </w:tc>
        <w:tc>
          <w:tcPr>
            <w:tcW w:w="1692" w:type="dxa"/>
            <w:shd w:val="clear" w:color="auto" w:fill="auto"/>
            <w:vAlign w:val="center"/>
          </w:tcPr>
          <w:p w:rsidR="004A002A" w:rsidRPr="008B53A9" w:rsidRDefault="004A002A" w:rsidP="00E84B36">
            <w:pPr>
              <w:pStyle w:val="Tabulka"/>
              <w:jc w:val="right"/>
              <w:rPr>
                <w:rFonts w:cs="Calibri"/>
                <w:lang w:val="cs-CZ" w:eastAsia="cs-CZ"/>
              </w:rPr>
            </w:pPr>
            <w:r w:rsidRPr="008B53A9">
              <w:rPr>
                <w:rFonts w:cs="Calibri"/>
                <w:lang w:val="cs-CZ" w:eastAsia="cs-CZ"/>
              </w:rPr>
              <w:t>404 683 008</w:t>
            </w:r>
          </w:p>
        </w:tc>
        <w:tc>
          <w:tcPr>
            <w:tcW w:w="576" w:type="dxa"/>
            <w:shd w:val="clear" w:color="auto" w:fill="auto"/>
            <w:vAlign w:val="center"/>
          </w:tcPr>
          <w:p w:rsidR="004A002A" w:rsidRPr="008B53A9" w:rsidRDefault="004A002A" w:rsidP="008B4F22">
            <w:pPr>
              <w:pStyle w:val="Tabulka"/>
              <w:rPr>
                <w:rFonts w:cs="Calibri"/>
                <w:lang w:val="cs-CZ" w:eastAsia="cs-CZ"/>
              </w:rPr>
            </w:pPr>
          </w:p>
        </w:tc>
        <w:tc>
          <w:tcPr>
            <w:tcW w:w="1756" w:type="dxa"/>
            <w:shd w:val="clear" w:color="auto" w:fill="auto"/>
            <w:vAlign w:val="center"/>
          </w:tcPr>
          <w:p w:rsidR="004A002A" w:rsidRPr="008B53A9" w:rsidRDefault="004A002A" w:rsidP="00E84B36">
            <w:pPr>
              <w:pStyle w:val="Tabulka"/>
              <w:jc w:val="right"/>
              <w:rPr>
                <w:rFonts w:cs="Calibri"/>
                <w:lang w:val="cs-CZ" w:eastAsia="cs-CZ"/>
              </w:rPr>
            </w:pPr>
          </w:p>
        </w:tc>
      </w:tr>
      <w:tr w:rsidR="004A002A" w:rsidRPr="008B53A9">
        <w:tc>
          <w:tcPr>
            <w:tcW w:w="624" w:type="dxa"/>
            <w:shd w:val="clear" w:color="auto" w:fill="auto"/>
            <w:vAlign w:val="center"/>
          </w:tcPr>
          <w:p w:rsidR="004A002A" w:rsidRPr="008B53A9" w:rsidRDefault="004A002A" w:rsidP="00DD63AD">
            <w:pPr>
              <w:pStyle w:val="Tabulka"/>
              <w:rPr>
                <w:rFonts w:cs="Calibri"/>
                <w:lang w:val="cs-CZ" w:eastAsia="cs-CZ"/>
              </w:rPr>
            </w:pPr>
            <w:r w:rsidRPr="008B53A9">
              <w:rPr>
                <w:rFonts w:cs="Calibri"/>
                <w:lang w:val="cs-CZ" w:eastAsia="cs-CZ"/>
              </w:rPr>
              <w:t>012</w:t>
            </w:r>
          </w:p>
        </w:tc>
        <w:tc>
          <w:tcPr>
            <w:tcW w:w="1707" w:type="dxa"/>
            <w:shd w:val="clear" w:color="auto" w:fill="auto"/>
            <w:vAlign w:val="center"/>
          </w:tcPr>
          <w:p w:rsidR="004A002A" w:rsidRPr="008B53A9" w:rsidRDefault="004A002A" w:rsidP="00E84B36">
            <w:pPr>
              <w:pStyle w:val="Tabulka"/>
              <w:jc w:val="right"/>
              <w:rPr>
                <w:rFonts w:cs="Calibri"/>
                <w:lang w:val="cs-CZ" w:eastAsia="cs-CZ"/>
              </w:rPr>
            </w:pPr>
            <w:r w:rsidRPr="008B53A9">
              <w:rPr>
                <w:rFonts w:cs="Calibri"/>
                <w:lang w:val="cs-CZ" w:eastAsia="cs-CZ"/>
              </w:rPr>
              <w:t>12 844 602</w:t>
            </w:r>
          </w:p>
        </w:tc>
        <w:tc>
          <w:tcPr>
            <w:tcW w:w="561" w:type="dxa"/>
            <w:shd w:val="clear" w:color="auto" w:fill="auto"/>
            <w:vAlign w:val="center"/>
          </w:tcPr>
          <w:p w:rsidR="004A002A" w:rsidRPr="008B53A9" w:rsidRDefault="004A002A" w:rsidP="008B4F22">
            <w:pPr>
              <w:pStyle w:val="Tabulka"/>
              <w:rPr>
                <w:rFonts w:cs="Calibri"/>
                <w:lang w:val="cs-CZ" w:eastAsia="cs-CZ"/>
              </w:rPr>
            </w:pPr>
          </w:p>
        </w:tc>
        <w:tc>
          <w:tcPr>
            <w:tcW w:w="1771" w:type="dxa"/>
            <w:shd w:val="clear" w:color="auto" w:fill="auto"/>
            <w:vAlign w:val="center"/>
          </w:tcPr>
          <w:p w:rsidR="004A002A" w:rsidRPr="008B53A9" w:rsidRDefault="004A002A" w:rsidP="00E84B36">
            <w:pPr>
              <w:pStyle w:val="Tabulka"/>
              <w:jc w:val="right"/>
              <w:rPr>
                <w:rFonts w:cs="Calibri"/>
                <w:lang w:val="cs-CZ" w:eastAsia="cs-CZ"/>
              </w:rPr>
            </w:pPr>
          </w:p>
        </w:tc>
        <w:tc>
          <w:tcPr>
            <w:tcW w:w="639" w:type="dxa"/>
            <w:shd w:val="clear" w:color="auto" w:fill="auto"/>
            <w:vAlign w:val="center"/>
          </w:tcPr>
          <w:p w:rsidR="004A002A" w:rsidRPr="008B53A9" w:rsidRDefault="004A002A" w:rsidP="008B4F22">
            <w:pPr>
              <w:pStyle w:val="Tabulka"/>
              <w:rPr>
                <w:rFonts w:cs="Calibri"/>
                <w:lang w:val="cs-CZ" w:eastAsia="cs-CZ"/>
              </w:rPr>
            </w:pPr>
          </w:p>
        </w:tc>
        <w:tc>
          <w:tcPr>
            <w:tcW w:w="1692" w:type="dxa"/>
            <w:shd w:val="clear" w:color="auto" w:fill="auto"/>
            <w:vAlign w:val="center"/>
          </w:tcPr>
          <w:p w:rsidR="004A002A" w:rsidRPr="008B53A9" w:rsidRDefault="004A002A" w:rsidP="00E84B36">
            <w:pPr>
              <w:pStyle w:val="Tabulka"/>
              <w:jc w:val="right"/>
              <w:rPr>
                <w:rFonts w:cs="Calibri"/>
                <w:lang w:val="cs-CZ" w:eastAsia="cs-CZ"/>
              </w:rPr>
            </w:pPr>
          </w:p>
        </w:tc>
        <w:tc>
          <w:tcPr>
            <w:tcW w:w="576" w:type="dxa"/>
            <w:shd w:val="clear" w:color="auto" w:fill="auto"/>
            <w:vAlign w:val="center"/>
          </w:tcPr>
          <w:p w:rsidR="004A002A" w:rsidRPr="008B53A9" w:rsidRDefault="004A002A" w:rsidP="008B4F22">
            <w:pPr>
              <w:pStyle w:val="Tabulka"/>
              <w:rPr>
                <w:rFonts w:cs="Calibri"/>
                <w:lang w:val="cs-CZ" w:eastAsia="cs-CZ"/>
              </w:rPr>
            </w:pPr>
          </w:p>
        </w:tc>
        <w:tc>
          <w:tcPr>
            <w:tcW w:w="1756" w:type="dxa"/>
            <w:shd w:val="clear" w:color="auto" w:fill="auto"/>
            <w:vAlign w:val="center"/>
          </w:tcPr>
          <w:p w:rsidR="004A002A" w:rsidRPr="008B53A9" w:rsidRDefault="004A002A" w:rsidP="00E84B36">
            <w:pPr>
              <w:pStyle w:val="Tabulka"/>
              <w:jc w:val="right"/>
              <w:rPr>
                <w:rFonts w:cs="Calibri"/>
                <w:lang w:val="cs-CZ" w:eastAsia="cs-CZ"/>
              </w:rPr>
            </w:pPr>
          </w:p>
        </w:tc>
      </w:tr>
      <w:tr w:rsidR="00314F05" w:rsidRPr="008B53A9">
        <w:tc>
          <w:tcPr>
            <w:tcW w:w="624" w:type="dxa"/>
            <w:shd w:val="clear" w:color="auto" w:fill="auto"/>
            <w:vAlign w:val="center"/>
          </w:tcPr>
          <w:p w:rsidR="00314F05" w:rsidRPr="008B53A9" w:rsidRDefault="00314F05" w:rsidP="00DD63AD">
            <w:pPr>
              <w:pStyle w:val="Tabulka"/>
              <w:rPr>
                <w:rFonts w:cs="Calibri"/>
                <w:lang w:val="cs-CZ" w:eastAsia="cs-CZ"/>
              </w:rPr>
            </w:pPr>
            <w:r w:rsidRPr="008B53A9">
              <w:rPr>
                <w:rFonts w:cs="Calibri"/>
                <w:lang w:val="cs-CZ" w:eastAsia="cs-CZ"/>
              </w:rPr>
              <w:t>015</w:t>
            </w:r>
          </w:p>
        </w:tc>
        <w:tc>
          <w:tcPr>
            <w:tcW w:w="1707" w:type="dxa"/>
            <w:shd w:val="clear" w:color="auto" w:fill="auto"/>
            <w:vAlign w:val="center"/>
          </w:tcPr>
          <w:p w:rsidR="00314F05" w:rsidRPr="008B53A9" w:rsidRDefault="00314F05" w:rsidP="00E84B36">
            <w:pPr>
              <w:pStyle w:val="Tabulka"/>
              <w:jc w:val="right"/>
              <w:rPr>
                <w:rFonts w:cs="Calibri"/>
                <w:lang w:val="cs-CZ" w:eastAsia="cs-CZ"/>
              </w:rPr>
            </w:pPr>
            <w:r w:rsidRPr="008B53A9">
              <w:rPr>
                <w:rFonts w:cs="Calibri"/>
                <w:lang w:val="cs-CZ" w:eastAsia="cs-CZ"/>
              </w:rPr>
              <w:t>37 118 139</w:t>
            </w:r>
          </w:p>
        </w:tc>
        <w:tc>
          <w:tcPr>
            <w:tcW w:w="561" w:type="dxa"/>
            <w:shd w:val="clear" w:color="auto" w:fill="auto"/>
            <w:vAlign w:val="center"/>
          </w:tcPr>
          <w:p w:rsidR="00314F05" w:rsidRPr="008B53A9" w:rsidRDefault="00314F05" w:rsidP="008B4F22">
            <w:pPr>
              <w:pStyle w:val="Tabulka"/>
              <w:rPr>
                <w:rFonts w:cs="Calibri"/>
                <w:lang w:val="cs-CZ" w:eastAsia="cs-CZ"/>
              </w:rPr>
            </w:pPr>
          </w:p>
        </w:tc>
        <w:tc>
          <w:tcPr>
            <w:tcW w:w="1771" w:type="dxa"/>
            <w:shd w:val="clear" w:color="auto" w:fill="auto"/>
            <w:vAlign w:val="center"/>
          </w:tcPr>
          <w:p w:rsidR="00314F05" w:rsidRPr="008B53A9" w:rsidRDefault="00314F05" w:rsidP="00E84B36">
            <w:pPr>
              <w:pStyle w:val="Tabulka"/>
              <w:jc w:val="right"/>
              <w:rPr>
                <w:rFonts w:cs="Calibri"/>
                <w:lang w:val="cs-CZ" w:eastAsia="cs-CZ"/>
              </w:rPr>
            </w:pPr>
          </w:p>
        </w:tc>
        <w:tc>
          <w:tcPr>
            <w:tcW w:w="639" w:type="dxa"/>
            <w:shd w:val="clear" w:color="auto" w:fill="auto"/>
            <w:vAlign w:val="center"/>
          </w:tcPr>
          <w:p w:rsidR="00314F05" w:rsidRPr="008B53A9" w:rsidRDefault="00314F05" w:rsidP="008B4F22">
            <w:pPr>
              <w:pStyle w:val="Tabulka"/>
              <w:rPr>
                <w:rFonts w:cs="Calibri"/>
                <w:lang w:val="cs-CZ" w:eastAsia="cs-CZ"/>
              </w:rPr>
            </w:pPr>
          </w:p>
        </w:tc>
        <w:tc>
          <w:tcPr>
            <w:tcW w:w="1692" w:type="dxa"/>
            <w:shd w:val="clear" w:color="auto" w:fill="auto"/>
            <w:vAlign w:val="center"/>
          </w:tcPr>
          <w:p w:rsidR="00314F05" w:rsidRPr="008B53A9" w:rsidRDefault="00314F05" w:rsidP="00E84B36">
            <w:pPr>
              <w:pStyle w:val="Tabulka"/>
              <w:jc w:val="right"/>
              <w:rPr>
                <w:rFonts w:cs="Calibri"/>
                <w:lang w:val="cs-CZ" w:eastAsia="cs-CZ"/>
              </w:rPr>
            </w:pPr>
          </w:p>
        </w:tc>
        <w:tc>
          <w:tcPr>
            <w:tcW w:w="576" w:type="dxa"/>
            <w:shd w:val="clear" w:color="auto" w:fill="auto"/>
            <w:vAlign w:val="center"/>
          </w:tcPr>
          <w:p w:rsidR="00314F05" w:rsidRPr="008B53A9" w:rsidRDefault="00314F05" w:rsidP="008B4F22">
            <w:pPr>
              <w:pStyle w:val="Tabulka"/>
              <w:rPr>
                <w:rFonts w:cs="Calibri"/>
                <w:lang w:val="cs-CZ" w:eastAsia="cs-CZ"/>
              </w:rPr>
            </w:pPr>
          </w:p>
        </w:tc>
        <w:tc>
          <w:tcPr>
            <w:tcW w:w="1756" w:type="dxa"/>
            <w:shd w:val="clear" w:color="auto" w:fill="auto"/>
            <w:vAlign w:val="center"/>
          </w:tcPr>
          <w:p w:rsidR="00314F05" w:rsidRPr="008B53A9" w:rsidRDefault="00314F05" w:rsidP="00E84B36">
            <w:pPr>
              <w:pStyle w:val="Tabulka"/>
              <w:jc w:val="right"/>
              <w:rPr>
                <w:rFonts w:cs="Calibri"/>
                <w:lang w:val="cs-CZ" w:eastAsia="cs-CZ"/>
              </w:rPr>
            </w:pPr>
          </w:p>
        </w:tc>
      </w:tr>
      <w:tr w:rsidR="00314F05" w:rsidRPr="008B53A9">
        <w:tc>
          <w:tcPr>
            <w:tcW w:w="624" w:type="dxa"/>
            <w:shd w:val="clear" w:color="auto" w:fill="auto"/>
            <w:vAlign w:val="center"/>
          </w:tcPr>
          <w:p w:rsidR="00314F05" w:rsidRPr="008B53A9" w:rsidRDefault="00314F05" w:rsidP="00DD63AD">
            <w:pPr>
              <w:pStyle w:val="Tabulka"/>
              <w:rPr>
                <w:rFonts w:cs="Calibri"/>
                <w:lang w:val="cs-CZ" w:eastAsia="cs-CZ"/>
              </w:rPr>
            </w:pPr>
            <w:r w:rsidRPr="008B53A9">
              <w:rPr>
                <w:rFonts w:cs="Calibri"/>
                <w:lang w:val="cs-CZ" w:eastAsia="cs-CZ"/>
              </w:rPr>
              <w:t>016</w:t>
            </w:r>
          </w:p>
        </w:tc>
        <w:tc>
          <w:tcPr>
            <w:tcW w:w="1707" w:type="dxa"/>
            <w:shd w:val="clear" w:color="auto" w:fill="auto"/>
            <w:vAlign w:val="center"/>
          </w:tcPr>
          <w:p w:rsidR="00314F05" w:rsidRPr="008B53A9" w:rsidRDefault="00314F05" w:rsidP="00E84B36">
            <w:pPr>
              <w:pStyle w:val="Tabulka"/>
              <w:jc w:val="right"/>
              <w:rPr>
                <w:rFonts w:cs="Calibri"/>
                <w:lang w:val="cs-CZ" w:eastAsia="cs-CZ"/>
              </w:rPr>
            </w:pPr>
            <w:r w:rsidRPr="008B53A9">
              <w:rPr>
                <w:rFonts w:cs="Calibri"/>
                <w:lang w:val="cs-CZ" w:eastAsia="cs-CZ"/>
              </w:rPr>
              <w:t>42 858 502</w:t>
            </w:r>
          </w:p>
        </w:tc>
        <w:tc>
          <w:tcPr>
            <w:tcW w:w="561" w:type="dxa"/>
            <w:shd w:val="clear" w:color="auto" w:fill="auto"/>
            <w:vAlign w:val="center"/>
          </w:tcPr>
          <w:p w:rsidR="00314F05" w:rsidRPr="008B53A9" w:rsidRDefault="00314F05" w:rsidP="008B4F22">
            <w:pPr>
              <w:pStyle w:val="Tabulka"/>
              <w:rPr>
                <w:rFonts w:cs="Calibri"/>
                <w:lang w:val="cs-CZ" w:eastAsia="cs-CZ"/>
              </w:rPr>
            </w:pPr>
          </w:p>
        </w:tc>
        <w:tc>
          <w:tcPr>
            <w:tcW w:w="1771" w:type="dxa"/>
            <w:shd w:val="clear" w:color="auto" w:fill="auto"/>
            <w:vAlign w:val="center"/>
          </w:tcPr>
          <w:p w:rsidR="00314F05" w:rsidRPr="008B53A9" w:rsidRDefault="00314F05" w:rsidP="00E84B36">
            <w:pPr>
              <w:pStyle w:val="Tabulka"/>
              <w:jc w:val="right"/>
              <w:rPr>
                <w:rFonts w:cs="Calibri"/>
                <w:lang w:val="cs-CZ" w:eastAsia="cs-CZ"/>
              </w:rPr>
            </w:pPr>
          </w:p>
        </w:tc>
        <w:tc>
          <w:tcPr>
            <w:tcW w:w="639" w:type="dxa"/>
            <w:shd w:val="clear" w:color="auto" w:fill="auto"/>
            <w:vAlign w:val="center"/>
          </w:tcPr>
          <w:p w:rsidR="00314F05" w:rsidRPr="008B53A9" w:rsidRDefault="00314F05" w:rsidP="008B4F22">
            <w:pPr>
              <w:pStyle w:val="Tabulka"/>
              <w:rPr>
                <w:rFonts w:cs="Calibri"/>
                <w:lang w:val="cs-CZ" w:eastAsia="cs-CZ"/>
              </w:rPr>
            </w:pPr>
          </w:p>
        </w:tc>
        <w:tc>
          <w:tcPr>
            <w:tcW w:w="1692" w:type="dxa"/>
            <w:shd w:val="clear" w:color="auto" w:fill="auto"/>
            <w:vAlign w:val="center"/>
          </w:tcPr>
          <w:p w:rsidR="00314F05" w:rsidRPr="008B53A9" w:rsidRDefault="00314F05" w:rsidP="00E84B36">
            <w:pPr>
              <w:pStyle w:val="Tabulka"/>
              <w:jc w:val="right"/>
              <w:rPr>
                <w:rFonts w:cs="Calibri"/>
                <w:lang w:val="cs-CZ" w:eastAsia="cs-CZ"/>
              </w:rPr>
            </w:pPr>
          </w:p>
        </w:tc>
        <w:tc>
          <w:tcPr>
            <w:tcW w:w="576" w:type="dxa"/>
            <w:shd w:val="clear" w:color="auto" w:fill="auto"/>
            <w:vAlign w:val="center"/>
          </w:tcPr>
          <w:p w:rsidR="00314F05" w:rsidRPr="008B53A9" w:rsidRDefault="00314F05" w:rsidP="008B4F22">
            <w:pPr>
              <w:pStyle w:val="Tabulka"/>
              <w:rPr>
                <w:rFonts w:cs="Calibri"/>
                <w:lang w:val="cs-CZ" w:eastAsia="cs-CZ"/>
              </w:rPr>
            </w:pPr>
          </w:p>
        </w:tc>
        <w:tc>
          <w:tcPr>
            <w:tcW w:w="1756" w:type="dxa"/>
            <w:shd w:val="clear" w:color="auto" w:fill="auto"/>
            <w:vAlign w:val="center"/>
          </w:tcPr>
          <w:p w:rsidR="00314F05" w:rsidRPr="008B53A9" w:rsidRDefault="00314F05" w:rsidP="00E84B36">
            <w:pPr>
              <w:pStyle w:val="Tabulka"/>
              <w:jc w:val="right"/>
              <w:rPr>
                <w:rFonts w:cs="Calibri"/>
                <w:lang w:val="cs-CZ" w:eastAsia="cs-CZ"/>
              </w:rPr>
            </w:pPr>
          </w:p>
        </w:tc>
      </w:tr>
      <w:tr w:rsidR="00314F05" w:rsidRPr="008B53A9">
        <w:tc>
          <w:tcPr>
            <w:tcW w:w="624" w:type="dxa"/>
            <w:shd w:val="clear" w:color="auto" w:fill="auto"/>
            <w:vAlign w:val="center"/>
          </w:tcPr>
          <w:p w:rsidR="00314F05" w:rsidRPr="008B53A9" w:rsidRDefault="00314F05" w:rsidP="00DD63AD">
            <w:pPr>
              <w:pStyle w:val="Tabulka"/>
              <w:rPr>
                <w:rFonts w:cs="Calibri"/>
                <w:lang w:val="cs-CZ" w:eastAsia="cs-CZ"/>
              </w:rPr>
            </w:pPr>
            <w:r w:rsidRPr="008B53A9">
              <w:rPr>
                <w:rFonts w:cs="Calibri"/>
                <w:lang w:val="cs-CZ" w:eastAsia="cs-CZ"/>
              </w:rPr>
              <w:t>068</w:t>
            </w:r>
          </w:p>
        </w:tc>
        <w:tc>
          <w:tcPr>
            <w:tcW w:w="1707" w:type="dxa"/>
            <w:shd w:val="clear" w:color="auto" w:fill="auto"/>
            <w:vAlign w:val="center"/>
          </w:tcPr>
          <w:p w:rsidR="00314F05" w:rsidRPr="008B53A9" w:rsidRDefault="00314F05" w:rsidP="00E84B36">
            <w:pPr>
              <w:pStyle w:val="Tabulka"/>
              <w:jc w:val="right"/>
              <w:rPr>
                <w:rFonts w:cs="Calibri"/>
                <w:lang w:val="cs-CZ" w:eastAsia="cs-CZ"/>
              </w:rPr>
            </w:pPr>
            <w:r w:rsidRPr="008B53A9">
              <w:rPr>
                <w:rFonts w:cs="Calibri"/>
                <w:lang w:val="cs-CZ" w:eastAsia="cs-CZ"/>
              </w:rPr>
              <w:t>447 748 336</w:t>
            </w:r>
          </w:p>
        </w:tc>
        <w:tc>
          <w:tcPr>
            <w:tcW w:w="561" w:type="dxa"/>
            <w:shd w:val="clear" w:color="auto" w:fill="auto"/>
            <w:vAlign w:val="center"/>
          </w:tcPr>
          <w:p w:rsidR="00314F05" w:rsidRPr="008B53A9" w:rsidRDefault="00314F05" w:rsidP="008B4F22">
            <w:pPr>
              <w:pStyle w:val="Tabulka"/>
              <w:rPr>
                <w:rFonts w:cs="Calibri"/>
                <w:lang w:val="cs-CZ" w:eastAsia="cs-CZ"/>
              </w:rPr>
            </w:pPr>
          </w:p>
        </w:tc>
        <w:tc>
          <w:tcPr>
            <w:tcW w:w="1771" w:type="dxa"/>
            <w:shd w:val="clear" w:color="auto" w:fill="auto"/>
            <w:vAlign w:val="center"/>
          </w:tcPr>
          <w:p w:rsidR="00314F05" w:rsidRPr="008B53A9" w:rsidRDefault="00314F05" w:rsidP="00E84B36">
            <w:pPr>
              <w:pStyle w:val="Tabulka"/>
              <w:jc w:val="right"/>
              <w:rPr>
                <w:rFonts w:cs="Calibri"/>
                <w:lang w:val="cs-CZ" w:eastAsia="cs-CZ"/>
              </w:rPr>
            </w:pPr>
          </w:p>
        </w:tc>
        <w:tc>
          <w:tcPr>
            <w:tcW w:w="639" w:type="dxa"/>
            <w:shd w:val="clear" w:color="auto" w:fill="auto"/>
            <w:vAlign w:val="center"/>
          </w:tcPr>
          <w:p w:rsidR="00314F05" w:rsidRPr="008B53A9" w:rsidRDefault="00314F05" w:rsidP="008B4F22">
            <w:pPr>
              <w:pStyle w:val="Tabulka"/>
              <w:rPr>
                <w:rFonts w:cs="Calibri"/>
                <w:lang w:val="cs-CZ" w:eastAsia="cs-CZ"/>
              </w:rPr>
            </w:pPr>
          </w:p>
        </w:tc>
        <w:tc>
          <w:tcPr>
            <w:tcW w:w="1692" w:type="dxa"/>
            <w:shd w:val="clear" w:color="auto" w:fill="auto"/>
            <w:vAlign w:val="center"/>
          </w:tcPr>
          <w:p w:rsidR="00314F05" w:rsidRPr="008B53A9" w:rsidRDefault="00314F05" w:rsidP="00E84B36">
            <w:pPr>
              <w:pStyle w:val="Tabulka"/>
              <w:jc w:val="right"/>
              <w:rPr>
                <w:rFonts w:cs="Calibri"/>
                <w:lang w:val="cs-CZ" w:eastAsia="cs-CZ"/>
              </w:rPr>
            </w:pPr>
          </w:p>
        </w:tc>
        <w:tc>
          <w:tcPr>
            <w:tcW w:w="576" w:type="dxa"/>
            <w:shd w:val="clear" w:color="auto" w:fill="auto"/>
            <w:vAlign w:val="center"/>
          </w:tcPr>
          <w:p w:rsidR="00314F05" w:rsidRPr="008B53A9" w:rsidRDefault="00314F05" w:rsidP="008B4F22">
            <w:pPr>
              <w:pStyle w:val="Tabulka"/>
              <w:rPr>
                <w:rFonts w:cs="Calibri"/>
                <w:lang w:val="cs-CZ" w:eastAsia="cs-CZ"/>
              </w:rPr>
            </w:pPr>
          </w:p>
        </w:tc>
        <w:tc>
          <w:tcPr>
            <w:tcW w:w="1756" w:type="dxa"/>
            <w:shd w:val="clear" w:color="auto" w:fill="auto"/>
            <w:vAlign w:val="center"/>
          </w:tcPr>
          <w:p w:rsidR="00314F05" w:rsidRPr="008B53A9" w:rsidRDefault="00314F05" w:rsidP="00E84B36">
            <w:pPr>
              <w:pStyle w:val="Tabulka"/>
              <w:jc w:val="right"/>
              <w:rPr>
                <w:rFonts w:cs="Calibri"/>
                <w:lang w:val="cs-CZ" w:eastAsia="cs-CZ"/>
              </w:rPr>
            </w:pPr>
          </w:p>
        </w:tc>
      </w:tr>
      <w:tr w:rsidR="00314F05" w:rsidRPr="008B53A9">
        <w:tc>
          <w:tcPr>
            <w:tcW w:w="624" w:type="dxa"/>
            <w:shd w:val="clear" w:color="auto" w:fill="auto"/>
            <w:vAlign w:val="center"/>
          </w:tcPr>
          <w:p w:rsidR="00314F05" w:rsidRPr="008B53A9" w:rsidRDefault="00314F05" w:rsidP="00DD63AD">
            <w:pPr>
              <w:pStyle w:val="Tabulka"/>
              <w:rPr>
                <w:rFonts w:cs="Calibri"/>
                <w:lang w:val="cs-CZ" w:eastAsia="cs-CZ"/>
              </w:rPr>
            </w:pPr>
            <w:r w:rsidRPr="008B53A9">
              <w:rPr>
                <w:rFonts w:cs="Calibri"/>
                <w:lang w:val="cs-CZ" w:eastAsia="cs-CZ"/>
              </w:rPr>
              <w:t>069</w:t>
            </w:r>
          </w:p>
        </w:tc>
        <w:tc>
          <w:tcPr>
            <w:tcW w:w="1707" w:type="dxa"/>
            <w:shd w:val="clear" w:color="auto" w:fill="auto"/>
            <w:vAlign w:val="center"/>
          </w:tcPr>
          <w:p w:rsidR="00314F05" w:rsidRPr="008B53A9" w:rsidRDefault="00314F05" w:rsidP="00E84B36">
            <w:pPr>
              <w:pStyle w:val="Tabulka"/>
              <w:jc w:val="right"/>
              <w:rPr>
                <w:rFonts w:cs="Calibri"/>
                <w:lang w:val="cs-CZ" w:eastAsia="cs-CZ"/>
              </w:rPr>
            </w:pPr>
            <w:r w:rsidRPr="008B53A9">
              <w:rPr>
                <w:rFonts w:cs="Calibri"/>
                <w:lang w:val="cs-CZ" w:eastAsia="cs-CZ"/>
              </w:rPr>
              <w:t>22 529 847</w:t>
            </w:r>
          </w:p>
        </w:tc>
        <w:tc>
          <w:tcPr>
            <w:tcW w:w="561" w:type="dxa"/>
            <w:shd w:val="clear" w:color="auto" w:fill="auto"/>
            <w:vAlign w:val="center"/>
          </w:tcPr>
          <w:p w:rsidR="00314F05" w:rsidRPr="008B53A9" w:rsidRDefault="00314F05" w:rsidP="008B4F22">
            <w:pPr>
              <w:pStyle w:val="Tabulka"/>
              <w:rPr>
                <w:rFonts w:cs="Calibri"/>
                <w:lang w:val="cs-CZ" w:eastAsia="cs-CZ"/>
              </w:rPr>
            </w:pPr>
          </w:p>
        </w:tc>
        <w:tc>
          <w:tcPr>
            <w:tcW w:w="1771" w:type="dxa"/>
            <w:shd w:val="clear" w:color="auto" w:fill="auto"/>
            <w:vAlign w:val="center"/>
          </w:tcPr>
          <w:p w:rsidR="00314F05" w:rsidRPr="008B53A9" w:rsidRDefault="00314F05" w:rsidP="00E84B36">
            <w:pPr>
              <w:pStyle w:val="Tabulka"/>
              <w:jc w:val="right"/>
              <w:rPr>
                <w:rFonts w:cs="Calibri"/>
                <w:lang w:val="cs-CZ" w:eastAsia="cs-CZ"/>
              </w:rPr>
            </w:pPr>
          </w:p>
        </w:tc>
        <w:tc>
          <w:tcPr>
            <w:tcW w:w="639" w:type="dxa"/>
            <w:shd w:val="clear" w:color="auto" w:fill="auto"/>
            <w:vAlign w:val="center"/>
          </w:tcPr>
          <w:p w:rsidR="00314F05" w:rsidRPr="008B53A9" w:rsidRDefault="00314F05" w:rsidP="008B4F22">
            <w:pPr>
              <w:pStyle w:val="Tabulka"/>
              <w:rPr>
                <w:rFonts w:cs="Calibri"/>
                <w:lang w:val="cs-CZ" w:eastAsia="cs-CZ"/>
              </w:rPr>
            </w:pPr>
          </w:p>
        </w:tc>
        <w:tc>
          <w:tcPr>
            <w:tcW w:w="1692" w:type="dxa"/>
            <w:shd w:val="clear" w:color="auto" w:fill="auto"/>
            <w:vAlign w:val="center"/>
          </w:tcPr>
          <w:p w:rsidR="00314F05" w:rsidRPr="008B53A9" w:rsidRDefault="00314F05" w:rsidP="00E84B36">
            <w:pPr>
              <w:pStyle w:val="Tabulka"/>
              <w:jc w:val="right"/>
              <w:rPr>
                <w:rFonts w:cs="Calibri"/>
                <w:lang w:val="cs-CZ" w:eastAsia="cs-CZ"/>
              </w:rPr>
            </w:pPr>
          </w:p>
        </w:tc>
        <w:tc>
          <w:tcPr>
            <w:tcW w:w="576" w:type="dxa"/>
            <w:shd w:val="clear" w:color="auto" w:fill="auto"/>
            <w:vAlign w:val="center"/>
          </w:tcPr>
          <w:p w:rsidR="00314F05" w:rsidRPr="008B53A9" w:rsidRDefault="00314F05" w:rsidP="008B4F22">
            <w:pPr>
              <w:pStyle w:val="Tabulka"/>
              <w:rPr>
                <w:rFonts w:cs="Calibri"/>
                <w:lang w:val="cs-CZ" w:eastAsia="cs-CZ"/>
              </w:rPr>
            </w:pPr>
          </w:p>
        </w:tc>
        <w:tc>
          <w:tcPr>
            <w:tcW w:w="1756" w:type="dxa"/>
            <w:shd w:val="clear" w:color="auto" w:fill="auto"/>
            <w:vAlign w:val="center"/>
          </w:tcPr>
          <w:p w:rsidR="00314F05" w:rsidRPr="008B53A9" w:rsidRDefault="00314F05" w:rsidP="00E84B36">
            <w:pPr>
              <w:pStyle w:val="Tabulka"/>
              <w:jc w:val="right"/>
              <w:rPr>
                <w:rFonts w:cs="Calibri"/>
                <w:lang w:val="cs-CZ" w:eastAsia="cs-CZ"/>
              </w:rPr>
            </w:pPr>
          </w:p>
        </w:tc>
      </w:tr>
      <w:tr w:rsidR="00314F05" w:rsidRPr="008B53A9">
        <w:tc>
          <w:tcPr>
            <w:tcW w:w="624" w:type="dxa"/>
            <w:shd w:val="clear" w:color="auto" w:fill="auto"/>
            <w:vAlign w:val="center"/>
          </w:tcPr>
          <w:p w:rsidR="00314F05" w:rsidRPr="008B53A9" w:rsidRDefault="00314F05" w:rsidP="00DD63AD">
            <w:pPr>
              <w:pStyle w:val="Tabulka"/>
              <w:rPr>
                <w:rFonts w:cs="Calibri"/>
                <w:lang w:val="cs-CZ" w:eastAsia="cs-CZ"/>
              </w:rPr>
            </w:pPr>
            <w:r w:rsidRPr="008B53A9">
              <w:rPr>
                <w:rFonts w:cs="Calibri"/>
                <w:lang w:val="cs-CZ" w:eastAsia="cs-CZ"/>
              </w:rPr>
              <w:t>070</w:t>
            </w:r>
          </w:p>
        </w:tc>
        <w:tc>
          <w:tcPr>
            <w:tcW w:w="1707" w:type="dxa"/>
            <w:shd w:val="clear" w:color="auto" w:fill="auto"/>
            <w:vAlign w:val="center"/>
          </w:tcPr>
          <w:p w:rsidR="00314F05" w:rsidRPr="008B53A9" w:rsidRDefault="00314F05" w:rsidP="00E84B36">
            <w:pPr>
              <w:pStyle w:val="Tabulka"/>
              <w:jc w:val="right"/>
              <w:rPr>
                <w:rFonts w:cs="Calibri"/>
                <w:lang w:val="cs-CZ" w:eastAsia="cs-CZ"/>
              </w:rPr>
            </w:pPr>
            <w:r w:rsidRPr="008B53A9">
              <w:rPr>
                <w:rFonts w:cs="Calibri"/>
                <w:lang w:val="cs-CZ" w:eastAsia="cs-CZ"/>
              </w:rPr>
              <w:t>298 498 890</w:t>
            </w:r>
          </w:p>
        </w:tc>
        <w:tc>
          <w:tcPr>
            <w:tcW w:w="561" w:type="dxa"/>
            <w:shd w:val="clear" w:color="auto" w:fill="auto"/>
            <w:vAlign w:val="center"/>
          </w:tcPr>
          <w:p w:rsidR="00314F05" w:rsidRPr="008B53A9" w:rsidRDefault="00314F05" w:rsidP="008B4F22">
            <w:pPr>
              <w:pStyle w:val="Tabulka"/>
              <w:rPr>
                <w:rFonts w:cs="Calibri"/>
                <w:lang w:val="cs-CZ" w:eastAsia="cs-CZ"/>
              </w:rPr>
            </w:pPr>
          </w:p>
        </w:tc>
        <w:tc>
          <w:tcPr>
            <w:tcW w:w="1771" w:type="dxa"/>
            <w:shd w:val="clear" w:color="auto" w:fill="auto"/>
            <w:vAlign w:val="center"/>
          </w:tcPr>
          <w:p w:rsidR="00314F05" w:rsidRPr="008B53A9" w:rsidRDefault="00314F05" w:rsidP="00E84B36">
            <w:pPr>
              <w:pStyle w:val="Tabulka"/>
              <w:jc w:val="right"/>
              <w:rPr>
                <w:rFonts w:cs="Calibri"/>
                <w:lang w:val="cs-CZ" w:eastAsia="cs-CZ"/>
              </w:rPr>
            </w:pPr>
          </w:p>
        </w:tc>
        <w:tc>
          <w:tcPr>
            <w:tcW w:w="639" w:type="dxa"/>
            <w:shd w:val="clear" w:color="auto" w:fill="auto"/>
            <w:vAlign w:val="center"/>
          </w:tcPr>
          <w:p w:rsidR="00314F05" w:rsidRPr="008B53A9" w:rsidRDefault="00314F05" w:rsidP="008B4F22">
            <w:pPr>
              <w:pStyle w:val="Tabulka"/>
              <w:rPr>
                <w:rFonts w:cs="Calibri"/>
                <w:lang w:val="cs-CZ" w:eastAsia="cs-CZ"/>
              </w:rPr>
            </w:pPr>
          </w:p>
        </w:tc>
        <w:tc>
          <w:tcPr>
            <w:tcW w:w="1692" w:type="dxa"/>
            <w:shd w:val="clear" w:color="auto" w:fill="auto"/>
            <w:vAlign w:val="center"/>
          </w:tcPr>
          <w:p w:rsidR="00314F05" w:rsidRPr="008B53A9" w:rsidRDefault="00314F05" w:rsidP="00E84B36">
            <w:pPr>
              <w:pStyle w:val="Tabulka"/>
              <w:jc w:val="right"/>
              <w:rPr>
                <w:rFonts w:cs="Calibri"/>
                <w:lang w:val="cs-CZ" w:eastAsia="cs-CZ"/>
              </w:rPr>
            </w:pPr>
          </w:p>
        </w:tc>
        <w:tc>
          <w:tcPr>
            <w:tcW w:w="576" w:type="dxa"/>
            <w:shd w:val="clear" w:color="auto" w:fill="auto"/>
            <w:vAlign w:val="center"/>
          </w:tcPr>
          <w:p w:rsidR="00314F05" w:rsidRPr="008B53A9" w:rsidRDefault="00314F05" w:rsidP="008B4F22">
            <w:pPr>
              <w:pStyle w:val="Tabulka"/>
              <w:rPr>
                <w:rFonts w:cs="Calibri"/>
                <w:lang w:val="cs-CZ" w:eastAsia="cs-CZ"/>
              </w:rPr>
            </w:pPr>
          </w:p>
        </w:tc>
        <w:tc>
          <w:tcPr>
            <w:tcW w:w="1756" w:type="dxa"/>
            <w:shd w:val="clear" w:color="auto" w:fill="auto"/>
            <w:vAlign w:val="center"/>
          </w:tcPr>
          <w:p w:rsidR="00314F05" w:rsidRPr="008B53A9" w:rsidRDefault="00314F05" w:rsidP="00E84B36">
            <w:pPr>
              <w:pStyle w:val="Tabulka"/>
              <w:jc w:val="right"/>
              <w:rPr>
                <w:rFonts w:cs="Calibri"/>
                <w:lang w:val="cs-CZ" w:eastAsia="cs-CZ"/>
              </w:rPr>
            </w:pPr>
          </w:p>
        </w:tc>
      </w:tr>
    </w:tbl>
    <w:p w:rsidR="00B53995" w:rsidRPr="008B53A9" w:rsidRDefault="00B53995" w:rsidP="005F43DF">
      <w:pPr>
        <w:pStyle w:val="kapitola2A0"/>
        <w:numPr>
          <w:ilvl w:val="2"/>
          <w:numId w:val="74"/>
        </w:numPr>
      </w:pPr>
      <w:bookmarkStart w:id="85" w:name="_Toc351464403"/>
      <w:bookmarkStart w:id="86" w:name="_Toc391539650"/>
      <w:r w:rsidRPr="008B53A9">
        <w:t>Přehled plánovaného využití technické pomoci, je-li to nutné, včetně opatření na posílení správní kapacity orgánů zapojených do řízení a kontroly programů a příjemců (použije-li se)</w:t>
      </w:r>
      <w:bookmarkEnd w:id="86"/>
    </w:p>
    <w:p w:rsidR="000373F5" w:rsidRPr="008B53A9" w:rsidRDefault="000373F5" w:rsidP="000373F5">
      <w:pPr>
        <w:pStyle w:val="Standardntext"/>
        <w:rPr>
          <w:color w:val="FF0000"/>
        </w:rPr>
      </w:pPr>
      <w:r w:rsidRPr="008B53A9">
        <w:t>S ohledem na čl. 37 odst. 5 obecného nařízení, podle kterého investice, které mají být podporovány prostřednictvím finančních nástrojů, nesmí být ke dni, kdy bylo přijato investiční rozhodnutí, fyzicky dokončeny nebo plně provedeny, a v návaznosti na čl. 37 odst. 7 obecného nařízení a čl. 6 aktu v přenesené pravomoci, předpokládá řídící orgán možnost kombinace finančních nástrojů prioritní osy 3 s technickou podporou na technickou přípravu investic konečnými příjemci</w:t>
      </w:r>
      <w:r w:rsidR="003B1E54" w:rsidRPr="008B53A9">
        <w:rPr>
          <w:rStyle w:val="Znakapoznpodarou"/>
        </w:rPr>
        <w:footnoteReference w:id="71"/>
      </w:r>
      <w:r w:rsidRPr="008B53A9">
        <w:t>.</w:t>
      </w:r>
    </w:p>
    <w:p w:rsidR="001B7120" w:rsidRPr="008B53A9" w:rsidRDefault="001B7120" w:rsidP="001B7120">
      <w:pPr>
        <w:pStyle w:val="Standardntext"/>
        <w:rPr>
          <w:color w:val="FF0000"/>
        </w:rPr>
      </w:pPr>
      <w:r w:rsidRPr="008B53A9">
        <w:rPr>
          <w:color w:val="FF0000"/>
        </w:rPr>
        <w:br w:type="page"/>
      </w:r>
    </w:p>
    <w:p w:rsidR="00B53995" w:rsidRPr="008B53A9" w:rsidRDefault="00B53995" w:rsidP="005F43DF">
      <w:pPr>
        <w:pStyle w:val="kapitola2A0"/>
        <w:numPr>
          <w:ilvl w:val="2"/>
          <w:numId w:val="25"/>
        </w:numPr>
      </w:pPr>
      <w:bookmarkStart w:id="87" w:name="_Toc351464405"/>
      <w:bookmarkStart w:id="88" w:name="_Toc391539651"/>
      <w:bookmarkEnd w:id="85"/>
      <w:r w:rsidRPr="008B53A9">
        <w:lastRenderedPageBreak/>
        <w:t>PRIORITNÍ OSA 4: Rozvoj vysokorychlostních přístupových sítí k internetu a informačních a komunikačních technologií</w:t>
      </w:r>
      <w:bookmarkEnd w:id="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0"/>
        <w:gridCol w:w="498"/>
      </w:tblGrid>
      <w:tr w:rsidR="00B53995" w:rsidRPr="008B53A9">
        <w:tc>
          <w:tcPr>
            <w:tcW w:w="4736" w:type="pct"/>
            <w:shd w:val="clear" w:color="auto" w:fill="auto"/>
            <w:vAlign w:val="center"/>
          </w:tcPr>
          <w:p w:rsidR="00B53995" w:rsidRPr="008B53A9" w:rsidRDefault="00B53995" w:rsidP="00B53995">
            <w:pPr>
              <w:pStyle w:val="Tabulka"/>
              <w:jc w:val="left"/>
              <w:rPr>
                <w:rFonts w:cs="Calibri"/>
                <w:lang w:val="cs-CZ" w:eastAsia="cs-CZ"/>
              </w:rPr>
            </w:pPr>
            <w:r w:rsidRPr="008B53A9">
              <w:rPr>
                <w:rFonts w:cs="Calibri"/>
                <w:lang w:val="cs-CZ" w:eastAsia="cs-CZ"/>
              </w:rPr>
              <w:t>Celá prioritní osa bude realizována výhradně prostřednictvím finančních nástrojů</w:t>
            </w:r>
          </w:p>
        </w:tc>
        <w:tc>
          <w:tcPr>
            <w:tcW w:w="264" w:type="pct"/>
            <w:shd w:val="clear" w:color="auto" w:fill="auto"/>
            <w:vAlign w:val="center"/>
          </w:tcPr>
          <w:p w:rsidR="00B53995" w:rsidRPr="008B53A9" w:rsidRDefault="00B53995" w:rsidP="00B53995">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r w:rsidR="00B53995" w:rsidRPr="008B53A9">
        <w:tc>
          <w:tcPr>
            <w:tcW w:w="4736" w:type="pct"/>
            <w:shd w:val="clear" w:color="auto" w:fill="auto"/>
            <w:vAlign w:val="center"/>
          </w:tcPr>
          <w:p w:rsidR="00B53995" w:rsidRPr="008B53A9" w:rsidRDefault="00B53995" w:rsidP="00B53995">
            <w:pPr>
              <w:pStyle w:val="Tabulka"/>
              <w:jc w:val="left"/>
              <w:rPr>
                <w:rFonts w:cs="Calibri"/>
                <w:lang w:val="cs-CZ" w:eastAsia="cs-CZ"/>
              </w:rPr>
            </w:pPr>
            <w:r w:rsidRPr="008B53A9">
              <w:rPr>
                <w:rFonts w:cs="Calibri"/>
                <w:lang w:val="cs-CZ" w:eastAsia="cs-CZ"/>
              </w:rPr>
              <w:t>Celá prioritní osa bude realizována výhradně prostřednictvím finančních nástrojů zřízených na úrovni Unie</w:t>
            </w:r>
          </w:p>
        </w:tc>
        <w:tc>
          <w:tcPr>
            <w:tcW w:w="264" w:type="pct"/>
            <w:shd w:val="clear" w:color="auto" w:fill="auto"/>
            <w:vAlign w:val="center"/>
          </w:tcPr>
          <w:p w:rsidR="00B53995" w:rsidRPr="008B53A9" w:rsidRDefault="00B53995" w:rsidP="00B53995">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r w:rsidR="00B53995" w:rsidRPr="008B53A9">
        <w:tc>
          <w:tcPr>
            <w:tcW w:w="4736" w:type="pct"/>
            <w:shd w:val="clear" w:color="auto" w:fill="auto"/>
            <w:vAlign w:val="center"/>
          </w:tcPr>
          <w:p w:rsidR="00B53995" w:rsidRPr="008B53A9" w:rsidRDefault="00B53995" w:rsidP="00B53995">
            <w:pPr>
              <w:pStyle w:val="Tabulka"/>
              <w:jc w:val="left"/>
              <w:rPr>
                <w:rFonts w:cs="Calibri"/>
                <w:lang w:val="cs-CZ" w:eastAsia="cs-CZ"/>
              </w:rPr>
            </w:pPr>
            <w:r w:rsidRPr="008B53A9">
              <w:rPr>
                <w:rFonts w:cs="Calibri"/>
                <w:lang w:val="cs-CZ" w:eastAsia="cs-CZ"/>
              </w:rPr>
              <w:t>Celá prioritní osa bude realizována výhradně prostřednictvím komunitně vedeného místního rozvoje</w:t>
            </w:r>
          </w:p>
        </w:tc>
        <w:tc>
          <w:tcPr>
            <w:tcW w:w="264" w:type="pct"/>
            <w:shd w:val="clear" w:color="auto" w:fill="auto"/>
            <w:vAlign w:val="center"/>
          </w:tcPr>
          <w:p w:rsidR="00B53995" w:rsidRPr="008B53A9" w:rsidRDefault="00B53995" w:rsidP="00B53995">
            <w:pPr>
              <w:pStyle w:val="Tabulka"/>
              <w:rPr>
                <w:rFonts w:cs="Calibri"/>
                <w:lang w:val="cs-CZ" w:eastAsia="cs-CZ"/>
              </w:rPr>
            </w:pPr>
            <w:r w:rsidRPr="008B53A9">
              <w:rPr>
                <w:rFonts w:cs="Calibri"/>
                <w:lang w:val="cs-CZ" w:eastAsia="cs-CZ"/>
              </w:rPr>
              <w:fldChar w:fldCharType="begin">
                <w:ffData>
                  <w:name w:val="Check1"/>
                  <w:enabled/>
                  <w:calcOnExit w:val="0"/>
                  <w:checkBox>
                    <w:sizeAuto/>
                    <w:default w:val="0"/>
                  </w:checkBox>
                </w:ffData>
              </w:fldChar>
            </w:r>
            <w:r w:rsidRPr="008B53A9">
              <w:rPr>
                <w:rFonts w:cs="Calibri"/>
                <w:lang w:val="cs-CZ" w:eastAsia="cs-CZ"/>
              </w:rPr>
              <w:instrText xml:space="preserve"> FORMCHECKBOX </w:instrText>
            </w:r>
            <w:r w:rsidR="008B53A9" w:rsidRPr="008B53A9">
              <w:rPr>
                <w:rFonts w:cs="Calibri"/>
                <w:lang w:val="cs-CZ" w:eastAsia="cs-CZ"/>
              </w:rPr>
            </w:r>
            <w:r w:rsidR="008B53A9" w:rsidRPr="008B53A9">
              <w:rPr>
                <w:rFonts w:cs="Calibri"/>
                <w:lang w:val="cs-CZ" w:eastAsia="cs-CZ"/>
              </w:rPr>
              <w:fldChar w:fldCharType="separate"/>
            </w:r>
            <w:r w:rsidRPr="008B53A9">
              <w:rPr>
                <w:rFonts w:cs="Calibri"/>
                <w:lang w:val="cs-CZ" w:eastAsia="cs-CZ"/>
              </w:rPr>
              <w:fldChar w:fldCharType="end"/>
            </w:r>
          </w:p>
        </w:tc>
      </w:tr>
    </w:tbl>
    <w:p w:rsidR="00B53995" w:rsidRPr="008B53A9" w:rsidRDefault="00B53995" w:rsidP="005F43DF">
      <w:pPr>
        <w:pStyle w:val="kapitola2A0"/>
        <w:numPr>
          <w:ilvl w:val="2"/>
          <w:numId w:val="25"/>
        </w:numPr>
      </w:pPr>
      <w:bookmarkStart w:id="89" w:name="_Toc391539652"/>
      <w:r w:rsidRPr="008B53A9">
        <w:t>Odůvodnění pro vytvoření prioritní osy, která zahrnuje více než jednu kategorii regionů nebo více než jeden tematický cíl či fond (použije-li se)</w:t>
      </w:r>
      <w:bookmarkEnd w:id="89"/>
    </w:p>
    <w:p w:rsidR="00B53995" w:rsidRPr="008B53A9" w:rsidRDefault="00B53995" w:rsidP="00B53995">
      <w:pPr>
        <w:pStyle w:val="Standardntext"/>
      </w:pPr>
      <w:r w:rsidRPr="008B53A9">
        <w:t>Není relevantní pro OP PIK.</w:t>
      </w:r>
    </w:p>
    <w:p w:rsidR="00B53995" w:rsidRPr="008B53A9" w:rsidRDefault="00B53995" w:rsidP="005F43DF">
      <w:pPr>
        <w:pStyle w:val="kapitola2A0"/>
        <w:numPr>
          <w:ilvl w:val="2"/>
          <w:numId w:val="25"/>
        </w:numPr>
      </w:pPr>
      <w:bookmarkStart w:id="90" w:name="_Toc391539653"/>
      <w:r w:rsidRPr="008B53A9">
        <w:t>Fond, kategorie regionů a základ pro výpočet podpory Unie</w:t>
      </w:r>
      <w:bookmarkEnd w:id="90"/>
    </w:p>
    <w:p w:rsidR="00B53995" w:rsidRPr="008B53A9" w:rsidRDefault="00B53995" w:rsidP="00B53995">
      <w:pPr>
        <w:pStyle w:val="Standardntext"/>
      </w:pPr>
      <w:r w:rsidRPr="008B53A9">
        <w:t>Fond: Evropský fond pro regionální rozvoj</w:t>
      </w:r>
    </w:p>
    <w:p w:rsidR="00B53995" w:rsidRPr="008B53A9" w:rsidRDefault="00B53995" w:rsidP="00B53995">
      <w:pPr>
        <w:pStyle w:val="Standardntext"/>
      </w:pPr>
      <w:r w:rsidRPr="008B53A9">
        <w:t>Kategorie regionů: Méně rozvinuté regiony</w:t>
      </w:r>
    </w:p>
    <w:p w:rsidR="00B53995" w:rsidRPr="008B53A9" w:rsidRDefault="008668C8" w:rsidP="00B53995">
      <w:pPr>
        <w:pStyle w:val="Standardntext"/>
      </w:pPr>
      <w:r w:rsidRPr="008B53A9">
        <w:t>Základ pro výpočet</w:t>
      </w:r>
      <w:r w:rsidRPr="008B53A9">
        <w:rPr>
          <w:lang w:val="cs-CZ"/>
        </w:rPr>
        <w:t xml:space="preserve">: </w:t>
      </w:r>
      <w:r w:rsidRPr="008B53A9">
        <w:t>způsobilé veřejné výdaje</w:t>
      </w:r>
    </w:p>
    <w:p w:rsidR="00B53995" w:rsidRPr="008B53A9" w:rsidRDefault="00B53995" w:rsidP="005F43DF">
      <w:pPr>
        <w:pStyle w:val="kapitola2A0"/>
        <w:numPr>
          <w:ilvl w:val="2"/>
          <w:numId w:val="25"/>
        </w:numPr>
      </w:pPr>
      <w:bookmarkStart w:id="91" w:name="_Toc391539654"/>
      <w:r w:rsidRPr="008B53A9">
        <w:t>INVESTIČNÍ PRIORITA 1 prioritní osy 4: Rozšiřování širokopásmového připojení a zavádění vysokorychlostních sítí a podpora zavádění vznikajících technologií a sítí pro digitální hospodářství</w:t>
      </w:r>
      <w:bookmarkEnd w:id="91"/>
    </w:p>
    <w:p w:rsidR="00150199" w:rsidRPr="008B53A9" w:rsidRDefault="008C7D72" w:rsidP="005F43DF">
      <w:pPr>
        <w:pStyle w:val="kapitola2A0"/>
        <w:numPr>
          <w:ilvl w:val="2"/>
          <w:numId w:val="25"/>
        </w:numPr>
      </w:pPr>
      <w:bookmarkStart w:id="92" w:name="_Toc391539655"/>
      <w:r w:rsidRPr="008B53A9">
        <w:t>Specifické cíle odpovídající investiční prioritě a očekávané výsledky</w:t>
      </w:r>
      <w:bookmarkEnd w:id="92"/>
    </w:p>
    <w:p w:rsidR="00150199" w:rsidRPr="008B53A9" w:rsidRDefault="00150199" w:rsidP="00396141">
      <w:pPr>
        <w:pStyle w:val="Modrnadpis"/>
      </w:pPr>
      <w:r w:rsidRPr="008B53A9">
        <w:t xml:space="preserve">SPECIFICKÝ CÍL </w:t>
      </w:r>
      <w:r w:rsidR="00C71E6F" w:rsidRPr="008B53A9">
        <w:t>4.</w:t>
      </w:r>
      <w:r w:rsidRPr="008B53A9">
        <w:t>1: Zvětš</w:t>
      </w:r>
      <w:r w:rsidR="00771951" w:rsidRPr="008B53A9">
        <w:t xml:space="preserve">it </w:t>
      </w:r>
      <w:r w:rsidRPr="008B53A9">
        <w:t xml:space="preserve">pokrytí vysokorychlostním přístupem k internetu </w:t>
      </w:r>
    </w:p>
    <w:bookmarkEnd w:id="87"/>
    <w:p w:rsidR="00FF3BA2" w:rsidRPr="008B53A9" w:rsidRDefault="00FF3BA2" w:rsidP="009836D4">
      <w:pPr>
        <w:pStyle w:val="Standardntext"/>
      </w:pPr>
      <w:r w:rsidRPr="008B53A9">
        <w:t xml:space="preserve">Sítě pro vysokorychlostní přístup k internetu </w:t>
      </w:r>
      <w:r w:rsidR="003F0354" w:rsidRPr="008B53A9">
        <w:t>umožňující přenosovou rychlost alespoň 30 Mbit/s</w:t>
      </w:r>
      <w:r w:rsidRPr="008B53A9">
        <w:t xml:space="preserve"> patří mezi základní infrastrukturu státu a jsou významným komunikačním prostředkem moderního hospodářství, nepostradatelným nástrojem znalostní společnosti, v níž se uskutečňuje dělba práce a která se orientuje na produkci služeb s</w:t>
      </w:r>
      <w:r w:rsidR="007408D9" w:rsidRPr="008B53A9">
        <w:t> </w:t>
      </w:r>
      <w:r w:rsidRPr="008B53A9">
        <w:t>vysokou</w:t>
      </w:r>
      <w:r w:rsidR="007408D9" w:rsidRPr="008B53A9">
        <w:t xml:space="preserve"> přidanou</w:t>
      </w:r>
      <w:r w:rsidRPr="008B53A9">
        <w:t xml:space="preserve"> hodnotou. </w:t>
      </w:r>
      <w:r w:rsidR="00FF329A" w:rsidRPr="008B53A9">
        <w:t>Hlavním cílem je růst konkurenceschopnosti ekonomiky založený</w:t>
      </w:r>
      <w:r w:rsidR="002449A8" w:rsidRPr="008B53A9">
        <w:t xml:space="preserve"> na</w:t>
      </w:r>
      <w:r w:rsidR="00FF329A" w:rsidRPr="008B53A9">
        <w:t xml:space="preserve"> moderních vysokorychlostních přístupových sítí k internetu.</w:t>
      </w:r>
    </w:p>
    <w:p w:rsidR="003F4488" w:rsidRPr="008B53A9" w:rsidRDefault="003508A9" w:rsidP="00396141">
      <w:pPr>
        <w:pStyle w:val="Modrnadpis"/>
      </w:pPr>
      <w:r w:rsidRPr="008B53A9">
        <w:t>Výsledky, kterých chce ČR dosáhnout s podporou Unie</w:t>
      </w:r>
    </w:p>
    <w:p w:rsidR="00B94C32" w:rsidRPr="008B53A9" w:rsidRDefault="00DF1FBB" w:rsidP="005F43DF">
      <w:pPr>
        <w:pStyle w:val="Standardntext"/>
        <w:numPr>
          <w:ilvl w:val="0"/>
          <w:numId w:val="37"/>
        </w:numPr>
        <w:rPr>
          <w:sz w:val="20"/>
          <w:szCs w:val="20"/>
        </w:rPr>
      </w:pPr>
      <w:r w:rsidRPr="008B53A9">
        <w:t>V</w:t>
      </w:r>
      <w:r w:rsidR="00B94C32" w:rsidRPr="008B53A9">
        <w:t>ybudování dostatečně rozvinuté a dostupné technologické základny v ČR v podobě adekvátní infrastruktury umožňující vysokorychlostní přístup k internetu</w:t>
      </w:r>
      <w:r w:rsidR="00B94C32" w:rsidRPr="008B53A9">
        <w:rPr>
          <w:color w:val="000000"/>
        </w:rPr>
        <w:t xml:space="preserve"> na území bez stávající možnosti přístupu k vysokorychlostnímu internetu nebo s možností </w:t>
      </w:r>
      <w:r w:rsidR="003F0354" w:rsidRPr="008B53A9">
        <w:rPr>
          <w:color w:val="000000"/>
        </w:rPr>
        <w:t xml:space="preserve">vysokorychlostního </w:t>
      </w:r>
      <w:r w:rsidR="00B94C32" w:rsidRPr="008B53A9">
        <w:rPr>
          <w:color w:val="000000"/>
        </w:rPr>
        <w:t>přístupu k internetu prostřednictvím pouze jednoho poskytovatele</w:t>
      </w:r>
      <w:r w:rsidRPr="008B53A9">
        <w:rPr>
          <w:color w:val="000000"/>
        </w:rPr>
        <w:t>.</w:t>
      </w:r>
      <w:r w:rsidR="00CD5F80" w:rsidRPr="008B53A9">
        <w:rPr>
          <w:rStyle w:val="Znakapoznpodarou"/>
          <w:color w:val="000000"/>
        </w:rPr>
        <w:footnoteReference w:id="72"/>
      </w:r>
    </w:p>
    <w:p w:rsidR="003F4488" w:rsidRPr="008B53A9" w:rsidRDefault="00DF1FBB" w:rsidP="005F43DF">
      <w:pPr>
        <w:pStyle w:val="Standardntext"/>
        <w:numPr>
          <w:ilvl w:val="0"/>
          <w:numId w:val="37"/>
        </w:numPr>
        <w:rPr>
          <w:sz w:val="20"/>
          <w:szCs w:val="20"/>
        </w:rPr>
      </w:pPr>
      <w:r w:rsidRPr="008B53A9">
        <w:rPr>
          <w:color w:val="000000"/>
        </w:rPr>
        <w:t>Z</w:t>
      </w:r>
      <w:r w:rsidR="00B94C32" w:rsidRPr="008B53A9">
        <w:t>lepšení parametrů této infrastruktury jako jsou rychlost, kapacita a bezpečnost</w:t>
      </w:r>
      <w:r w:rsidR="00DC56C8" w:rsidRPr="008B53A9">
        <w:t>.</w:t>
      </w:r>
    </w:p>
    <w:p w:rsidR="005C4BA0" w:rsidRPr="008B53A9" w:rsidRDefault="00847094" w:rsidP="005F43DF">
      <w:pPr>
        <w:pStyle w:val="Standardntext"/>
        <w:numPr>
          <w:ilvl w:val="0"/>
          <w:numId w:val="37"/>
        </w:numPr>
        <w:rPr>
          <w:color w:val="000000"/>
        </w:rPr>
      </w:pPr>
      <w:r w:rsidRPr="008B53A9">
        <w:lastRenderedPageBreak/>
        <w:t>Usnadnění rozvoje podnikání a</w:t>
      </w:r>
      <w:r w:rsidR="005C4BA0" w:rsidRPr="008B53A9">
        <w:t xml:space="preserve"> přístupu ke službám státu </w:t>
      </w:r>
      <w:r w:rsidR="00DC56C8" w:rsidRPr="008B53A9">
        <w:t>jak pro obyvatelstvo, tak pro podnikatelský sektor. S tím souvisí</w:t>
      </w:r>
      <w:r w:rsidR="005C4BA0" w:rsidRPr="008B53A9">
        <w:t xml:space="preserve"> </w:t>
      </w:r>
      <w:r w:rsidR="005C4BA0" w:rsidRPr="008B53A9">
        <w:rPr>
          <w:color w:val="000000"/>
        </w:rPr>
        <w:t xml:space="preserve">růst </w:t>
      </w:r>
      <w:r w:rsidRPr="008B53A9">
        <w:rPr>
          <w:color w:val="000000"/>
        </w:rPr>
        <w:t>hrubého domácího produktu</w:t>
      </w:r>
      <w:r w:rsidR="00DC56C8" w:rsidRPr="008B53A9">
        <w:rPr>
          <w:rStyle w:val="Znakapoznpodarou"/>
          <w:color w:val="000000"/>
        </w:rPr>
        <w:footnoteReference w:id="73"/>
      </w:r>
      <w:r w:rsidR="005C4BA0" w:rsidRPr="008B53A9">
        <w:rPr>
          <w:color w:val="000000"/>
        </w:rPr>
        <w:t xml:space="preserve"> a </w:t>
      </w:r>
      <w:r w:rsidRPr="008B53A9">
        <w:rPr>
          <w:color w:val="000000"/>
        </w:rPr>
        <w:t xml:space="preserve">zvyšování </w:t>
      </w:r>
      <w:r w:rsidR="005C4BA0" w:rsidRPr="008B53A9">
        <w:rPr>
          <w:color w:val="000000"/>
        </w:rPr>
        <w:t>zaměstnanosti</w:t>
      </w:r>
      <w:r w:rsidR="00DC56C8" w:rsidRPr="008B53A9">
        <w:rPr>
          <w:rStyle w:val="Znakapoznpodarou"/>
          <w:color w:val="000000"/>
        </w:rPr>
        <w:footnoteReference w:id="74"/>
      </w:r>
      <w:r w:rsidR="005C4BA0" w:rsidRPr="008B53A9">
        <w:rPr>
          <w:color w:val="000000"/>
        </w:rPr>
        <w:t xml:space="preserve"> v</w:t>
      </w:r>
      <w:r w:rsidRPr="008B53A9">
        <w:rPr>
          <w:color w:val="000000"/>
        </w:rPr>
        <w:t> ekonomice jako celku</w:t>
      </w:r>
      <w:r w:rsidR="005C4BA0" w:rsidRPr="008B53A9">
        <w:rPr>
          <w:color w:val="000000"/>
        </w:rPr>
        <w:t>.</w:t>
      </w:r>
    </w:p>
    <w:p w:rsidR="00847094" w:rsidRPr="008B53A9" w:rsidRDefault="00847094" w:rsidP="005F43DF">
      <w:pPr>
        <w:pStyle w:val="Standardntext"/>
        <w:numPr>
          <w:ilvl w:val="0"/>
          <w:numId w:val="37"/>
        </w:numPr>
        <w:rPr>
          <w:color w:val="000000"/>
        </w:rPr>
      </w:pPr>
      <w:r w:rsidRPr="008B53A9">
        <w:t>Rozšíření nabídky</w:t>
      </w:r>
      <w:r w:rsidR="006C3009" w:rsidRPr="008B53A9">
        <w:t xml:space="preserve"> moderních a pokrokových</w:t>
      </w:r>
      <w:r w:rsidRPr="008B53A9">
        <w:t xml:space="preserve"> digitálních služeb </w:t>
      </w:r>
      <w:r w:rsidR="006C3009" w:rsidRPr="008B53A9">
        <w:t xml:space="preserve">a aplikací </w:t>
      </w:r>
      <w:r w:rsidRPr="008B53A9">
        <w:t xml:space="preserve">např. v oblasti komunikace, zábavy, obchodování, vzdělávání, zdravotnictví </w:t>
      </w:r>
      <w:r w:rsidR="006C3009" w:rsidRPr="008B53A9">
        <w:t>nebo</w:t>
      </w:r>
      <w:r w:rsidRPr="008B53A9">
        <w:t xml:space="preserve"> přístupu k zaměstnání.</w:t>
      </w:r>
    </w:p>
    <w:p w:rsidR="00A6030D" w:rsidRPr="008B53A9" w:rsidRDefault="00DF1FBB" w:rsidP="005F43DF">
      <w:pPr>
        <w:pStyle w:val="Standardntext"/>
        <w:numPr>
          <w:ilvl w:val="0"/>
          <w:numId w:val="37"/>
        </w:numPr>
        <w:rPr>
          <w:color w:val="000000"/>
        </w:rPr>
      </w:pPr>
      <w:r w:rsidRPr="008B53A9">
        <w:rPr>
          <w:color w:val="000000"/>
        </w:rPr>
        <w:t>P</w:t>
      </w:r>
      <w:r w:rsidR="00B94C32" w:rsidRPr="008B53A9">
        <w:rPr>
          <w:color w:val="000000"/>
        </w:rPr>
        <w:t>řekonání tzv. „digitální propasti“</w:t>
      </w:r>
      <w:r w:rsidR="008A5FCE" w:rsidRPr="008B53A9">
        <w:rPr>
          <w:color w:val="000000"/>
        </w:rPr>
        <w:t xml:space="preserve"> </w:t>
      </w:r>
      <w:r w:rsidR="008A5FCE" w:rsidRPr="008B53A9">
        <w:t>mezi městskými a venkovskými oblastmi</w:t>
      </w:r>
      <w:r w:rsidR="00B94C32" w:rsidRPr="008B53A9">
        <w:rPr>
          <w:color w:val="000000"/>
        </w:rPr>
        <w:t xml:space="preserve"> z hledis</w:t>
      </w:r>
      <w:r w:rsidR="00127389" w:rsidRPr="008B53A9">
        <w:rPr>
          <w:color w:val="000000"/>
        </w:rPr>
        <w:t>e</w:t>
      </w:r>
      <w:r w:rsidR="00B94C32" w:rsidRPr="008B53A9">
        <w:rPr>
          <w:color w:val="000000"/>
        </w:rPr>
        <w:t>k</w:t>
      </w:r>
      <w:r w:rsidR="008A5FCE" w:rsidRPr="008B53A9">
        <w:t>, ve kterých nelze soukromé investice na komerční bázi očekávat</w:t>
      </w:r>
      <w:r w:rsidR="00B94C32" w:rsidRPr="008B53A9">
        <w:rPr>
          <w:color w:val="000000"/>
        </w:rPr>
        <w:t xml:space="preserve">. </w:t>
      </w:r>
      <w:r w:rsidR="008A5FCE" w:rsidRPr="008B53A9">
        <w:rPr>
          <w:color w:val="000000"/>
        </w:rPr>
        <w:t>Výsledkem bude</w:t>
      </w:r>
      <w:r w:rsidR="00847094" w:rsidRPr="008B53A9">
        <w:rPr>
          <w:color w:val="000000"/>
        </w:rPr>
        <w:t xml:space="preserve"> z</w:t>
      </w:r>
      <w:r w:rsidR="00A6030D" w:rsidRPr="008B53A9">
        <w:t xml:space="preserve">výšení konkurenceschopnosti periferních regionů, které bude </w:t>
      </w:r>
      <w:r w:rsidR="008A5FCE" w:rsidRPr="008B53A9">
        <w:t xml:space="preserve">současně </w:t>
      </w:r>
      <w:r w:rsidR="00A6030D" w:rsidRPr="008B53A9">
        <w:t>působit jako prevence proti přemísťování hospodářské činnosti.</w:t>
      </w:r>
    </w:p>
    <w:p w:rsidR="00DF1FBB" w:rsidRPr="008B53A9" w:rsidRDefault="001D7C5F" w:rsidP="005F43DF">
      <w:pPr>
        <w:pStyle w:val="Standardntext"/>
        <w:numPr>
          <w:ilvl w:val="0"/>
          <w:numId w:val="37"/>
        </w:numPr>
        <w:rPr>
          <w:color w:val="000000"/>
        </w:rPr>
      </w:pPr>
      <w:r w:rsidRPr="008B53A9">
        <w:rPr>
          <w:color w:val="000000"/>
        </w:rPr>
        <w:t>Zvýšení dostupnosti ICT pro všechny bez ohledu na lokalitu, sociální postavení nebo zdravotní postižení a dále podpora celoživotního vzdělávání za účelem posílení digitální gramotnosti a snazší</w:t>
      </w:r>
      <w:r w:rsidR="00DF1FBB" w:rsidRPr="008B53A9">
        <w:rPr>
          <w:color w:val="000000"/>
        </w:rPr>
        <w:t xml:space="preserve"> začlenění </w:t>
      </w:r>
      <w:r w:rsidR="008D79C2" w:rsidRPr="008B53A9">
        <w:rPr>
          <w:color w:val="000000"/>
        </w:rPr>
        <w:t>se</w:t>
      </w:r>
      <w:r w:rsidR="00DF1FBB" w:rsidRPr="008B53A9">
        <w:rPr>
          <w:color w:val="000000"/>
        </w:rPr>
        <w:t xml:space="preserve"> do informační společnosti.</w:t>
      </w:r>
    </w:p>
    <w:p w:rsidR="00150199" w:rsidRPr="008B53A9" w:rsidRDefault="00150199" w:rsidP="00EA74FF">
      <w:pPr>
        <w:pStyle w:val="Titulek"/>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\r3 </w:instrText>
      </w:r>
      <w:r w:rsidRPr="008B53A9">
        <w:rPr>
          <w:rFonts w:cs="Calibri"/>
        </w:rPr>
        <w:fldChar w:fldCharType="separate"/>
      </w:r>
      <w:r w:rsidR="00E54216" w:rsidRPr="008B53A9">
        <w:rPr>
          <w:rFonts w:cs="Calibri"/>
          <w:noProof/>
        </w:rPr>
        <w:t>3</w:t>
      </w:r>
      <w:r w:rsidRPr="008B53A9">
        <w:rPr>
          <w:rFonts w:cs="Calibri"/>
        </w:rPr>
        <w:fldChar w:fldCharType="end"/>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194"/>
        <w:gridCol w:w="973"/>
        <w:gridCol w:w="1171"/>
        <w:gridCol w:w="979"/>
        <w:gridCol w:w="914"/>
        <w:gridCol w:w="1028"/>
        <w:gridCol w:w="1270"/>
        <w:gridCol w:w="1133"/>
      </w:tblGrid>
      <w:tr w:rsidR="00E84B36" w:rsidRPr="008B53A9">
        <w:trPr>
          <w:trHeight w:hRule="exact" w:val="1467"/>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EA74FF">
            <w:pPr>
              <w:pStyle w:val="Tabulka"/>
              <w:rPr>
                <w:rFonts w:cs="Calibri"/>
                <w:b/>
                <w:bCs/>
                <w:lang w:val="cs-CZ" w:eastAsia="cs-CZ"/>
              </w:rPr>
            </w:pPr>
            <w:r w:rsidRPr="008B53A9">
              <w:rPr>
                <w:rFonts w:cs="Calibri"/>
                <w:b/>
                <w:bCs/>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EA74FF">
            <w:pPr>
              <w:pStyle w:val="Tabulka"/>
              <w:rPr>
                <w:rFonts w:cs="Calibri"/>
                <w:b/>
                <w:bCs/>
                <w:lang w:val="cs-CZ" w:eastAsia="cs-CZ"/>
              </w:rPr>
            </w:pPr>
            <w:r w:rsidRPr="008B53A9">
              <w:rPr>
                <w:rFonts w:cs="Calibri"/>
                <w:b/>
                <w:bCs/>
                <w:lang w:val="cs-CZ" w:eastAsia="cs-CZ"/>
              </w:rPr>
              <w:t>Ukazatel</w:t>
            </w:r>
          </w:p>
        </w:tc>
        <w:tc>
          <w:tcPr>
            <w:tcW w:w="97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E84B36">
            <w:pPr>
              <w:pStyle w:val="Tabulka"/>
              <w:rPr>
                <w:rFonts w:cs="Calibri"/>
                <w:b/>
                <w:bCs/>
                <w:lang w:val="cs-CZ" w:eastAsia="cs-CZ"/>
              </w:rPr>
            </w:pPr>
            <w:r w:rsidRPr="008B53A9">
              <w:rPr>
                <w:rFonts w:cs="Calibri"/>
                <w:b/>
                <w:bCs/>
                <w:lang w:val="cs-CZ" w:eastAsia="cs-CZ"/>
              </w:rPr>
              <w:t>Měrná</w:t>
            </w:r>
            <w:r w:rsidR="00E84B36" w:rsidRPr="008B53A9">
              <w:rPr>
                <w:rFonts w:cs="Calibri"/>
                <w:b/>
                <w:bCs/>
                <w:lang w:val="cs-CZ" w:eastAsia="cs-CZ"/>
              </w:rPr>
              <w:t xml:space="preserve"> </w:t>
            </w:r>
            <w:r w:rsidRPr="008B53A9">
              <w:rPr>
                <w:rFonts w:cs="Calibri"/>
                <w:b/>
                <w:bCs/>
                <w:lang w:val="cs-CZ" w:eastAsia="cs-CZ"/>
              </w:rPr>
              <w:t>jednotka</w:t>
            </w:r>
          </w:p>
        </w:tc>
        <w:tc>
          <w:tcPr>
            <w:tcW w:w="11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EA74FF">
            <w:pPr>
              <w:pStyle w:val="Tabulka"/>
              <w:rPr>
                <w:rFonts w:cs="Calibri"/>
                <w:b/>
                <w:bCs/>
                <w:lang w:val="cs-CZ" w:eastAsia="cs-CZ"/>
              </w:rPr>
            </w:pPr>
            <w:r w:rsidRPr="008B53A9">
              <w:rPr>
                <w:rFonts w:cs="Calibri"/>
                <w:b/>
                <w:bCs/>
                <w:lang w:val="cs-CZ" w:eastAsia="cs-CZ"/>
              </w:rPr>
              <w:t>Kategorie regionů (je-li relevantní)</w:t>
            </w:r>
          </w:p>
        </w:tc>
        <w:tc>
          <w:tcPr>
            <w:tcW w:w="97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EA74FF">
            <w:pPr>
              <w:pStyle w:val="Tabulka"/>
              <w:rPr>
                <w:rFonts w:cs="Calibri"/>
                <w:b/>
                <w:bCs/>
                <w:lang w:val="cs-CZ" w:eastAsia="cs-CZ"/>
              </w:rPr>
            </w:pPr>
            <w:r w:rsidRPr="008B53A9">
              <w:rPr>
                <w:rFonts w:cs="Calibri"/>
                <w:b/>
                <w:bCs/>
                <w:lang w:val="cs-CZ" w:eastAsia="cs-CZ"/>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EA74FF">
            <w:pPr>
              <w:pStyle w:val="Tabulka"/>
              <w:rPr>
                <w:rFonts w:cs="Calibri"/>
                <w:b/>
                <w:bCs/>
                <w:lang w:val="cs-CZ" w:eastAsia="cs-CZ"/>
              </w:rPr>
            </w:pPr>
            <w:r w:rsidRPr="008B53A9">
              <w:rPr>
                <w:rFonts w:cs="Calibri"/>
                <w:b/>
                <w:bCs/>
                <w:lang w:val="cs-CZ" w:eastAsia="cs-CZ"/>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EA74FF">
            <w:pPr>
              <w:pStyle w:val="Tabulka"/>
              <w:rPr>
                <w:rFonts w:cs="Calibri"/>
                <w:b/>
                <w:bCs/>
                <w:lang w:val="cs-CZ" w:eastAsia="cs-CZ"/>
              </w:rPr>
            </w:pPr>
            <w:r w:rsidRPr="008B53A9">
              <w:rPr>
                <w:rFonts w:cs="Calibri"/>
                <w:b/>
                <w:bCs/>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EA74FF">
            <w:pPr>
              <w:pStyle w:val="Tabulka"/>
              <w:rPr>
                <w:rFonts w:cs="Calibri"/>
                <w:b/>
                <w:bCs/>
                <w:lang w:val="cs-CZ" w:eastAsia="cs-CZ"/>
              </w:rPr>
            </w:pPr>
            <w:r w:rsidRPr="008B53A9">
              <w:rPr>
                <w:rFonts w:cs="Calibri"/>
                <w:b/>
                <w:bCs/>
                <w:lang w:val="cs-CZ" w:eastAsia="cs-CZ"/>
              </w:rPr>
              <w:t>Četnost podávání zpráv</w:t>
            </w:r>
          </w:p>
        </w:tc>
      </w:tr>
      <w:tr w:rsidR="00E84B36" w:rsidRPr="008B53A9">
        <w:trPr>
          <w:trHeight w:hRule="exact" w:val="1042"/>
        </w:trPr>
        <w:tc>
          <w:tcPr>
            <w:tcW w:w="0" w:type="auto"/>
            <w:tcBorders>
              <w:top w:val="single" w:sz="4" w:space="0" w:color="000000"/>
              <w:left w:val="single" w:sz="4" w:space="0" w:color="000000"/>
              <w:bottom w:val="single" w:sz="4" w:space="0" w:color="000000"/>
              <w:right w:val="single" w:sz="4" w:space="0" w:color="000000"/>
            </w:tcBorders>
            <w:vAlign w:val="center"/>
          </w:tcPr>
          <w:p w:rsidR="00D24A13" w:rsidRPr="008B53A9" w:rsidRDefault="00686830" w:rsidP="00EA74FF">
            <w:pPr>
              <w:pStyle w:val="Tabulka"/>
              <w:rPr>
                <w:rFonts w:cs="Calibri"/>
                <w:lang w:val="cs-CZ" w:eastAsia="cs-CZ"/>
              </w:rPr>
            </w:pPr>
            <w:r w:rsidRPr="008B53A9">
              <w:rPr>
                <w:rFonts w:cs="Calibri"/>
                <w:lang w:val="cs-CZ" w:eastAsia="cs-CZ"/>
              </w:rPr>
              <w:t>30200</w:t>
            </w:r>
          </w:p>
        </w:tc>
        <w:tc>
          <w:tcPr>
            <w:tcW w:w="0" w:type="auto"/>
            <w:tcBorders>
              <w:top w:val="single" w:sz="4" w:space="0" w:color="000000"/>
              <w:left w:val="single" w:sz="4" w:space="0" w:color="000000"/>
              <w:bottom w:val="single" w:sz="4" w:space="0" w:color="000000"/>
              <w:right w:val="single" w:sz="4" w:space="0" w:color="000000"/>
            </w:tcBorders>
            <w:vAlign w:val="center"/>
          </w:tcPr>
          <w:p w:rsidR="00D24A13" w:rsidRPr="008B53A9" w:rsidRDefault="00B3144E" w:rsidP="00EA74FF">
            <w:pPr>
              <w:pStyle w:val="Tabulka"/>
              <w:jc w:val="left"/>
              <w:rPr>
                <w:rFonts w:cs="Calibri"/>
                <w:lang w:val="cs-CZ" w:eastAsia="cs-CZ"/>
              </w:rPr>
            </w:pPr>
            <w:r w:rsidRPr="008B53A9">
              <w:rPr>
                <w:rFonts w:cs="Calibri"/>
                <w:lang w:val="cs-CZ" w:eastAsia="cs-CZ"/>
              </w:rPr>
              <w:t>NGA broadband coverage</w:t>
            </w:r>
          </w:p>
        </w:tc>
        <w:tc>
          <w:tcPr>
            <w:tcW w:w="973" w:type="dxa"/>
            <w:tcBorders>
              <w:top w:val="single" w:sz="4" w:space="0" w:color="000000"/>
              <w:left w:val="single" w:sz="4" w:space="0" w:color="000000"/>
              <w:bottom w:val="single" w:sz="4" w:space="0" w:color="000000"/>
              <w:right w:val="single" w:sz="4" w:space="0" w:color="000000"/>
            </w:tcBorders>
            <w:vAlign w:val="center"/>
          </w:tcPr>
          <w:p w:rsidR="00D24A13" w:rsidRPr="008B53A9" w:rsidRDefault="00B3144E" w:rsidP="00EA74FF">
            <w:pPr>
              <w:pStyle w:val="Tabulka"/>
              <w:rPr>
                <w:rFonts w:cs="Calibri"/>
                <w:lang w:val="cs-CZ" w:eastAsia="cs-CZ"/>
              </w:rPr>
            </w:pPr>
            <w:r w:rsidRPr="008B53A9">
              <w:rPr>
                <w:rFonts w:cs="Calibri"/>
                <w:lang w:val="cs-CZ" w:eastAsia="cs-CZ"/>
              </w:rPr>
              <w:t>%</w:t>
            </w:r>
          </w:p>
        </w:tc>
        <w:tc>
          <w:tcPr>
            <w:tcW w:w="1171" w:type="dxa"/>
            <w:tcBorders>
              <w:top w:val="single" w:sz="4" w:space="0" w:color="000000"/>
              <w:left w:val="single" w:sz="4" w:space="0" w:color="000000"/>
              <w:bottom w:val="single" w:sz="4" w:space="0" w:color="000000"/>
              <w:right w:val="single" w:sz="4" w:space="0" w:color="000000"/>
            </w:tcBorders>
            <w:vAlign w:val="center"/>
          </w:tcPr>
          <w:p w:rsidR="00D24A13" w:rsidRPr="008B53A9" w:rsidRDefault="002B3F69" w:rsidP="00EA74FF">
            <w:pPr>
              <w:pStyle w:val="Tabulka"/>
              <w:rPr>
                <w:rFonts w:cs="Calibri"/>
                <w:lang w:val="cs-CZ" w:eastAsia="cs-CZ"/>
              </w:rPr>
            </w:pPr>
            <w:r w:rsidRPr="008B53A9">
              <w:rPr>
                <w:rFonts w:cs="Calibri"/>
                <w:lang w:val="cs-CZ" w:eastAsia="cs-CZ"/>
              </w:rPr>
              <w:t>Méně rozvinuté regiony</w:t>
            </w:r>
          </w:p>
        </w:tc>
        <w:tc>
          <w:tcPr>
            <w:tcW w:w="979" w:type="dxa"/>
            <w:tcBorders>
              <w:top w:val="single" w:sz="4" w:space="0" w:color="000000"/>
              <w:left w:val="single" w:sz="4" w:space="0" w:color="000000"/>
              <w:bottom w:val="single" w:sz="4" w:space="0" w:color="000000"/>
              <w:right w:val="single" w:sz="4" w:space="0" w:color="000000"/>
            </w:tcBorders>
            <w:vAlign w:val="center"/>
          </w:tcPr>
          <w:p w:rsidR="00D24A13" w:rsidRPr="008B53A9" w:rsidRDefault="00B3144E" w:rsidP="00EA74FF">
            <w:pPr>
              <w:pStyle w:val="Tabulka"/>
              <w:rPr>
                <w:rFonts w:cs="Calibri"/>
                <w:lang w:val="cs-CZ" w:eastAsia="cs-CZ"/>
              </w:rPr>
            </w:pPr>
            <w:r w:rsidRPr="008B53A9">
              <w:rPr>
                <w:rFonts w:cs="Calibri"/>
                <w:lang w:val="cs-CZ" w:eastAsia="cs-CZ"/>
              </w:rPr>
              <w:t>49</w:t>
            </w:r>
          </w:p>
        </w:tc>
        <w:tc>
          <w:tcPr>
            <w:tcW w:w="0" w:type="auto"/>
            <w:tcBorders>
              <w:top w:val="single" w:sz="4" w:space="0" w:color="000000"/>
              <w:left w:val="single" w:sz="4" w:space="0" w:color="000000"/>
              <w:bottom w:val="single" w:sz="4" w:space="0" w:color="000000"/>
              <w:right w:val="single" w:sz="4" w:space="0" w:color="000000"/>
            </w:tcBorders>
            <w:vAlign w:val="center"/>
          </w:tcPr>
          <w:p w:rsidR="00D24A13" w:rsidRPr="008B53A9" w:rsidRDefault="00B3144E" w:rsidP="00EA74FF">
            <w:pPr>
              <w:pStyle w:val="Tabulka"/>
              <w:rPr>
                <w:rFonts w:cs="Calibri"/>
                <w:lang w:val="cs-CZ" w:eastAsia="cs-CZ"/>
              </w:rPr>
            </w:pPr>
            <w:r w:rsidRPr="008B53A9">
              <w:rPr>
                <w:rFonts w:cs="Calibri"/>
                <w:lang w:val="cs-CZ" w:eastAsia="cs-CZ"/>
              </w:rPr>
              <w:t>2012</w:t>
            </w:r>
          </w:p>
        </w:tc>
        <w:tc>
          <w:tcPr>
            <w:tcW w:w="0" w:type="auto"/>
            <w:tcBorders>
              <w:top w:val="single" w:sz="4" w:space="0" w:color="000000"/>
              <w:left w:val="single" w:sz="4" w:space="0" w:color="000000"/>
              <w:bottom w:val="single" w:sz="4" w:space="0" w:color="000000"/>
              <w:right w:val="single" w:sz="4" w:space="0" w:color="000000"/>
            </w:tcBorders>
            <w:vAlign w:val="center"/>
          </w:tcPr>
          <w:p w:rsidR="00D24A13" w:rsidRPr="008B53A9" w:rsidRDefault="004B58FE" w:rsidP="00EA74FF">
            <w:pPr>
              <w:pStyle w:val="Tabulka"/>
              <w:rPr>
                <w:rFonts w:cs="Calibri"/>
                <w:lang w:val="cs-CZ" w:eastAsia="cs-CZ"/>
              </w:rPr>
            </w:pPr>
            <w:r w:rsidRPr="008B53A9">
              <w:rPr>
                <w:rFonts w:cs="Calibri"/>
                <w:lang w:val="cs-CZ" w:eastAsia="cs-CZ"/>
              </w:rPr>
              <w:t>58 - 65</w:t>
            </w:r>
          </w:p>
        </w:tc>
        <w:tc>
          <w:tcPr>
            <w:tcW w:w="0" w:type="auto"/>
            <w:tcBorders>
              <w:top w:val="single" w:sz="4" w:space="0" w:color="000000"/>
              <w:left w:val="single" w:sz="4" w:space="0" w:color="000000"/>
              <w:bottom w:val="single" w:sz="4" w:space="0" w:color="000000"/>
              <w:right w:val="single" w:sz="4" w:space="0" w:color="000000"/>
            </w:tcBorders>
            <w:vAlign w:val="center"/>
          </w:tcPr>
          <w:p w:rsidR="00D24A13" w:rsidRPr="008B53A9" w:rsidRDefault="00B3144E" w:rsidP="00EA74FF">
            <w:pPr>
              <w:pStyle w:val="Tabulka"/>
              <w:rPr>
                <w:rFonts w:cs="Calibri"/>
                <w:lang w:val="cs-CZ" w:eastAsia="cs-CZ"/>
              </w:rPr>
            </w:pPr>
            <w:r w:rsidRPr="008B53A9">
              <w:rPr>
                <w:rFonts w:cs="Calibri"/>
                <w:lang w:val="cs-CZ" w:eastAsia="cs-CZ"/>
              </w:rPr>
              <w:t>Digital Agenda Scoreboard</w:t>
            </w:r>
          </w:p>
        </w:tc>
        <w:tc>
          <w:tcPr>
            <w:tcW w:w="0" w:type="auto"/>
            <w:tcBorders>
              <w:top w:val="single" w:sz="4" w:space="0" w:color="000000"/>
              <w:left w:val="single" w:sz="4" w:space="0" w:color="000000"/>
              <w:bottom w:val="single" w:sz="4" w:space="0" w:color="000000"/>
              <w:right w:val="single" w:sz="4" w:space="0" w:color="000000"/>
            </w:tcBorders>
            <w:vAlign w:val="center"/>
          </w:tcPr>
          <w:p w:rsidR="00D24A13" w:rsidRPr="008B53A9" w:rsidRDefault="00B3144E" w:rsidP="00EA74FF">
            <w:pPr>
              <w:pStyle w:val="Tabulka"/>
              <w:rPr>
                <w:rFonts w:cs="Calibri"/>
                <w:lang w:val="cs-CZ" w:eastAsia="cs-CZ"/>
              </w:rPr>
            </w:pPr>
            <w:r w:rsidRPr="008B53A9">
              <w:rPr>
                <w:rFonts w:cs="Calibri"/>
                <w:lang w:val="cs-CZ" w:eastAsia="cs-CZ"/>
              </w:rPr>
              <w:t>ročně</w:t>
            </w:r>
          </w:p>
        </w:tc>
      </w:tr>
    </w:tbl>
    <w:p w:rsidR="00150199" w:rsidRPr="008B53A9" w:rsidRDefault="001B2E5C" w:rsidP="005F43DF">
      <w:pPr>
        <w:pStyle w:val="kapitola2A0"/>
        <w:numPr>
          <w:ilvl w:val="2"/>
          <w:numId w:val="25"/>
        </w:numPr>
      </w:pPr>
      <w:bookmarkStart w:id="93" w:name="_Toc391539656"/>
      <w:r w:rsidRPr="008B53A9">
        <w:t>Opatření, jež má být podpořeno v rámci investiční priority</w:t>
      </w:r>
      <w:bookmarkEnd w:id="93"/>
    </w:p>
    <w:p w:rsidR="00150199" w:rsidRPr="008B53A9" w:rsidRDefault="00D479AF" w:rsidP="005F43DF">
      <w:pPr>
        <w:pStyle w:val="Nadpis5"/>
        <w:numPr>
          <w:ilvl w:val="4"/>
          <w:numId w:val="26"/>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150199" w:rsidRPr="008B53A9" w:rsidRDefault="00177462" w:rsidP="00FF329A">
      <w:pPr>
        <w:pStyle w:val="Standardntext"/>
        <w:rPr>
          <w:b/>
        </w:rPr>
      </w:pPr>
      <w:r w:rsidRPr="008B53A9">
        <w:rPr>
          <w:b/>
        </w:rPr>
        <w:t>Indikativní výčet podporovaných aktivit:</w:t>
      </w:r>
    </w:p>
    <w:p w:rsidR="00150199" w:rsidRPr="008B53A9" w:rsidRDefault="001E5FB8" w:rsidP="005F43DF">
      <w:pPr>
        <w:pStyle w:val="Standardntext"/>
        <w:numPr>
          <w:ilvl w:val="0"/>
          <w:numId w:val="28"/>
        </w:numPr>
        <w:ind w:left="714" w:hanging="357"/>
      </w:pPr>
      <w:r w:rsidRPr="008B53A9">
        <w:t>M</w:t>
      </w:r>
      <w:r w:rsidR="00150199" w:rsidRPr="008B53A9">
        <w:t xml:space="preserve">odernizace resp. rozšiřování stávající infrastruktury pro vysokorychlostní přístup k internetu využitím optických prvků s cílem umožnit vysokorychlostní přístup k internetu přenosovou rychlostí </w:t>
      </w:r>
      <w:r w:rsidR="003F0354" w:rsidRPr="008B53A9">
        <w:t xml:space="preserve">alespoň </w:t>
      </w:r>
      <w:r w:rsidR="00150199" w:rsidRPr="008B53A9">
        <w:t>30 Mbit/s,</w:t>
      </w:r>
    </w:p>
    <w:p w:rsidR="00150199" w:rsidRPr="008B53A9" w:rsidRDefault="00450475" w:rsidP="005F43DF">
      <w:pPr>
        <w:pStyle w:val="Standardntext"/>
        <w:numPr>
          <w:ilvl w:val="0"/>
          <w:numId w:val="28"/>
        </w:numPr>
        <w:ind w:left="714" w:hanging="357"/>
      </w:pPr>
      <w:r w:rsidRPr="008B53A9">
        <w:t xml:space="preserve">zřizování nových sítí sestávajících z části nebo plně z optických vedení pro vysokorychlostní přístup k internetu umožňující přenosovou rychlost alespoň 30 Mbit/s; </w:t>
      </w:r>
      <w:r w:rsidRPr="008B53A9">
        <w:lastRenderedPageBreak/>
        <w:t>v případě zřizování nových sítí s pevným připojením do jednotlivých domácností musí tato síť umožnit přenosovou rychlost až 100 Mbit/s,</w:t>
      </w:r>
    </w:p>
    <w:p w:rsidR="00150199" w:rsidRPr="008B53A9" w:rsidRDefault="00450475" w:rsidP="005F43DF">
      <w:pPr>
        <w:pStyle w:val="Standardntext"/>
        <w:numPr>
          <w:ilvl w:val="0"/>
          <w:numId w:val="28"/>
        </w:numPr>
      </w:pPr>
      <w:r w:rsidRPr="008B53A9">
        <w:t>vytváření pasivní infrastruktury pro vysokorychlostní přístup k internetu zejména v lokalitách předpokládaného budoucího stavebního rozvoje, přičemž tato aktivita může být podpořena pouze v kombinaci s jednou z předchozích dvou aktivit.</w:t>
      </w:r>
    </w:p>
    <w:p w:rsidR="00BA1C22" w:rsidRPr="008B53A9" w:rsidRDefault="00EE6BCB" w:rsidP="00BA1C22">
      <w:pPr>
        <w:pStyle w:val="Standardntext"/>
        <w:rPr>
          <w:bCs/>
        </w:rPr>
      </w:pPr>
      <w:r w:rsidRPr="008B53A9">
        <w:rPr>
          <w:bCs/>
        </w:rPr>
        <w:t>Výstupem tohoto specifického cíle</w:t>
      </w:r>
      <w:r w:rsidR="004F2EB2" w:rsidRPr="008B53A9">
        <w:rPr>
          <w:bCs/>
        </w:rPr>
        <w:t xml:space="preserve"> </w:t>
      </w:r>
      <w:r w:rsidRPr="008B53A9">
        <w:rPr>
          <w:bCs/>
        </w:rPr>
        <w:t>budou</w:t>
      </w:r>
      <w:r w:rsidR="004F2EB2" w:rsidRPr="008B53A9">
        <w:rPr>
          <w:bCs/>
        </w:rPr>
        <w:t xml:space="preserve"> projekty, jejichž účelem bude zavedení internetové konektivity do oblastí bez vysokorychlostní internetové infrastruktury (tzv. bílých míst) z nejbližšího, resp. nejvhodnějšího, přístupového bodu o relevantní kapacitě.</w:t>
      </w:r>
      <w:r w:rsidR="003F0354" w:rsidRPr="008B53A9">
        <w:rPr>
          <w:bCs/>
        </w:rPr>
        <w:t xml:space="preserve"> Při rozhodování o podpoře jednotlivých projektů zajišťujících vybudování infrastruktury splňující požadavky na kvalitu služby přístupu k internetu bude vždy respektován</w:t>
      </w:r>
      <w:r w:rsidR="00450475" w:rsidRPr="008B53A9">
        <w:rPr>
          <w:bCs/>
        </w:rPr>
        <w:t xml:space="preserve"> princip technologické neutrality</w:t>
      </w:r>
      <w:r w:rsidR="00B832D3" w:rsidRPr="008B53A9">
        <w:rPr>
          <w:bCs/>
        </w:rPr>
        <w:t xml:space="preserve">. </w:t>
      </w:r>
      <w:r w:rsidR="003F0354" w:rsidRPr="008B53A9">
        <w:rPr>
          <w:bCs/>
        </w:rPr>
        <w:t xml:space="preserve">Tento princip zajistí nediskriminační výběr nejefektivnějších projektů zejména u tzv. poslední míle vysokorychlostních sítí elektronických komunikací bez ohledu na využitý druh infrastruktury nebo technologie v případě, že zajistí poskytování služby v dostatečné kvalitě. </w:t>
      </w:r>
      <w:r w:rsidR="004F2EB2" w:rsidRPr="008B53A9">
        <w:rPr>
          <w:bCs/>
        </w:rPr>
        <w:t xml:space="preserve">V konečném důsledku se </w:t>
      </w:r>
      <w:r w:rsidR="00B832D3" w:rsidRPr="008B53A9">
        <w:rPr>
          <w:bCs/>
        </w:rPr>
        <w:t xml:space="preserve">však </w:t>
      </w:r>
      <w:r w:rsidR="004F2EB2" w:rsidRPr="008B53A9">
        <w:rPr>
          <w:bCs/>
        </w:rPr>
        <w:t xml:space="preserve">musí v předmětné oblasti zvýšit počet domácností, které budou mít možnost vysokorychlostního přístupu k internetu o rychlosti </w:t>
      </w:r>
      <w:r w:rsidR="003F0354" w:rsidRPr="008B53A9">
        <w:rPr>
          <w:bCs/>
        </w:rPr>
        <w:t xml:space="preserve">alespoň </w:t>
      </w:r>
      <w:r w:rsidR="004F2EB2" w:rsidRPr="008B53A9">
        <w:rPr>
          <w:bCs/>
        </w:rPr>
        <w:t>30 Mbit/s.</w:t>
      </w:r>
    </w:p>
    <w:p w:rsidR="0034716C" w:rsidRPr="008B53A9" w:rsidRDefault="0034716C" w:rsidP="0023153A">
      <w:pPr>
        <w:pStyle w:val="Standardntext"/>
        <w:rPr>
          <w:bCs/>
        </w:rPr>
      </w:pPr>
      <w:r w:rsidRPr="008B53A9">
        <w:rPr>
          <w:bCs/>
        </w:rPr>
        <w:t xml:space="preserve">Z důvodu vysoké nákladnosti stavebních prací se bude podporovat budování i tzv. pasivní infrastruktury, která </w:t>
      </w:r>
      <w:r w:rsidR="003F0354" w:rsidRPr="008B53A9">
        <w:rPr>
          <w:bCs/>
        </w:rPr>
        <w:t xml:space="preserve">sama o sobě </w:t>
      </w:r>
      <w:r w:rsidRPr="008B53A9">
        <w:rPr>
          <w:bCs/>
        </w:rPr>
        <w:t xml:space="preserve">bezprostředně neumožní poskytovat službu vysokorychlostního přístupu k internetu, </w:t>
      </w:r>
      <w:r w:rsidR="003F0354" w:rsidRPr="008B53A9">
        <w:rPr>
          <w:bCs/>
        </w:rPr>
        <w:t>ale je nezbytným předpokladem budování vlastní síťové infrastruktury zejména v případě sítě sestávajících zčásti nebo zcela z optických vedení</w:t>
      </w:r>
      <w:r w:rsidRPr="008B53A9">
        <w:rPr>
          <w:bCs/>
        </w:rPr>
        <w:t>.</w:t>
      </w:r>
      <w:r w:rsidR="003F0354" w:rsidRPr="008B53A9">
        <w:t xml:space="preserve"> </w:t>
      </w:r>
      <w:r w:rsidR="003F0354" w:rsidRPr="008B53A9">
        <w:rPr>
          <w:bCs/>
        </w:rPr>
        <w:t>Nezbytnou podmínkou pro rozhodnutí o podpoře je v takovém případě následné zajištění dostupnosti služby vysokorychlostního přístupu k internetu požadované kvality. Povinné sdílené pasivní infrastruktury současně umožní snížení nákladů na budování sítí dalšími subjekty a podpoří rozvoj konkurence v oblasti poskytování služeb</w:t>
      </w:r>
      <w:r w:rsidRPr="008B53A9">
        <w:rPr>
          <w:bCs/>
        </w:rPr>
        <w:t>.</w:t>
      </w:r>
    </w:p>
    <w:p w:rsidR="00BA1C22" w:rsidRPr="008B53A9" w:rsidRDefault="00304B5E" w:rsidP="00BA1C22">
      <w:pPr>
        <w:pStyle w:val="Standardntext"/>
        <w:rPr>
          <w:bCs/>
        </w:rPr>
      </w:pPr>
      <w:r w:rsidRPr="008B53A9">
        <w:rPr>
          <w:bCs/>
        </w:rPr>
        <w:t>Způsobilými výdaji</w:t>
      </w:r>
      <w:r w:rsidR="00BA1C22" w:rsidRPr="008B53A9">
        <w:rPr>
          <w:bCs/>
        </w:rPr>
        <w:t xml:space="preserve"> jsou náklady nezbytné ke zřizování, rozšiřování a modernizaci vysokorychlostní internetové infrastruktury v oblastech podpory. Kromě toho mohou být podporovány i náklady na vytváření pasivní infrastruktury, která se zřizuje podle možnosti v synergii s jinými infrastrukturami. Jako investiční náklady platí rovněž náklady, které spadají mimo oblasti podpory, jsou však potřebné k faktickému zajišťování těchto oblastí. Budou-li potřebné investice mimo oblasti podpory, je třeba v projektové žádosti zdůvodnit, v jakém rozsahu je třeba tyto náklady přisoudit příslušným oblastem podpory.</w:t>
      </w:r>
    </w:p>
    <w:p w:rsidR="00BA1C22" w:rsidRPr="008B53A9" w:rsidRDefault="00BA1C22" w:rsidP="00BA1C22">
      <w:pPr>
        <w:pStyle w:val="Standardntext"/>
        <w:rPr>
          <w:bCs/>
        </w:rPr>
      </w:pPr>
      <w:r w:rsidRPr="008B53A9">
        <w:rPr>
          <w:bCs/>
        </w:rPr>
        <w:t xml:space="preserve">Projekty tohoto typu jsou dále administrativně a rozsahem náročné, tudíž samotná příprava je časově komplikovaná, neboť je třeba vypořádat vlastnické vztahy, resp. věcná břemena, vazbu a provázanost na další infrastruktury apod. Proto uznatelnými </w:t>
      </w:r>
      <w:r w:rsidR="00304B5E" w:rsidRPr="008B53A9">
        <w:rPr>
          <w:bCs/>
        </w:rPr>
        <w:t>výdaji</w:t>
      </w:r>
      <w:r w:rsidRPr="008B53A9">
        <w:rPr>
          <w:bCs/>
        </w:rPr>
        <w:t xml:space="preserve"> mohou být i náklady na projektové studie a na ř</w:t>
      </w:r>
      <w:r w:rsidR="00450475" w:rsidRPr="008B53A9">
        <w:rPr>
          <w:bCs/>
        </w:rPr>
        <w:t>ešení otázek vlastnických práv.</w:t>
      </w:r>
    </w:p>
    <w:p w:rsidR="00AF178F" w:rsidRPr="008B53A9" w:rsidRDefault="00AF178F" w:rsidP="00BA1C22">
      <w:pPr>
        <w:pStyle w:val="Standardntext"/>
        <w:rPr>
          <w:bCs/>
        </w:rPr>
      </w:pPr>
      <w:r w:rsidRPr="008B53A9">
        <w:rPr>
          <w:bCs/>
        </w:rPr>
        <w:t xml:space="preserve">Aktivity SC 4.1 mají přímou vazbu na tento strategický cíl Národní </w:t>
      </w:r>
      <w:r w:rsidR="002B0AB0" w:rsidRPr="008B53A9">
        <w:rPr>
          <w:bCs/>
        </w:rPr>
        <w:t>RI</w:t>
      </w:r>
      <w:r w:rsidRPr="008B53A9">
        <w:rPr>
          <w:bCs/>
        </w:rPr>
        <w:t>S3 strategie: „Infrastruktura“.</w:t>
      </w:r>
      <w:r w:rsidR="00CA3052" w:rsidRPr="008B53A9">
        <w:rPr>
          <w:bCs/>
        </w:rPr>
        <w:t xml:space="preserve"> Jde především o vzájemnou provázanost s typovými aktivitami</w:t>
      </w:r>
      <w:r w:rsidR="00752DD2" w:rsidRPr="008B53A9">
        <w:rPr>
          <w:bCs/>
        </w:rPr>
        <w:t>/projekty/operacemi specifického cíle E3.3</w:t>
      </w:r>
      <w:r w:rsidR="00CA3052" w:rsidRPr="008B53A9">
        <w:rPr>
          <w:bCs/>
        </w:rPr>
        <w:t xml:space="preserve"> „</w:t>
      </w:r>
      <w:r w:rsidR="00752DD2" w:rsidRPr="008B53A9">
        <w:rPr>
          <w:bCs/>
        </w:rPr>
        <w:t>Zvýšení dostupnosti infrastruktury</w:t>
      </w:r>
      <w:r w:rsidR="00CA3052" w:rsidRPr="008B53A9">
        <w:rPr>
          <w:bCs/>
        </w:rPr>
        <w:t xml:space="preserve">“ Národní </w:t>
      </w:r>
      <w:r w:rsidR="002B0AB0" w:rsidRPr="008B53A9">
        <w:rPr>
          <w:bCs/>
        </w:rPr>
        <w:t>RI</w:t>
      </w:r>
      <w:r w:rsidR="00CA3052" w:rsidRPr="008B53A9">
        <w:rPr>
          <w:bCs/>
        </w:rPr>
        <w:t>S3 strategie.</w:t>
      </w:r>
    </w:p>
    <w:p w:rsidR="00150199" w:rsidRPr="008B53A9" w:rsidRDefault="00150199" w:rsidP="006155A8">
      <w:pPr>
        <w:pStyle w:val="Standardntext"/>
      </w:pPr>
      <w:r w:rsidRPr="008B53A9">
        <w:rPr>
          <w:b/>
          <w:bCs/>
        </w:rPr>
        <w:t>Hlavní cílová skupina:</w:t>
      </w:r>
      <w:r w:rsidRPr="008B53A9">
        <w:rPr>
          <w:bCs/>
        </w:rPr>
        <w:t xml:space="preserve"> </w:t>
      </w:r>
      <w:r w:rsidRPr="008B53A9">
        <w:t>Obyvatelé</w:t>
      </w:r>
      <w:r w:rsidR="0068667C" w:rsidRPr="008B53A9">
        <w:t xml:space="preserve"> a podnikatelé</w:t>
      </w:r>
      <w:r w:rsidRPr="008B53A9">
        <w:t xml:space="preserve">, kteří nemají možnost využívat vysokorychlostní přístup k internetu o rychlosti </w:t>
      </w:r>
      <w:r w:rsidR="0023153A" w:rsidRPr="008B53A9">
        <w:t xml:space="preserve">alespoň </w:t>
      </w:r>
      <w:r w:rsidRPr="008B53A9">
        <w:t>30 Mbit/s.</w:t>
      </w:r>
    </w:p>
    <w:p w:rsidR="00150199" w:rsidRPr="008B53A9" w:rsidRDefault="00150199" w:rsidP="006155A8">
      <w:pPr>
        <w:pStyle w:val="Standardntext"/>
      </w:pPr>
      <w:r w:rsidRPr="008B53A9">
        <w:rPr>
          <w:b/>
          <w:bCs/>
        </w:rPr>
        <w:t xml:space="preserve">Cílové území: </w:t>
      </w:r>
      <w:r w:rsidR="00EA72D6" w:rsidRPr="008B53A9">
        <w:rPr>
          <w:bCs/>
        </w:rPr>
        <w:t>Prioritně</w:t>
      </w:r>
      <w:r w:rsidR="00EA72D6" w:rsidRPr="008B53A9">
        <w:rPr>
          <w:b/>
          <w:bCs/>
        </w:rPr>
        <w:t xml:space="preserve"> </w:t>
      </w:r>
      <w:r w:rsidR="00792328" w:rsidRPr="008B53A9">
        <w:t>oblasti, ve</w:t>
      </w:r>
      <w:r w:rsidRPr="008B53A9">
        <w:t xml:space="preserve"> kter</w:t>
      </w:r>
      <w:r w:rsidR="00792328" w:rsidRPr="008B53A9">
        <w:t>ých</w:t>
      </w:r>
      <w:r w:rsidRPr="008B53A9">
        <w:t xml:space="preserve"> neexistuje žádný provozovatel sítě pro vysokorychlostní přístup k internetu umožňující zajišťování služ</w:t>
      </w:r>
      <w:r w:rsidR="00792328" w:rsidRPr="008B53A9">
        <w:t>by reálnou rychlostí alespoň 30 </w:t>
      </w:r>
      <w:r w:rsidRPr="008B53A9">
        <w:t xml:space="preserve">Mbit/s a není pravděpodobné, že by v ní do tří let nějaký poskytovatel vybudoval </w:t>
      </w:r>
      <w:r w:rsidRPr="008B53A9">
        <w:lastRenderedPageBreak/>
        <w:t xml:space="preserve">infrastrukturu pro poskytování této služby. </w:t>
      </w:r>
      <w:r w:rsidR="004F2EB2" w:rsidRPr="008B53A9">
        <w:t>Výjimečně</w:t>
      </w:r>
      <w:r w:rsidR="004F2EB2" w:rsidRPr="008B53A9">
        <w:rPr>
          <w:rStyle w:val="Znakapoznpodarou"/>
        </w:rPr>
        <w:footnoteReference w:id="75"/>
      </w:r>
      <w:r w:rsidR="004F2EB2" w:rsidRPr="008B53A9">
        <w:t xml:space="preserve"> a pouze v odůvodněných případech na základě předem stanovených kritériích bude možné poskytnout podporu i v</w:t>
      </w:r>
      <w:r w:rsidR="00792328" w:rsidRPr="008B53A9">
        <w:t> </w:t>
      </w:r>
      <w:r w:rsidR="004F2EB2" w:rsidRPr="008B53A9">
        <w:t>oblastech</w:t>
      </w:r>
      <w:r w:rsidR="00792328" w:rsidRPr="008B53A9">
        <w:t>, ve kterých</w:t>
      </w:r>
      <w:r w:rsidRPr="008B53A9">
        <w:t xml:space="preserve"> existuje jeden provozovatel sítě vysokorychlostního přístupu k internetu zajišťující poskytování služby reálnou rychlostí alespoň 30 Mbit/s a není pravděpodobné, že by v ní do tří let jiný podnikatel vybudoval infrastrukturu pro poskytování této služby.</w:t>
      </w:r>
    </w:p>
    <w:p w:rsidR="00150199" w:rsidRPr="008B53A9" w:rsidRDefault="00150199" w:rsidP="006155A8">
      <w:pPr>
        <w:pStyle w:val="Standardntext"/>
        <w:rPr>
          <w:bCs/>
        </w:rPr>
      </w:pPr>
      <w:r w:rsidRPr="008B53A9">
        <w:rPr>
          <w:b/>
          <w:bCs/>
        </w:rPr>
        <w:t>Typy příjemců:</w:t>
      </w:r>
      <w:r w:rsidR="00300004" w:rsidRPr="008B53A9">
        <w:t xml:space="preserve"> </w:t>
      </w:r>
      <w:r w:rsidR="00300004" w:rsidRPr="008B53A9">
        <w:rPr>
          <w:bCs/>
        </w:rPr>
        <w:t>Fyzické nebo právnické osoby podnikající v oblasti elektronických komunikací</w:t>
      </w:r>
      <w:r w:rsidR="004F2EB2" w:rsidRPr="008B53A9">
        <w:rPr>
          <w:bCs/>
        </w:rPr>
        <w:t xml:space="preserve"> bez ohledu na velikost dotyčné osoby. Podporovány budou tudíž i velké podniky</w:t>
      </w:r>
      <w:r w:rsidR="00093576" w:rsidRPr="008B53A9">
        <w:rPr>
          <w:bCs/>
        </w:rPr>
        <w:t xml:space="preserve"> </w:t>
      </w:r>
      <w:r w:rsidR="00093576" w:rsidRPr="008B53A9">
        <w:t>(</w:t>
      </w:r>
      <w:r w:rsidR="00450475" w:rsidRPr="008B53A9">
        <w:t>po</w:t>
      </w:r>
      <w:r w:rsidR="00093576" w:rsidRPr="008B53A9">
        <w:t>dle čl. 3 odst. 1 nařízení o EFRR)</w:t>
      </w:r>
      <w:r w:rsidR="004F2EB2" w:rsidRPr="008B53A9">
        <w:rPr>
          <w:bCs/>
        </w:rPr>
        <w:t xml:space="preserve">, neboť celospolečenské přínosy a související pozitivní multiplikační efekty v rámci podpory rozšiřování všeobecné dostupnosti vysokorychlostního přístupu k internetu </w:t>
      </w:r>
      <w:r w:rsidR="0023153A" w:rsidRPr="008B53A9">
        <w:rPr>
          <w:bCs/>
        </w:rPr>
        <w:t>jednoznač</w:t>
      </w:r>
      <w:r w:rsidR="004F2EB2" w:rsidRPr="008B53A9">
        <w:rPr>
          <w:bCs/>
        </w:rPr>
        <w:t>ně převažují nad případnými negativními důsledky, které by mohly vzniknout podporováním velkých podniků.</w:t>
      </w:r>
      <w:r w:rsidR="00792328" w:rsidRPr="008B53A9">
        <w:rPr>
          <w:bCs/>
        </w:rPr>
        <w:t xml:space="preserve"> </w:t>
      </w:r>
      <w:r w:rsidR="00D42274" w:rsidRPr="008B53A9">
        <w:rPr>
          <w:bCs/>
        </w:rPr>
        <w:t xml:space="preserve">Rozumí se rovněž, že </w:t>
      </w:r>
      <w:r w:rsidR="00450475" w:rsidRPr="008B53A9">
        <w:rPr>
          <w:bCs/>
        </w:rPr>
        <w:t xml:space="preserve">s ohledem na </w:t>
      </w:r>
      <w:r w:rsidR="00D42274" w:rsidRPr="008B53A9">
        <w:rPr>
          <w:bCs/>
        </w:rPr>
        <w:t>vysoké investiční nároky na výstavbu sítí a</w:t>
      </w:r>
      <w:r w:rsidR="0023153A" w:rsidRPr="008B53A9">
        <w:rPr>
          <w:bCs/>
        </w:rPr>
        <w:t xml:space="preserve"> na</w:t>
      </w:r>
      <w:r w:rsidR="00D42274" w:rsidRPr="008B53A9">
        <w:rPr>
          <w:bCs/>
        </w:rPr>
        <w:t xml:space="preserve"> nutnost tyto náklady předfinancovat, a dále s ohlede</w:t>
      </w:r>
      <w:r w:rsidR="00450475" w:rsidRPr="008B53A9">
        <w:rPr>
          <w:bCs/>
        </w:rPr>
        <w:t xml:space="preserve">m na značnou technologickou a </w:t>
      </w:r>
      <w:r w:rsidR="00D42274" w:rsidRPr="008B53A9">
        <w:rPr>
          <w:bCs/>
        </w:rPr>
        <w:t>procesní náročnost zajištění provozu podpořených sítí a v neposlední řadě i s ohledem na zajištění udržitelnosti projektu</w:t>
      </w:r>
      <w:r w:rsidR="00450475" w:rsidRPr="008B53A9">
        <w:rPr>
          <w:bCs/>
        </w:rPr>
        <w:t>,</w:t>
      </w:r>
      <w:r w:rsidR="00D42274" w:rsidRPr="008B53A9">
        <w:rPr>
          <w:bCs/>
        </w:rPr>
        <w:t xml:space="preserve"> nebude možné </w:t>
      </w:r>
      <w:r w:rsidR="00450475" w:rsidRPr="008B53A9">
        <w:rPr>
          <w:bCs/>
        </w:rPr>
        <w:t xml:space="preserve">takové investice </w:t>
      </w:r>
      <w:r w:rsidR="00D42274" w:rsidRPr="008B53A9">
        <w:rPr>
          <w:bCs/>
        </w:rPr>
        <w:t xml:space="preserve">vygenerovat bez významné participace velkých podniků. </w:t>
      </w:r>
      <w:r w:rsidR="0023153A" w:rsidRPr="008B53A9">
        <w:rPr>
          <w:bCs/>
        </w:rPr>
        <w:t xml:space="preserve">Budování finančně náročných vysokorychlostních sítí velkými podniky v kombinaci s povinným umožněním přístupu do těchto sítí ostatním zájemcům o poskytování služeb přístupu k internetu o požadovaných rychlostech zakládá předpoklad následného vstupu nových subjektů na trh a budoucího rozvoje konkurenčního prostředí při maximálním využití realizovaných investic. </w:t>
      </w:r>
      <w:r w:rsidR="00D42274" w:rsidRPr="008B53A9">
        <w:rPr>
          <w:bCs/>
        </w:rPr>
        <w:t>S ohledem na současnou praxi budování sítí lze však předpokládat výrazné zapojení malých a středních firem na straně zhotovitelů přípravn</w:t>
      </w:r>
      <w:r w:rsidR="00450475" w:rsidRPr="008B53A9">
        <w:rPr>
          <w:bCs/>
        </w:rPr>
        <w:t>ých, výkopových a stavebních pra</w:t>
      </w:r>
      <w:r w:rsidR="00D42274" w:rsidRPr="008B53A9">
        <w:rPr>
          <w:bCs/>
        </w:rPr>
        <w:t xml:space="preserve">cí, které </w:t>
      </w:r>
      <w:r w:rsidR="00450475" w:rsidRPr="008B53A9">
        <w:rPr>
          <w:bCs/>
        </w:rPr>
        <w:t xml:space="preserve">budou </w:t>
      </w:r>
      <w:r w:rsidR="00D42274" w:rsidRPr="008B53A9">
        <w:rPr>
          <w:bCs/>
        </w:rPr>
        <w:t>tvořit výraznou položku v nákladech podpořených projektů. Vybudovaná infrastruktura pro vysokorychlostní přístup k internetu rovněž významně podpoří poptávku po produktech a službách malých a středních podniků.</w:t>
      </w:r>
    </w:p>
    <w:p w:rsidR="00150199" w:rsidRPr="008B53A9" w:rsidRDefault="00BA6461" w:rsidP="005F43DF">
      <w:pPr>
        <w:pStyle w:val="Nadpis5"/>
        <w:numPr>
          <w:ilvl w:val="4"/>
          <w:numId w:val="26"/>
        </w:numPr>
      </w:pPr>
      <w:r w:rsidRPr="008B53A9">
        <w:t>Hlavní zásady pro výběr operací</w:t>
      </w:r>
    </w:p>
    <w:p w:rsidR="00B45C7F" w:rsidRPr="008B53A9" w:rsidRDefault="00E85C5D" w:rsidP="00963119">
      <w:pPr>
        <w:pStyle w:val="Standardntext"/>
      </w:pPr>
      <w:r w:rsidRPr="008B53A9">
        <w:t xml:space="preserve">V rámci této investiční priority budou vyhlašovány výzvy na předkládání individuálních projektů. </w:t>
      </w:r>
      <w:r w:rsidR="00855A0B" w:rsidRPr="008B53A9">
        <w:t>Předložené projekty budou  nejdříve posuzovány ze strany řídícího orgánu / zprostředkujícího subjektu z pohledu jejich souladu s podmínkami daného programu podpory.</w:t>
      </w:r>
      <w:r w:rsidRPr="008B53A9">
        <w:t xml:space="preserve"> Projektové žádosti, které úspěšně projdou tímto procesem, budou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w:t>
      </w:r>
      <w:r w:rsidR="006B1736" w:rsidRPr="008B53A9">
        <w:t>kritérií odpovídajících charakteru</w:t>
      </w:r>
      <w:r w:rsidRPr="008B53A9">
        <w:t xml:space="preserve"> jednotlivých specifických cílů a v rámci nich podporovaných aktivit. </w:t>
      </w:r>
      <w:r w:rsidR="00952A8B" w:rsidRPr="008B53A9">
        <w:t xml:space="preserve">Ve finální fázi hodnocení </w:t>
      </w:r>
      <w:r w:rsidRPr="008B53A9">
        <w:t>budou projekty posuzovány hodnotitelskou komis</w:t>
      </w:r>
      <w:r w:rsidR="00153F2D" w:rsidRPr="008B53A9">
        <w:t>í, která bude tvořena zástupci Ř</w:t>
      </w:r>
      <w:r w:rsidRPr="008B53A9">
        <w:t>ídícího orgánu a dalšími relevantními partnery</w:t>
      </w:r>
      <w:r w:rsidR="00963119" w:rsidRPr="008B53A9">
        <w:t xml:space="preserve"> a</w:t>
      </w:r>
      <w:r w:rsidRPr="008B53A9">
        <w:t xml:space="preserve"> experty na danou oblast, včetně regionálních partnerů. </w:t>
      </w:r>
      <w:r w:rsidR="00C57EB7" w:rsidRPr="008B53A9">
        <w:t xml:space="preserve">Výběr </w:t>
      </w:r>
      <w:r w:rsidR="002730C3" w:rsidRPr="008B53A9">
        <w:t>odborných hodnotitelů</w:t>
      </w:r>
      <w:r w:rsidR="00C57EB7"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C57EB7" w:rsidRPr="008B53A9">
        <w:rPr>
          <w:rStyle w:val="Znakapoznpodarou"/>
        </w:rPr>
        <w:footnoteReference w:id="76"/>
      </w:r>
      <w:r w:rsidR="00C57EB7" w:rsidRPr="008B53A9">
        <w:t xml:space="preserve"> Hodnotitelé budou průběžně školeni tak, aby byl zajištěn jejich rovný přístup ke všem projektům. </w:t>
      </w:r>
      <w:r w:rsidR="00D66446" w:rsidRPr="008B53A9">
        <w:t xml:space="preserve">Tento systém bude nastaven </w:t>
      </w:r>
      <w:r w:rsidR="00D66446" w:rsidRPr="008B53A9">
        <w:lastRenderedPageBreak/>
        <w:t>maximálně transparentně, s cílem zajistit kvalitní a objektivní hodnocení projektů, a realizací schválených projektů dosažení stanovených cílů programu.</w:t>
      </w:r>
    </w:p>
    <w:p w:rsidR="00D42004" w:rsidRPr="008B53A9" w:rsidRDefault="00D42004" w:rsidP="00D42004">
      <w:pPr>
        <w:pStyle w:val="Standardntext"/>
      </w:pPr>
      <w:r w:rsidRPr="008B53A9">
        <w:t>V rámci výběru a hodnocení projektů budou posuzována především následující kritéria:</w:t>
      </w:r>
    </w:p>
    <w:p w:rsidR="00D42004" w:rsidRPr="008B53A9" w:rsidRDefault="00D42004" w:rsidP="005F43DF">
      <w:pPr>
        <w:pStyle w:val="Standardntext"/>
        <w:numPr>
          <w:ilvl w:val="0"/>
          <w:numId w:val="44"/>
        </w:numPr>
      </w:pPr>
      <w:r w:rsidRPr="008B53A9">
        <w:t xml:space="preserve">Kvalita a potřebnost </w:t>
      </w:r>
      <w:r w:rsidR="00B45C7F" w:rsidRPr="008B53A9">
        <w:t xml:space="preserve">projektu s ohledem na </w:t>
      </w:r>
      <w:r w:rsidR="0023153A" w:rsidRPr="008B53A9">
        <w:t>jeho</w:t>
      </w:r>
      <w:r w:rsidR="00B45C7F" w:rsidRPr="008B53A9">
        <w:t xml:space="preserve"> potenciál ve specifických územích (tzn. z hlediska identifikace bílých míst)</w:t>
      </w:r>
      <w:r w:rsidRPr="008B53A9">
        <w:t>.</w:t>
      </w:r>
    </w:p>
    <w:p w:rsidR="00F00EF8" w:rsidRPr="008B53A9" w:rsidRDefault="00F00EF8" w:rsidP="005F43DF">
      <w:pPr>
        <w:pStyle w:val="Standardntext"/>
        <w:numPr>
          <w:ilvl w:val="0"/>
          <w:numId w:val="44"/>
        </w:numPr>
      </w:pPr>
      <w:r w:rsidRPr="008B53A9">
        <w:rPr>
          <w:bCs/>
        </w:rPr>
        <w:t>Žadatel o podporu předloží podnikatelský záměr, který bude obsahovat základní informace o lokalitě, kapitálovou náročnost investiční pří</w:t>
      </w:r>
      <w:r w:rsidR="00712D59" w:rsidRPr="008B53A9">
        <w:rPr>
          <w:bCs/>
        </w:rPr>
        <w:t>ležitosti, technicko-organizační</w:t>
      </w:r>
      <w:r w:rsidRPr="008B53A9">
        <w:rPr>
          <w:bCs/>
        </w:rPr>
        <w:t>, obchodní a finanční zajištění realizace.</w:t>
      </w:r>
      <w:r w:rsidR="00712D59" w:rsidRPr="008B53A9">
        <w:rPr>
          <w:bCs/>
        </w:rPr>
        <w:t xml:space="preserve"> V projektu musí být </w:t>
      </w:r>
      <w:r w:rsidR="0030164D" w:rsidRPr="008B53A9">
        <w:rPr>
          <w:bCs/>
        </w:rPr>
        <w:t xml:space="preserve">rovněž </w:t>
      </w:r>
      <w:r w:rsidR="00712D59" w:rsidRPr="008B53A9">
        <w:rPr>
          <w:bCs/>
        </w:rPr>
        <w:t>popsán přístup</w:t>
      </w:r>
      <w:r w:rsidR="0030164D" w:rsidRPr="008B53A9">
        <w:rPr>
          <w:bCs/>
        </w:rPr>
        <w:t xml:space="preserve"> k síti na velkoobchodní úrovni.</w:t>
      </w:r>
    </w:p>
    <w:p w:rsidR="00D42004" w:rsidRPr="008B53A9" w:rsidRDefault="00D42004" w:rsidP="005F43DF">
      <w:pPr>
        <w:pStyle w:val="Standardntext"/>
        <w:numPr>
          <w:ilvl w:val="0"/>
          <w:numId w:val="44"/>
        </w:numPr>
      </w:pPr>
      <w:r w:rsidRPr="008B53A9">
        <w:t>Soulad projektu s  územní dimenzí této investiční priority</w:t>
      </w:r>
      <w:r w:rsidR="00C63CF5" w:rsidRPr="008B53A9">
        <w:t xml:space="preserve"> (viz </w:t>
      </w:r>
      <w:r w:rsidR="00C63CF5" w:rsidRPr="008B53A9">
        <w:rPr>
          <w:i/>
        </w:rPr>
        <w:t>Cílové území</w:t>
      </w:r>
      <w:r w:rsidR="00C63CF5" w:rsidRPr="008B53A9">
        <w:t xml:space="preserve"> v oddíle 2.A.6.1 a dále oddíl 4)</w:t>
      </w:r>
      <w:r w:rsidRPr="008B53A9">
        <w:t>. </w:t>
      </w:r>
    </w:p>
    <w:p w:rsidR="00D42004" w:rsidRPr="008B53A9" w:rsidRDefault="00D42004"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D42004" w:rsidRPr="008B53A9" w:rsidRDefault="00D42004" w:rsidP="005F43DF">
      <w:pPr>
        <w:pStyle w:val="Standardntext"/>
        <w:numPr>
          <w:ilvl w:val="0"/>
          <w:numId w:val="44"/>
        </w:numPr>
      </w:pPr>
      <w:r w:rsidRPr="008B53A9">
        <w:t>Žadatel nesmí mít právní formu akciové společnosti s listinnými akciemi na majitele.</w:t>
      </w:r>
    </w:p>
    <w:p w:rsidR="00150199" w:rsidRPr="008B53A9" w:rsidRDefault="00BA6461" w:rsidP="005F43DF">
      <w:pPr>
        <w:pStyle w:val="Nadpis5"/>
        <w:numPr>
          <w:ilvl w:val="4"/>
          <w:numId w:val="26"/>
        </w:numPr>
        <w:rPr>
          <w:rFonts w:cs="Calibri"/>
        </w:rPr>
      </w:pPr>
      <w:r w:rsidRPr="008B53A9">
        <w:t>Plánované využití finančních nástrojů (použije-li se)</w:t>
      </w:r>
    </w:p>
    <w:p w:rsidR="00150199" w:rsidRPr="008B53A9" w:rsidRDefault="000373F5" w:rsidP="002A4D1D">
      <w:pPr>
        <w:pStyle w:val="Standardntext"/>
      </w:pPr>
      <w:r w:rsidRPr="008B53A9">
        <w:t>Řídící orgán nepředpokládá využití finančních nástrojů v této investiční prioritě. Případné odchylky stanoví konečná verze předběžného posouzení finančních nástrojů OP PIK dle čl. 37 odst. 2 obecného nařízení, které provede ŘO OP PIK, případně jeho revize podle čl. 37 odst. 2 písm. g) obecného nařízení.</w:t>
      </w:r>
    </w:p>
    <w:p w:rsidR="00150199" w:rsidRPr="008B53A9" w:rsidRDefault="00BA6461" w:rsidP="005F43DF">
      <w:pPr>
        <w:pStyle w:val="Nadpis5"/>
        <w:numPr>
          <w:ilvl w:val="4"/>
          <w:numId w:val="26"/>
        </w:numPr>
      </w:pPr>
      <w:r w:rsidRPr="008B53A9">
        <w:t>Plánované využití velkých projektů (použije-li se)</w:t>
      </w:r>
    </w:p>
    <w:p w:rsidR="002A4D1D" w:rsidRPr="008B53A9" w:rsidRDefault="002A4D1D" w:rsidP="002A4D1D">
      <w:pPr>
        <w:pStyle w:val="Standardntext"/>
      </w:pPr>
      <w:r w:rsidRPr="008B53A9">
        <w:t xml:space="preserve">Velké projekty ve smyslu čl. </w:t>
      </w:r>
      <w:r w:rsidR="008F52F8" w:rsidRPr="008B53A9">
        <w:t>10</w:t>
      </w:r>
      <w:r w:rsidRPr="008B53A9">
        <w:t>0 obecného nařízení nejsou plánovány.</w:t>
      </w:r>
    </w:p>
    <w:p w:rsidR="00150199" w:rsidRPr="008B53A9" w:rsidRDefault="00BA6461" w:rsidP="005F43DF">
      <w:pPr>
        <w:pStyle w:val="Nadpis5"/>
        <w:numPr>
          <w:ilvl w:val="4"/>
          <w:numId w:val="26"/>
        </w:numPr>
      </w:pPr>
      <w:r w:rsidRPr="008B53A9">
        <w:t>Ukazatele výstupů podle investiční priority a případně podle kategorie regionů</w:t>
      </w:r>
    </w:p>
    <w:p w:rsidR="00150199" w:rsidRPr="008B53A9" w:rsidRDefault="00150199" w:rsidP="004126CC">
      <w:pPr>
        <w:pStyle w:val="Titulek"/>
        <w:keepNext/>
        <w:keepLines/>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1155"/>
        <w:gridCol w:w="2289"/>
        <w:gridCol w:w="1173"/>
        <w:gridCol w:w="665"/>
        <w:gridCol w:w="1146"/>
        <w:gridCol w:w="1078"/>
        <w:gridCol w:w="718"/>
        <w:gridCol w:w="1102"/>
      </w:tblGrid>
      <w:tr w:rsidR="001B2E5C" w:rsidRPr="008B53A9">
        <w:trPr>
          <w:trHeight w:hRule="exact" w:val="104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4126CC">
            <w:pPr>
              <w:pStyle w:val="Tabulka"/>
              <w:keepNext/>
              <w:keepLines/>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4126CC">
            <w:pPr>
              <w:pStyle w:val="Tabulka"/>
              <w:keepNext/>
              <w:keepLines/>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4126CC">
            <w:pPr>
              <w:pStyle w:val="Tabulka"/>
              <w:keepNext/>
              <w:keepLines/>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4126CC">
            <w:pPr>
              <w:pStyle w:val="Tabulka"/>
              <w:keepNext/>
              <w:keepLines/>
              <w:rPr>
                <w:rFonts w:cs="Calibri"/>
                <w:b/>
                <w:lang w:val="cs-CZ" w:eastAsia="cs-CZ"/>
              </w:rPr>
            </w:pPr>
            <w:r w:rsidRPr="008B53A9">
              <w:rPr>
                <w:rFonts w:cs="Calibri"/>
                <w:b/>
                <w:lang w:val="cs-CZ" w:eastAsia="cs-CZ"/>
              </w:rPr>
              <w:t>Fond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4126CC">
            <w:pPr>
              <w:pStyle w:val="Tabulka"/>
              <w:keepNext/>
              <w:keepLines/>
              <w:rPr>
                <w:rFonts w:cs="Calibri"/>
                <w:b/>
                <w:lang w:val="cs-CZ" w:eastAsia="cs-CZ"/>
              </w:rPr>
            </w:pPr>
            <w:r w:rsidRPr="008B53A9">
              <w:rPr>
                <w:rFonts w:cs="Calibri"/>
                <w:b/>
                <w:lang w:val="cs-CZ" w:eastAsia="cs-CZ"/>
              </w:rPr>
              <w:t>Kategorie regionu</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4126CC">
            <w:pPr>
              <w:pStyle w:val="Tabulka"/>
              <w:keepNext/>
              <w:keepLines/>
              <w:rPr>
                <w:rFonts w:cs="Calibri"/>
                <w:b/>
                <w:lang w:val="cs-CZ" w:eastAsia="cs-CZ"/>
              </w:rPr>
            </w:pPr>
            <w:r w:rsidRPr="008B53A9">
              <w:rPr>
                <w:rFonts w:cs="Calibri"/>
                <w:b/>
                <w:lang w:val="cs-CZ" w:eastAsia="cs-CZ"/>
              </w:rPr>
              <w:t>Cílová hodnota</w:t>
            </w:r>
          </w:p>
          <w:p w:rsidR="001B2E5C" w:rsidRPr="008B53A9" w:rsidRDefault="001B2E5C" w:rsidP="004126CC">
            <w:pPr>
              <w:pStyle w:val="Tabulka"/>
              <w:keepNext/>
              <w:keepLines/>
              <w:rPr>
                <w:rFonts w:cs="Calibri"/>
                <w:b/>
                <w:lang w:val="cs-CZ" w:eastAsia="cs-CZ"/>
              </w:rPr>
            </w:pPr>
            <w:r w:rsidRPr="008B53A9">
              <w:rPr>
                <w:rFonts w:cs="Calibri"/>
                <w:b/>
                <w:lang w:val="cs-CZ" w:eastAsia="cs-CZ"/>
              </w:rPr>
              <w:t>(2023)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4126CC">
            <w:pPr>
              <w:pStyle w:val="Tabulka"/>
              <w:keepNext/>
              <w:keepLines/>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4126CC">
            <w:pPr>
              <w:pStyle w:val="Tabulka"/>
              <w:keepNext/>
              <w:keepLines/>
              <w:rPr>
                <w:rFonts w:cs="Calibri"/>
                <w:b/>
                <w:lang w:val="cs-CZ" w:eastAsia="cs-CZ"/>
              </w:rPr>
            </w:pPr>
            <w:r w:rsidRPr="008B53A9">
              <w:rPr>
                <w:rFonts w:cs="Calibri"/>
                <w:b/>
                <w:lang w:val="cs-CZ" w:eastAsia="cs-CZ"/>
              </w:rPr>
              <w:t>Četnost podávání zpráv</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DC6567" w:rsidP="004126CC">
            <w:pPr>
              <w:pStyle w:val="Tabulka"/>
              <w:keepNext/>
              <w:keepLines/>
              <w:rPr>
                <w:rFonts w:cs="Calibri"/>
                <w:lang w:val="cs-CZ" w:eastAsia="cs-CZ"/>
              </w:rPr>
            </w:pPr>
            <w:r w:rsidRPr="008B53A9">
              <w:rPr>
                <w:rFonts w:cs="Calibri"/>
                <w:lang w:val="cs-CZ" w:eastAsia="cs-CZ"/>
              </w:rPr>
              <w:t>C</w:t>
            </w:r>
            <w:r w:rsidR="00981056" w:rsidRPr="008B53A9">
              <w:rPr>
                <w:rFonts w:cs="Calibri"/>
                <w:lang w:val="cs-CZ" w:eastAsia="cs-CZ"/>
              </w:rPr>
              <w:t>/EFRR/0</w:t>
            </w:r>
            <w:r w:rsidR="002B3F69" w:rsidRPr="008B53A9">
              <w:rPr>
                <w:rFonts w:cs="Calibri"/>
                <w:lang w:val="cs-CZ" w:eastAsia="cs-CZ"/>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7D6298" w:rsidP="004126CC">
            <w:pPr>
              <w:pStyle w:val="Tabulka"/>
              <w:keepNext/>
              <w:keepLines/>
              <w:jc w:val="left"/>
              <w:rPr>
                <w:rFonts w:cs="Calibri"/>
                <w:lang w:val="cs-CZ" w:eastAsia="cs-CZ"/>
              </w:rPr>
            </w:pPr>
            <w:r w:rsidRPr="008B53A9">
              <w:rPr>
                <w:rFonts w:cs="Calibri"/>
                <w:lang w:val="cs-CZ" w:eastAsia="cs-CZ"/>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4126CC">
            <w:pPr>
              <w:pStyle w:val="Tabulka"/>
              <w:keepNext/>
              <w:keepLines/>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4126CC">
            <w:pPr>
              <w:pStyle w:val="Tabulka"/>
              <w:keepNext/>
              <w:keepLines/>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4126CC">
            <w:pPr>
              <w:pStyle w:val="Tabulka"/>
              <w:keepNext/>
              <w:keepLines/>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5644D4" w:rsidP="004126CC">
            <w:pPr>
              <w:pStyle w:val="Tabulka"/>
              <w:keepNext/>
              <w:keepLines/>
              <w:rPr>
                <w:rFonts w:cs="Calibri"/>
                <w:lang w:val="cs-CZ" w:eastAsia="cs-CZ"/>
              </w:rPr>
            </w:pPr>
            <w:r w:rsidRPr="008B53A9">
              <w:rPr>
                <w:rFonts w:cs="Calibri"/>
                <w:lang w:val="cs-CZ" w:eastAsia="cs-CZ"/>
              </w:rPr>
              <w:t>200</w:t>
            </w:r>
            <w:r w:rsidRPr="008B53A9">
              <w:rPr>
                <w:rStyle w:val="Znakapoznpodarou"/>
                <w:rFonts w:cs="Calibri"/>
                <w:lang w:val="cs-CZ" w:eastAsia="cs-CZ"/>
              </w:rPr>
              <w:footnoteReference w:id="77"/>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C877C3" w:rsidP="004126CC">
            <w:pPr>
              <w:pStyle w:val="Tabulka"/>
              <w:keepNext/>
              <w:keepLines/>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4126CC">
            <w:pPr>
              <w:pStyle w:val="Tabulka"/>
              <w:keepNext/>
              <w:keepLines/>
              <w:rPr>
                <w:rFonts w:cs="Calibri"/>
                <w:lang w:val="cs-CZ" w:eastAsia="cs-CZ"/>
              </w:rPr>
            </w:pPr>
            <w:r w:rsidRPr="008B53A9">
              <w:rPr>
                <w:rFonts w:cs="Calibri"/>
                <w:lang w:val="cs-CZ" w:eastAsia="cs-CZ"/>
              </w:rPr>
              <w:t>průběžně</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DC6567" w:rsidP="00F00D3E">
            <w:pPr>
              <w:pStyle w:val="Tabulka"/>
              <w:rPr>
                <w:rFonts w:cs="Calibri"/>
                <w:lang w:val="cs-CZ" w:eastAsia="cs-CZ"/>
              </w:rPr>
            </w:pPr>
            <w:r w:rsidRPr="008B53A9">
              <w:rPr>
                <w:rFonts w:cs="Calibri"/>
                <w:lang w:val="cs-CZ" w:eastAsia="cs-CZ"/>
              </w:rPr>
              <w:t>C</w:t>
            </w:r>
            <w:r w:rsidR="00981056" w:rsidRPr="008B53A9">
              <w:rPr>
                <w:rFonts w:cs="Calibri"/>
                <w:lang w:val="cs-CZ" w:eastAsia="cs-CZ"/>
              </w:rPr>
              <w:t>/EFRR/0</w:t>
            </w:r>
            <w:r w:rsidR="002B3F69" w:rsidRPr="008B53A9">
              <w:rPr>
                <w:rFonts w:cs="Calibri"/>
                <w:lang w:val="cs-CZ" w:eastAsia="cs-CZ"/>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F00D3E">
            <w:pPr>
              <w:pStyle w:val="Tabulka"/>
              <w:jc w:val="left"/>
              <w:rPr>
                <w:rFonts w:cs="Calibri"/>
                <w:lang w:val="cs-CZ" w:eastAsia="cs-CZ"/>
              </w:rPr>
            </w:pPr>
            <w:r w:rsidRPr="008B53A9">
              <w:rPr>
                <w:rFonts w:cs="Calibri"/>
                <w:lang w:val="cs-CZ" w:eastAsia="cs-CZ"/>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F00D3E">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F00D3E">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F00D3E">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5644D4" w:rsidP="00F00D3E">
            <w:pPr>
              <w:pStyle w:val="Tabulka"/>
              <w:rPr>
                <w:rFonts w:cs="Calibri"/>
                <w:lang w:val="cs-CZ" w:eastAsia="cs-CZ"/>
              </w:rPr>
            </w:pPr>
            <w:r w:rsidRPr="008B53A9">
              <w:rPr>
                <w:rFonts w:cs="Calibri"/>
                <w:lang w:val="cs-CZ" w:eastAsia="cs-CZ"/>
              </w:rPr>
              <w:t>200</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C877C3" w:rsidP="00F00D3E">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F00D3E">
            <w:pPr>
              <w:pStyle w:val="Tabulka"/>
              <w:rPr>
                <w:rFonts w:cs="Calibri"/>
                <w:lang w:val="cs-CZ" w:eastAsia="cs-CZ"/>
              </w:rPr>
            </w:pPr>
            <w:r w:rsidRPr="008B53A9">
              <w:rPr>
                <w:rFonts w:cs="Calibri"/>
                <w:lang w:val="cs-CZ" w:eastAsia="cs-CZ"/>
              </w:rPr>
              <w:t>průběžně</w:t>
            </w:r>
          </w:p>
        </w:tc>
      </w:tr>
      <w:tr w:rsidR="00B7547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B75479" w:rsidRPr="008B53A9" w:rsidRDefault="00B75479" w:rsidP="008F41A1">
            <w:pPr>
              <w:pStyle w:val="Tabulka"/>
              <w:rPr>
                <w:rFonts w:cs="Calibri"/>
                <w:lang w:val="cs-CZ" w:eastAsia="cs-CZ"/>
              </w:rPr>
            </w:pPr>
            <w:r w:rsidRPr="008B53A9">
              <w:rPr>
                <w:rFonts w:cs="Calibri"/>
                <w:lang w:val="cs-CZ" w:eastAsia="cs-CZ"/>
              </w:rPr>
              <w:t>C</w:t>
            </w:r>
            <w:r w:rsidR="00981056" w:rsidRPr="008B53A9">
              <w:rPr>
                <w:rFonts w:cs="Calibri"/>
                <w:lang w:val="cs-CZ" w:eastAsia="cs-CZ"/>
              </w:rPr>
              <w:t>/EFRR/</w:t>
            </w:r>
            <w:r w:rsidRPr="008B53A9">
              <w:rPr>
                <w:rFonts w:cs="Calibri"/>
                <w:lang w:val="cs-CZ" w:eastAsia="cs-CZ"/>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B75479" w:rsidRPr="008B53A9" w:rsidRDefault="00B75479" w:rsidP="008F41A1">
            <w:pPr>
              <w:pStyle w:val="Tabulka"/>
              <w:jc w:val="left"/>
              <w:rPr>
                <w:rFonts w:cs="Calibri"/>
                <w:lang w:val="cs-CZ" w:eastAsia="cs-CZ"/>
              </w:rPr>
            </w:pPr>
            <w:r w:rsidRPr="008B53A9">
              <w:rPr>
                <w:rFonts w:cs="Calibri"/>
                <w:lang w:val="cs-CZ" w:eastAsia="cs-CZ"/>
              </w:rPr>
              <w:t xml:space="preserve">Domácnosti, které mají nově přístup k širokopásmovým sítím s </w:t>
            </w:r>
            <w:r w:rsidRPr="008B53A9">
              <w:rPr>
                <w:rFonts w:cs="Calibri"/>
                <w:lang w:val="cs-CZ" w:eastAsia="cs-CZ"/>
              </w:rPr>
              <w:lastRenderedPageBreak/>
              <w:t>přenosovou rychlostí nejméně 30 Mb/s</w:t>
            </w:r>
          </w:p>
        </w:tc>
        <w:tc>
          <w:tcPr>
            <w:tcW w:w="0" w:type="auto"/>
            <w:tcBorders>
              <w:top w:val="single" w:sz="4" w:space="0" w:color="000000"/>
              <w:left w:val="single" w:sz="4" w:space="0" w:color="000000"/>
              <w:bottom w:val="single" w:sz="4" w:space="0" w:color="000000"/>
              <w:right w:val="single" w:sz="4" w:space="0" w:color="000000"/>
            </w:tcBorders>
            <w:vAlign w:val="center"/>
          </w:tcPr>
          <w:p w:rsidR="00B75479" w:rsidRPr="008B53A9" w:rsidRDefault="00B75479" w:rsidP="008F41A1">
            <w:pPr>
              <w:pStyle w:val="Tabulka"/>
              <w:rPr>
                <w:rFonts w:cs="Calibri"/>
                <w:lang w:val="cs-CZ" w:eastAsia="cs-CZ"/>
              </w:rPr>
            </w:pPr>
            <w:r w:rsidRPr="008B53A9">
              <w:rPr>
                <w:rFonts w:cs="Calibri"/>
                <w:lang w:val="cs-CZ" w:eastAsia="cs-CZ"/>
              </w:rPr>
              <w:lastRenderedPageBreak/>
              <w:t>domácnosti</w:t>
            </w:r>
          </w:p>
        </w:tc>
        <w:tc>
          <w:tcPr>
            <w:tcW w:w="0" w:type="auto"/>
            <w:tcBorders>
              <w:top w:val="single" w:sz="4" w:space="0" w:color="000000"/>
              <w:left w:val="single" w:sz="4" w:space="0" w:color="000000"/>
              <w:bottom w:val="single" w:sz="4" w:space="0" w:color="000000"/>
              <w:right w:val="single" w:sz="4" w:space="0" w:color="000000"/>
            </w:tcBorders>
            <w:vAlign w:val="center"/>
          </w:tcPr>
          <w:p w:rsidR="00B75479" w:rsidRPr="008B53A9" w:rsidRDefault="00B75479" w:rsidP="00F00D3E">
            <w:pPr>
              <w:pStyle w:val="Tabulka"/>
              <w:rPr>
                <w:rFonts w:cs="Calibri"/>
                <w:lang w:val="cs-CZ" w:eastAsia="cs-CZ"/>
              </w:rPr>
            </w:pPr>
            <w:r w:rsidRPr="008B53A9">
              <w:rPr>
                <w:rFonts w:cs="Calibri"/>
                <w:lang w:val="cs-CZ" w:eastAsia="cs-CZ"/>
              </w:rPr>
              <w:t>EFRR</w:t>
            </w:r>
          </w:p>
        </w:tc>
        <w:tc>
          <w:tcPr>
            <w:tcW w:w="0" w:type="auto"/>
            <w:tcBorders>
              <w:top w:val="single" w:sz="4" w:space="0" w:color="000000"/>
              <w:left w:val="single" w:sz="4" w:space="0" w:color="000000"/>
              <w:bottom w:val="single" w:sz="4" w:space="0" w:color="000000"/>
              <w:right w:val="single" w:sz="4" w:space="0" w:color="000000"/>
            </w:tcBorders>
            <w:vAlign w:val="center"/>
          </w:tcPr>
          <w:p w:rsidR="00B75479" w:rsidRPr="008B53A9" w:rsidRDefault="00B75479" w:rsidP="00F00D3E">
            <w:pPr>
              <w:pStyle w:val="Tabulka"/>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B75479" w:rsidRPr="008B53A9" w:rsidRDefault="00067BAC" w:rsidP="00F00D3E">
            <w:pPr>
              <w:pStyle w:val="Tabulka"/>
              <w:rPr>
                <w:rFonts w:cs="Calibri"/>
                <w:lang w:val="cs-CZ" w:eastAsia="cs-CZ"/>
              </w:rPr>
            </w:pPr>
            <w:r w:rsidRPr="008B53A9">
              <w:rPr>
                <w:rFonts w:cs="Calibri"/>
                <w:lang w:val="cs-CZ" w:eastAsia="cs-CZ"/>
              </w:rPr>
              <w:t>5</w:t>
            </w:r>
            <w:r w:rsidR="00B75479" w:rsidRPr="008B53A9">
              <w:rPr>
                <w:rFonts w:cs="Calibri"/>
                <w:lang w:val="cs-CZ" w:eastAsia="cs-CZ"/>
              </w:rPr>
              <w:t xml:space="preserve">00 000 až </w:t>
            </w:r>
            <w:r w:rsidRPr="008B53A9">
              <w:rPr>
                <w:rFonts w:cs="Calibri"/>
                <w:lang w:val="cs-CZ" w:eastAsia="cs-CZ"/>
              </w:rPr>
              <w:t>7</w:t>
            </w:r>
            <w:r w:rsidR="00B75479" w:rsidRPr="008B53A9">
              <w:rPr>
                <w:rFonts w:cs="Calibri"/>
                <w:lang w:val="cs-CZ" w:eastAsia="cs-CZ"/>
              </w:rPr>
              <w:t>00 000</w:t>
            </w:r>
            <w:r w:rsidR="00B75479" w:rsidRPr="008B53A9">
              <w:rPr>
                <w:rStyle w:val="StandardntextChar"/>
                <w:vertAlign w:val="superscript"/>
                <w:lang w:val="cs-CZ" w:eastAsia="cs-CZ"/>
              </w:rPr>
              <w:footnoteReference w:id="78"/>
            </w:r>
          </w:p>
        </w:tc>
        <w:tc>
          <w:tcPr>
            <w:tcW w:w="0" w:type="auto"/>
            <w:tcBorders>
              <w:top w:val="single" w:sz="4" w:space="0" w:color="000000"/>
              <w:left w:val="single" w:sz="4" w:space="0" w:color="000000"/>
              <w:bottom w:val="single" w:sz="4" w:space="0" w:color="000000"/>
              <w:right w:val="single" w:sz="4" w:space="0" w:color="000000"/>
            </w:tcBorders>
            <w:vAlign w:val="center"/>
          </w:tcPr>
          <w:p w:rsidR="00B75479" w:rsidRPr="008B53A9" w:rsidRDefault="00B75479" w:rsidP="00D33A09">
            <w:pPr>
              <w:pStyle w:val="Tabulka"/>
              <w:rPr>
                <w:rFonts w:cs="Calibri"/>
                <w:lang w:val="cs-CZ" w:eastAsia="cs-CZ"/>
              </w:rPr>
            </w:pPr>
            <w:r w:rsidRPr="008B53A9">
              <w:rPr>
                <w:rFonts w:cs="Calibri"/>
                <w:lang w:val="cs-CZ" w:eastAsia="cs-CZ"/>
              </w:rPr>
              <w:t>Ž/P</w:t>
            </w:r>
          </w:p>
        </w:tc>
        <w:tc>
          <w:tcPr>
            <w:tcW w:w="0" w:type="auto"/>
            <w:tcBorders>
              <w:top w:val="single" w:sz="4" w:space="0" w:color="000000"/>
              <w:left w:val="single" w:sz="4" w:space="0" w:color="000000"/>
              <w:bottom w:val="single" w:sz="4" w:space="0" w:color="000000"/>
              <w:right w:val="single" w:sz="4" w:space="0" w:color="000000"/>
            </w:tcBorders>
            <w:vAlign w:val="center"/>
          </w:tcPr>
          <w:p w:rsidR="00B75479" w:rsidRPr="008B53A9" w:rsidRDefault="00B75479" w:rsidP="008F41A1">
            <w:pPr>
              <w:pStyle w:val="Tabulka"/>
              <w:rPr>
                <w:rFonts w:cs="Calibri"/>
                <w:lang w:val="cs-CZ" w:eastAsia="cs-CZ"/>
              </w:rPr>
            </w:pPr>
            <w:r w:rsidRPr="008B53A9">
              <w:rPr>
                <w:rFonts w:cs="Calibri"/>
                <w:lang w:val="cs-CZ" w:eastAsia="cs-CZ"/>
              </w:rPr>
              <w:t>průběžně</w:t>
            </w:r>
          </w:p>
        </w:tc>
      </w:tr>
    </w:tbl>
    <w:p w:rsidR="00B53995" w:rsidRPr="008B53A9" w:rsidRDefault="00B53995" w:rsidP="005F43DF">
      <w:pPr>
        <w:pStyle w:val="kapitola2A0"/>
        <w:numPr>
          <w:ilvl w:val="2"/>
          <w:numId w:val="75"/>
        </w:numPr>
      </w:pPr>
      <w:bookmarkStart w:id="94" w:name="_Toc391539657"/>
      <w:r w:rsidRPr="008B53A9">
        <w:lastRenderedPageBreak/>
        <w:t>INVESTIČNÍ PRIORITA 2 prioritní osy 4: Vyvíjení produktů a služeb v oblasti IKT, elektronický obchod a zvyšování poptávky po IKT</w:t>
      </w:r>
      <w:bookmarkEnd w:id="94"/>
    </w:p>
    <w:p w:rsidR="002E1C78" w:rsidRPr="008B53A9" w:rsidRDefault="008C7D72" w:rsidP="005F43DF">
      <w:pPr>
        <w:pStyle w:val="kapitola2A0"/>
        <w:numPr>
          <w:ilvl w:val="2"/>
          <w:numId w:val="75"/>
        </w:numPr>
      </w:pPr>
      <w:bookmarkStart w:id="95" w:name="_Toc391539658"/>
      <w:r w:rsidRPr="008B53A9">
        <w:t>Specifické cíle odpovídající investiční prioritě a očekávané výsledky</w:t>
      </w:r>
      <w:bookmarkEnd w:id="95"/>
    </w:p>
    <w:p w:rsidR="00BA3276" w:rsidRPr="008B53A9" w:rsidRDefault="002E1C78" w:rsidP="00BA3276">
      <w:pPr>
        <w:pStyle w:val="Modrnadpis"/>
      </w:pPr>
      <w:r w:rsidRPr="008B53A9">
        <w:t xml:space="preserve">SPECIFICKÝ CÍL </w:t>
      </w:r>
      <w:r w:rsidR="006F258E" w:rsidRPr="008B53A9">
        <w:t>4.</w:t>
      </w:r>
      <w:r w:rsidRPr="008B53A9">
        <w:t xml:space="preserve">2: </w:t>
      </w:r>
      <w:r w:rsidR="00CE3F25" w:rsidRPr="008B53A9">
        <w:t>Zvýšit využití potenciálu ICT sektoru pro konkurenceschopnost ekonomiky</w:t>
      </w:r>
    </w:p>
    <w:p w:rsidR="00396DB9" w:rsidRPr="008B53A9" w:rsidRDefault="00396DB9" w:rsidP="00116A3E">
      <w:pPr>
        <w:pStyle w:val="Standardntext"/>
      </w:pPr>
      <w:r w:rsidRPr="008B53A9">
        <w:t>Sofistikované produkty v oblasti ICT a související služby jsou prvky základního významu, které horizontálně prostupují všechny obory lidské činnosti</w:t>
      </w:r>
      <w:r w:rsidR="00320CEA" w:rsidRPr="008B53A9">
        <w:t>,</w:t>
      </w:r>
      <w:r w:rsidRPr="008B53A9">
        <w:t xml:space="preserve"> a bez nich</w:t>
      </w:r>
      <w:r w:rsidR="00320CEA" w:rsidRPr="008B53A9">
        <w:t>ž</w:t>
      </w:r>
      <w:r w:rsidRPr="008B53A9">
        <w:t xml:space="preserve"> nelze efektivně realizovat podnikatelské záměry</w:t>
      </w:r>
      <w:r w:rsidR="00320CEA" w:rsidRPr="008B53A9">
        <w:t>,</w:t>
      </w:r>
      <w:r w:rsidRPr="008B53A9">
        <w:t xml:space="preserve"> ani zvyšovat kvalitu života společnosti. Český I</w:t>
      </w:r>
      <w:r w:rsidR="00320CEA" w:rsidRPr="008B53A9">
        <w:t>C</w:t>
      </w:r>
      <w:r w:rsidRPr="008B53A9">
        <w:t xml:space="preserve">T sektor má velký, dosud ne zcela využitý potenciál, který bude za pomoci tohoto specifického cíle přeměněn ve hmatatelné výsledky. Hlavním cílem je růst konkurenceschopnosti založený na vyvíjení a využívání vysoce inovativních </w:t>
      </w:r>
      <w:r w:rsidR="00320CEA" w:rsidRPr="008B53A9">
        <w:t>ICT</w:t>
      </w:r>
      <w:r w:rsidRPr="008B53A9">
        <w:t>.</w:t>
      </w:r>
    </w:p>
    <w:p w:rsidR="003F4488" w:rsidRPr="008B53A9" w:rsidRDefault="003508A9" w:rsidP="00396141">
      <w:pPr>
        <w:pStyle w:val="Modrnadpis"/>
      </w:pPr>
      <w:r w:rsidRPr="008B53A9">
        <w:t>Výsledky, kterých chce ČR dosáhnout s podporou Unie</w:t>
      </w:r>
    </w:p>
    <w:p w:rsidR="0025663C" w:rsidRPr="008B53A9" w:rsidRDefault="0006102D" w:rsidP="005F43DF">
      <w:pPr>
        <w:pStyle w:val="Standardntext"/>
        <w:numPr>
          <w:ilvl w:val="0"/>
          <w:numId w:val="38"/>
        </w:numPr>
      </w:pPr>
      <w:r w:rsidRPr="008B53A9">
        <w:t>Rozšíření a zvýšení a nabídky nových informačních systémů, ICT řešení a vysoce sofistikovaných ICT nástrojů, cloudových řešení a služeb a nových softwarových produktů a služeb, moderních a pokrokových digitálních služeb a aplikací např. v oblasti komunikace, zábavy, obchodování, vzdělávání, zdravotnictví nebo přístupu k zaměstnání.</w:t>
      </w:r>
      <w:r w:rsidR="0025663C" w:rsidRPr="008B53A9">
        <w:t xml:space="preserve"> Očekávanou změnou je zvýšení nabídky ICT řešení, sdílených služeb a služeb datových center</w:t>
      </w:r>
      <w:r w:rsidR="00002278" w:rsidRPr="008B53A9">
        <w:t xml:space="preserve">. Podpora </w:t>
      </w:r>
      <w:r w:rsidR="00936B63" w:rsidRPr="008B53A9">
        <w:t xml:space="preserve">je </w:t>
      </w:r>
      <w:r w:rsidR="00002278" w:rsidRPr="008B53A9">
        <w:t xml:space="preserve">tedy </w:t>
      </w:r>
      <w:r w:rsidR="00936B63" w:rsidRPr="008B53A9">
        <w:t>orientována</w:t>
      </w:r>
      <w:r w:rsidR="00002278" w:rsidRPr="008B53A9">
        <w:t xml:space="preserve"> na nabídkovou stranu</w:t>
      </w:r>
      <w:r w:rsidR="00936B63" w:rsidRPr="008B53A9">
        <w:t xml:space="preserve"> tzn. na ICT firmy, které vytvářejí vlastní ICT řešení. Smyslem tohoto </w:t>
      </w:r>
      <w:r w:rsidR="0023153A" w:rsidRPr="008B53A9">
        <w:t>specifického cíle</w:t>
      </w:r>
      <w:r w:rsidR="00936B63" w:rsidRPr="008B53A9">
        <w:t xml:space="preserve"> není prosté vybavení podniků hardwarem či softwarem.</w:t>
      </w:r>
      <w:r w:rsidR="00002278" w:rsidRPr="008B53A9">
        <w:t xml:space="preserve"> Zákazníci, tj. podnikatelské subjekty a obyvatelé využívající IT, budou tato řešení a služby poptávat, což v konečném důsledku povede ke snížení jejich nákladů a zvýšení konkurenceschopnosti.</w:t>
      </w:r>
    </w:p>
    <w:p w:rsidR="00396141" w:rsidRPr="008B53A9" w:rsidRDefault="00396141" w:rsidP="005F43DF">
      <w:pPr>
        <w:pStyle w:val="Standardntext"/>
        <w:numPr>
          <w:ilvl w:val="0"/>
          <w:numId w:val="38"/>
        </w:numPr>
      </w:pPr>
      <w:r w:rsidRPr="008B53A9">
        <w:t xml:space="preserve">Lepší uplatnění produktů českých IT </w:t>
      </w:r>
      <w:r w:rsidR="00594BD9" w:rsidRPr="008B53A9">
        <w:t>podniků</w:t>
      </w:r>
      <w:r w:rsidRPr="008B53A9">
        <w:t xml:space="preserve"> na globálním trhu. Specifický cíl pomůže českým </w:t>
      </w:r>
      <w:r w:rsidR="00594BD9" w:rsidRPr="008B53A9">
        <w:t>podnikům</w:t>
      </w:r>
      <w:r w:rsidRPr="008B53A9">
        <w:t xml:space="preserve"> dostat se do povědomí zahraničních zákazníků jako dodavatelé kvalitních ICT řešení.</w:t>
      </w:r>
    </w:p>
    <w:p w:rsidR="00396141" w:rsidRPr="008B53A9" w:rsidRDefault="001F7140" w:rsidP="005F43DF">
      <w:pPr>
        <w:pStyle w:val="Standardntext"/>
        <w:numPr>
          <w:ilvl w:val="0"/>
          <w:numId w:val="38"/>
        </w:numPr>
      </w:pPr>
      <w:r w:rsidRPr="008B53A9">
        <w:t>Vývojem nových ICT řešení dojde sekundárně k r</w:t>
      </w:r>
      <w:r w:rsidR="00396141" w:rsidRPr="008B53A9">
        <w:t>ozvoj</w:t>
      </w:r>
      <w:r w:rsidRPr="008B53A9">
        <w:t>i</w:t>
      </w:r>
      <w:r w:rsidR="00396141" w:rsidRPr="008B53A9">
        <w:t xml:space="preserve"> znalostí a dovedností IT odborníků</w:t>
      </w:r>
      <w:r w:rsidRPr="008B53A9">
        <w:t>, kteří tak budou schopni pružně reagovat na velmi dynamicky se vyvíjející trendy v tomto odvětví</w:t>
      </w:r>
      <w:r w:rsidR="00396141" w:rsidRPr="008B53A9">
        <w:t>.</w:t>
      </w:r>
      <w:r w:rsidR="00F719E9" w:rsidRPr="008B53A9">
        <w:t xml:space="preserve"> Obecně potom </w:t>
      </w:r>
      <w:r w:rsidRPr="008B53A9">
        <w:t xml:space="preserve">dojde k </w:t>
      </w:r>
      <w:r w:rsidR="00396DB9" w:rsidRPr="008B53A9">
        <w:t>rozvoj</w:t>
      </w:r>
      <w:r w:rsidRPr="008B53A9">
        <w:t>i</w:t>
      </w:r>
      <w:r w:rsidR="00396DB9" w:rsidRPr="008B53A9">
        <w:t xml:space="preserve"> lidských zdrojů, zejména </w:t>
      </w:r>
      <w:r w:rsidRPr="008B53A9">
        <w:t>s ohledem na jejich mobilitu, což přispěje ke</w:t>
      </w:r>
      <w:r w:rsidR="00F719E9" w:rsidRPr="008B53A9">
        <w:t xml:space="preserve"> tvorb</w:t>
      </w:r>
      <w:r w:rsidRPr="008B53A9">
        <w:t>ě</w:t>
      </w:r>
      <w:r w:rsidR="00F719E9" w:rsidRPr="008B53A9">
        <w:t xml:space="preserve"> vysoce kvalifikovaných pracovních míst v sektoru služeb.</w:t>
      </w:r>
    </w:p>
    <w:p w:rsidR="00F719E9" w:rsidRPr="008B53A9" w:rsidRDefault="00F95834" w:rsidP="005F43DF">
      <w:pPr>
        <w:pStyle w:val="Standardntext"/>
        <w:numPr>
          <w:ilvl w:val="0"/>
          <w:numId w:val="38"/>
        </w:numPr>
      </w:pPr>
      <w:r w:rsidRPr="008B53A9">
        <w:lastRenderedPageBreak/>
        <w:t>Prostřednictvím sdílených služeb přispět</w:t>
      </w:r>
      <w:r w:rsidR="00F719E9" w:rsidRPr="008B53A9">
        <w:t xml:space="preserve"> ke snižování </w:t>
      </w:r>
      <w:r w:rsidR="00396DB9" w:rsidRPr="008B53A9">
        <w:t xml:space="preserve">investičních nákladů a </w:t>
      </w:r>
      <w:r w:rsidR="00F719E9" w:rsidRPr="008B53A9">
        <w:t>nákladovosti procesů a zvyšování efektivity činností v podnicích, a tím ke zvyšování jejich konkurenceschopnosti.</w:t>
      </w:r>
      <w:r w:rsidR="00396DB9" w:rsidRPr="008B53A9">
        <w:t xml:space="preserve"> Dojde k úsporám z rozsahu, kdy sdílené služby mohou být nabízeny a poskytovány více uživatelům současně.</w:t>
      </w:r>
    </w:p>
    <w:p w:rsidR="00396141" w:rsidRPr="008B53A9" w:rsidRDefault="00396141" w:rsidP="005F43DF">
      <w:pPr>
        <w:pStyle w:val="Standardntext"/>
        <w:numPr>
          <w:ilvl w:val="0"/>
          <w:numId w:val="38"/>
        </w:numPr>
      </w:pPr>
      <w:r w:rsidRPr="008B53A9">
        <w:t xml:space="preserve">V oblasti sdílených služeb specifický cíl </w:t>
      </w:r>
      <w:r w:rsidR="00F719E9" w:rsidRPr="008B53A9">
        <w:t xml:space="preserve">rovněž </w:t>
      </w:r>
      <w:r w:rsidRPr="008B53A9">
        <w:t>přispěje k potvrzení pozice Č</w:t>
      </w:r>
      <w:r w:rsidR="0023153A" w:rsidRPr="008B53A9">
        <w:t>R</w:t>
      </w:r>
      <w:r w:rsidRPr="008B53A9">
        <w:t xml:space="preserve"> jako ideální lokace pro umístění velkých center sdílených služeb a budování datových center.</w:t>
      </w:r>
    </w:p>
    <w:p w:rsidR="00116A3E" w:rsidRPr="008B53A9" w:rsidRDefault="00116A3E" w:rsidP="005F43DF">
      <w:pPr>
        <w:pStyle w:val="Standardntext"/>
        <w:numPr>
          <w:ilvl w:val="0"/>
          <w:numId w:val="38"/>
        </w:numPr>
      </w:pPr>
      <w:r w:rsidRPr="008B53A9">
        <w:t>Rozvoj informační a znalostní společnosti.</w:t>
      </w:r>
    </w:p>
    <w:p w:rsidR="002E1C78" w:rsidRPr="008B53A9" w:rsidRDefault="002E1C78" w:rsidP="00B22DB8">
      <w:pPr>
        <w:pStyle w:val="Titulek"/>
        <w:keepNext/>
        <w:keepLines/>
        <w:rPr>
          <w:rFonts w:cs="Calibri"/>
        </w:rPr>
      </w:pPr>
      <w:r w:rsidRPr="008B53A9">
        <w:rPr>
          <w:rFonts w:cs="Calibri"/>
        </w:rPr>
        <w:t xml:space="preserve">Tabulka </w:t>
      </w:r>
      <w:r w:rsidRPr="008B53A9">
        <w:rPr>
          <w:rFonts w:cs="Calibri"/>
        </w:rPr>
        <w:fldChar w:fldCharType="begin"/>
      </w:r>
      <w:r w:rsidRPr="008B53A9">
        <w:rPr>
          <w:rFonts w:cs="Calibri"/>
        </w:rPr>
        <w:instrText xml:space="preserve"> SEQ Tabulka \* ARABIC \r3 </w:instrText>
      </w:r>
      <w:r w:rsidRPr="008B53A9">
        <w:rPr>
          <w:rFonts w:cs="Calibri"/>
        </w:rPr>
        <w:fldChar w:fldCharType="separate"/>
      </w:r>
      <w:r w:rsidR="00E54216" w:rsidRPr="008B53A9">
        <w:rPr>
          <w:rFonts w:cs="Calibri"/>
          <w:noProof/>
        </w:rPr>
        <w:t>3</w:t>
      </w:r>
      <w:r w:rsidRPr="008B53A9">
        <w:rPr>
          <w:rFonts w:cs="Calibri"/>
        </w:rPr>
        <w:fldChar w:fldCharType="end"/>
      </w:r>
      <w:r w:rsidRPr="008B53A9">
        <w:rPr>
          <w:rFonts w:cs="Calibri"/>
        </w:rPr>
        <w:t xml:space="preserve">: </w:t>
      </w:r>
      <w:r w:rsidR="00CF739D" w:rsidRPr="008B53A9">
        <w:rPr>
          <w:rFonts w:cs="Calibri"/>
        </w:rPr>
        <w:t>Ukazatele výsledků specifické pro jednotlivé programy, podle specifického cíle (pro EFRR a Fond soudržnosti)</w:t>
      </w:r>
    </w:p>
    <w:tbl>
      <w:tblPr>
        <w:tblW w:w="0" w:type="auto"/>
        <w:tblCellMar>
          <w:left w:w="57" w:type="dxa"/>
          <w:right w:w="57" w:type="dxa"/>
        </w:tblCellMar>
        <w:tblLook w:val="01E0" w:firstRow="1" w:lastRow="1" w:firstColumn="1" w:lastColumn="1" w:noHBand="0" w:noVBand="0"/>
      </w:tblPr>
      <w:tblGrid>
        <w:gridCol w:w="664"/>
        <w:gridCol w:w="1256"/>
        <w:gridCol w:w="993"/>
        <w:gridCol w:w="1194"/>
        <w:gridCol w:w="1009"/>
        <w:gridCol w:w="931"/>
        <w:gridCol w:w="1084"/>
        <w:gridCol w:w="1004"/>
        <w:gridCol w:w="1191"/>
      </w:tblGrid>
      <w:tr w:rsidR="00CF739D" w:rsidRPr="008B53A9">
        <w:trPr>
          <w:trHeight w:hRule="exact" w:val="1483"/>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B22DB8">
            <w:pPr>
              <w:pStyle w:val="Tabulka"/>
              <w:keepNext/>
              <w:keepLines/>
              <w:rPr>
                <w:rFonts w:cs="Calibri"/>
                <w:b/>
                <w:bCs/>
                <w:lang w:val="cs-CZ" w:eastAsia="cs-CZ"/>
              </w:rPr>
            </w:pPr>
            <w:r w:rsidRPr="008B53A9">
              <w:rPr>
                <w:rFonts w:cs="Calibri"/>
                <w:b/>
                <w:bCs/>
                <w:lang w:val="cs-CZ" w:eastAsia="cs-CZ"/>
              </w:rPr>
              <w:t>ID</w:t>
            </w:r>
          </w:p>
        </w:tc>
        <w:tc>
          <w:tcPr>
            <w:tcW w:w="125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B22DB8">
            <w:pPr>
              <w:pStyle w:val="Tabulka"/>
              <w:keepNext/>
              <w:keepLines/>
              <w:rPr>
                <w:rFonts w:cs="Calibri"/>
                <w:b/>
                <w:bCs/>
                <w:lang w:val="cs-CZ" w:eastAsia="cs-CZ"/>
              </w:rPr>
            </w:pPr>
            <w:r w:rsidRPr="008B53A9">
              <w:rPr>
                <w:rFonts w:cs="Calibri"/>
                <w:b/>
                <w:bCs/>
                <w:lang w:val="cs-CZ" w:eastAsia="cs-CZ"/>
              </w:rPr>
              <w:t>Ukazatel</w:t>
            </w:r>
          </w:p>
        </w:tc>
        <w:tc>
          <w:tcPr>
            <w:tcW w:w="99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B22DB8">
            <w:pPr>
              <w:pStyle w:val="Tabulka"/>
              <w:keepNext/>
              <w:keepLines/>
              <w:rPr>
                <w:rFonts w:cs="Calibri"/>
                <w:b/>
                <w:bCs/>
                <w:lang w:val="cs-CZ" w:eastAsia="cs-CZ"/>
              </w:rPr>
            </w:pPr>
            <w:r w:rsidRPr="008B53A9">
              <w:rPr>
                <w:rFonts w:cs="Calibri"/>
                <w:b/>
                <w:bCs/>
                <w:lang w:val="cs-CZ" w:eastAsia="cs-CZ"/>
              </w:rPr>
              <w:t>Měrná</w:t>
            </w:r>
          </w:p>
          <w:p w:rsidR="00CF739D" w:rsidRPr="008B53A9" w:rsidRDefault="00CF739D" w:rsidP="00B22DB8">
            <w:pPr>
              <w:pStyle w:val="Tabulka"/>
              <w:keepNext/>
              <w:keepLines/>
              <w:rPr>
                <w:rFonts w:cs="Calibri"/>
                <w:b/>
                <w:bCs/>
                <w:lang w:val="cs-CZ" w:eastAsia="cs-CZ"/>
              </w:rPr>
            </w:pPr>
            <w:r w:rsidRPr="008B53A9">
              <w:rPr>
                <w:rFonts w:cs="Calibri"/>
                <w:b/>
                <w:bCs/>
                <w:lang w:val="cs-CZ" w:eastAsia="cs-CZ"/>
              </w:rPr>
              <w:t>jednotka</w:t>
            </w:r>
          </w:p>
        </w:tc>
        <w:tc>
          <w:tcPr>
            <w:tcW w:w="119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B22DB8">
            <w:pPr>
              <w:pStyle w:val="Tabulka"/>
              <w:keepNext/>
              <w:keepLines/>
              <w:rPr>
                <w:rFonts w:cs="Calibri"/>
                <w:b/>
                <w:bCs/>
                <w:lang w:val="cs-CZ" w:eastAsia="cs-CZ"/>
              </w:rPr>
            </w:pPr>
            <w:r w:rsidRPr="008B53A9">
              <w:rPr>
                <w:rFonts w:cs="Calibri"/>
                <w:b/>
                <w:bCs/>
                <w:lang w:val="cs-CZ" w:eastAsia="cs-CZ"/>
              </w:rPr>
              <w:t>Kategorie regionů (je-li relevantní)</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B22DB8">
            <w:pPr>
              <w:pStyle w:val="Tabulka"/>
              <w:keepNext/>
              <w:keepLines/>
              <w:rPr>
                <w:rFonts w:cs="Calibri"/>
                <w:b/>
                <w:bCs/>
                <w:lang w:val="cs-CZ" w:eastAsia="cs-CZ"/>
              </w:rPr>
            </w:pPr>
            <w:r w:rsidRPr="008B53A9">
              <w:rPr>
                <w:rFonts w:cs="Calibri"/>
                <w:b/>
                <w:bCs/>
                <w:lang w:val="cs-CZ" w:eastAsia="cs-CZ"/>
              </w:rPr>
              <w:t>Výchozí hodnota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4B0854" w:rsidP="004B0854">
            <w:pPr>
              <w:pStyle w:val="Tabulka"/>
              <w:keepNext/>
              <w:keepLines/>
              <w:rPr>
                <w:rFonts w:cs="Calibri"/>
                <w:b/>
                <w:bCs/>
                <w:lang w:val="cs-CZ" w:eastAsia="cs-CZ"/>
              </w:rPr>
            </w:pPr>
            <w:r w:rsidRPr="008B53A9">
              <w:rPr>
                <w:rFonts w:cs="Calibri"/>
                <w:b/>
                <w:bCs/>
                <w:lang w:val="cs-CZ" w:eastAsia="cs-CZ"/>
              </w:rPr>
              <w:t xml:space="preserve">Výchozí </w:t>
            </w:r>
            <w:r w:rsidR="00CF739D" w:rsidRPr="008B53A9">
              <w:rPr>
                <w:rFonts w:cs="Calibri"/>
                <w:b/>
                <w:bCs/>
                <w:lang w:val="cs-CZ" w:eastAsia="cs-CZ"/>
              </w:rPr>
              <w:t>rok</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B22DB8">
            <w:pPr>
              <w:pStyle w:val="Tabulka"/>
              <w:keepNext/>
              <w:keepLines/>
              <w:rPr>
                <w:rFonts w:cs="Calibri"/>
                <w:b/>
                <w:bCs/>
                <w:lang w:val="cs-CZ" w:eastAsia="cs-CZ"/>
              </w:rPr>
            </w:pPr>
            <w:r w:rsidRPr="008B53A9">
              <w:rPr>
                <w:rFonts w:cs="Calibri"/>
                <w:b/>
                <w:bCs/>
                <w:lang w:val="cs-CZ" w:eastAsia="cs-CZ"/>
              </w:rPr>
              <w:t>Cílová hodnota (2023)</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B22DB8">
            <w:pPr>
              <w:pStyle w:val="Tabulka"/>
              <w:keepNext/>
              <w:keepLines/>
              <w:rPr>
                <w:rFonts w:cs="Calibri"/>
                <w:b/>
                <w:bCs/>
                <w:lang w:val="cs-CZ" w:eastAsia="cs-CZ"/>
              </w:rPr>
            </w:pPr>
            <w:r w:rsidRPr="008B53A9">
              <w:rPr>
                <w:rFonts w:cs="Calibri"/>
                <w:b/>
                <w:bCs/>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CF739D" w:rsidRPr="008B53A9" w:rsidRDefault="00CF739D" w:rsidP="00B22DB8">
            <w:pPr>
              <w:pStyle w:val="Tabulka"/>
              <w:keepNext/>
              <w:keepLines/>
              <w:rPr>
                <w:rFonts w:cs="Calibri"/>
                <w:b/>
                <w:bCs/>
                <w:lang w:val="cs-CZ" w:eastAsia="cs-CZ"/>
              </w:rPr>
            </w:pPr>
            <w:r w:rsidRPr="008B53A9">
              <w:rPr>
                <w:rFonts w:cs="Calibri"/>
                <w:b/>
                <w:bCs/>
                <w:lang w:val="cs-CZ" w:eastAsia="cs-CZ"/>
              </w:rPr>
              <w:t>Četnost podávání zpráv</w:t>
            </w:r>
          </w:p>
        </w:tc>
      </w:tr>
      <w:tr w:rsidR="002E1C78" w:rsidRPr="008B53A9">
        <w:trPr>
          <w:trHeight w:hRule="exact" w:val="1830"/>
        </w:trPr>
        <w:tc>
          <w:tcPr>
            <w:tcW w:w="0" w:type="auto"/>
            <w:tcBorders>
              <w:top w:val="single" w:sz="4" w:space="0" w:color="000000"/>
              <w:left w:val="single" w:sz="4" w:space="0" w:color="000000"/>
              <w:bottom w:val="single" w:sz="4" w:space="0" w:color="000000"/>
              <w:right w:val="single" w:sz="4" w:space="0" w:color="000000"/>
            </w:tcBorders>
            <w:vAlign w:val="center"/>
          </w:tcPr>
          <w:p w:rsidR="002E1C78" w:rsidRPr="008B53A9" w:rsidRDefault="00FA2A8A" w:rsidP="006F258E">
            <w:pPr>
              <w:pStyle w:val="Tabulka"/>
              <w:keepLines/>
              <w:rPr>
                <w:rFonts w:cs="Calibri"/>
                <w:lang w:val="cs-CZ" w:eastAsia="cs-CZ"/>
              </w:rPr>
            </w:pPr>
            <w:r w:rsidRPr="008B53A9">
              <w:rPr>
                <w:rFonts w:cs="Calibri"/>
                <w:lang w:val="cs-CZ" w:eastAsia="cs-CZ"/>
              </w:rPr>
              <w:t>30002</w:t>
            </w:r>
          </w:p>
        </w:tc>
        <w:tc>
          <w:tcPr>
            <w:tcW w:w="1257" w:type="dxa"/>
            <w:tcBorders>
              <w:top w:val="single" w:sz="4" w:space="0" w:color="000000"/>
              <w:left w:val="single" w:sz="4" w:space="0" w:color="000000"/>
              <w:bottom w:val="single" w:sz="4" w:space="0" w:color="000000"/>
              <w:right w:val="single" w:sz="4" w:space="0" w:color="000000"/>
            </w:tcBorders>
            <w:vAlign w:val="center"/>
          </w:tcPr>
          <w:p w:rsidR="002E1C78" w:rsidRPr="008B53A9" w:rsidRDefault="001B36DC" w:rsidP="006F258E">
            <w:pPr>
              <w:pStyle w:val="Tabulka"/>
              <w:keepLines/>
              <w:jc w:val="left"/>
              <w:rPr>
                <w:rFonts w:cs="Calibri"/>
                <w:lang w:val="cs-CZ" w:eastAsia="cs-CZ"/>
              </w:rPr>
            </w:pPr>
            <w:r w:rsidRPr="008B53A9">
              <w:rPr>
                <w:rFonts w:cs="Calibri"/>
                <w:lang w:val="cs-CZ" w:eastAsia="cs-CZ"/>
              </w:rPr>
              <w:t>Přidaná hodnota IT služeb jako podíl na HDP</w:t>
            </w:r>
          </w:p>
        </w:tc>
        <w:tc>
          <w:tcPr>
            <w:tcW w:w="993" w:type="dxa"/>
            <w:tcBorders>
              <w:top w:val="single" w:sz="4" w:space="0" w:color="000000"/>
              <w:left w:val="single" w:sz="4" w:space="0" w:color="000000"/>
              <w:bottom w:val="single" w:sz="4" w:space="0" w:color="000000"/>
              <w:right w:val="single" w:sz="4" w:space="0" w:color="000000"/>
            </w:tcBorders>
            <w:vAlign w:val="center"/>
          </w:tcPr>
          <w:p w:rsidR="002E1C78" w:rsidRPr="008B53A9" w:rsidRDefault="001B36DC" w:rsidP="006F258E">
            <w:pPr>
              <w:pStyle w:val="Tabulka"/>
              <w:keepLines/>
              <w:rPr>
                <w:rFonts w:cs="Calibri"/>
                <w:vertAlign w:val="superscript"/>
                <w:lang w:val="cs-CZ" w:eastAsia="cs-CZ"/>
              </w:rPr>
            </w:pPr>
            <w:r w:rsidRPr="008B53A9">
              <w:rPr>
                <w:rFonts w:cs="Calibri"/>
                <w:vertAlign w:val="superscript"/>
                <w:lang w:val="cs-CZ" w:eastAsia="cs-CZ"/>
              </w:rPr>
              <w:t>%</w:t>
            </w:r>
          </w:p>
        </w:tc>
        <w:tc>
          <w:tcPr>
            <w:tcW w:w="1194" w:type="dxa"/>
            <w:tcBorders>
              <w:top w:val="single" w:sz="4" w:space="0" w:color="000000"/>
              <w:left w:val="single" w:sz="4" w:space="0" w:color="000000"/>
              <w:bottom w:val="single" w:sz="4" w:space="0" w:color="000000"/>
              <w:right w:val="single" w:sz="4" w:space="0" w:color="000000"/>
            </w:tcBorders>
            <w:vAlign w:val="center"/>
          </w:tcPr>
          <w:p w:rsidR="002E1C78" w:rsidRPr="008B53A9" w:rsidRDefault="002B3F69" w:rsidP="006F258E">
            <w:pPr>
              <w:pStyle w:val="Tabulka"/>
              <w:keepLines/>
              <w:rPr>
                <w:rFonts w:cs="Calibri"/>
                <w:lang w:val="cs-CZ" w:eastAsia="cs-CZ"/>
              </w:rPr>
            </w:pPr>
            <w:r w:rsidRPr="008B53A9">
              <w:rPr>
                <w:rFonts w:cs="Calibri"/>
                <w:lang w:val="cs-CZ" w:eastAsia="cs-CZ"/>
              </w:rPr>
              <w:t>Méně rozvinuté regiony</w:t>
            </w:r>
          </w:p>
        </w:tc>
        <w:tc>
          <w:tcPr>
            <w:tcW w:w="0" w:type="auto"/>
            <w:tcBorders>
              <w:top w:val="single" w:sz="4" w:space="0" w:color="000000"/>
              <w:left w:val="single" w:sz="4" w:space="0" w:color="000000"/>
              <w:bottom w:val="single" w:sz="4" w:space="0" w:color="000000"/>
              <w:right w:val="single" w:sz="4" w:space="0" w:color="000000"/>
            </w:tcBorders>
            <w:vAlign w:val="center"/>
          </w:tcPr>
          <w:p w:rsidR="002E1C78" w:rsidRPr="008B53A9" w:rsidRDefault="001B36DC" w:rsidP="006F258E">
            <w:pPr>
              <w:pStyle w:val="Tabulka"/>
              <w:keepLines/>
              <w:rPr>
                <w:rFonts w:cs="Calibri"/>
                <w:lang w:val="cs-CZ" w:eastAsia="cs-CZ"/>
              </w:rPr>
            </w:pPr>
            <w:r w:rsidRPr="008B53A9">
              <w:rPr>
                <w:rFonts w:cs="Calibri"/>
                <w:lang w:val="cs-CZ" w:eastAsia="cs-CZ"/>
              </w:rPr>
              <w:t>2,09</w:t>
            </w:r>
          </w:p>
        </w:tc>
        <w:tc>
          <w:tcPr>
            <w:tcW w:w="0" w:type="auto"/>
            <w:tcBorders>
              <w:top w:val="single" w:sz="4" w:space="0" w:color="000000"/>
              <w:left w:val="single" w:sz="4" w:space="0" w:color="000000"/>
              <w:bottom w:val="single" w:sz="4" w:space="0" w:color="000000"/>
              <w:right w:val="single" w:sz="4" w:space="0" w:color="000000"/>
            </w:tcBorders>
            <w:vAlign w:val="center"/>
          </w:tcPr>
          <w:p w:rsidR="002E1C78" w:rsidRPr="008B53A9" w:rsidRDefault="001B36DC" w:rsidP="006F258E">
            <w:pPr>
              <w:pStyle w:val="Tabulka"/>
              <w:keepLines/>
              <w:rPr>
                <w:rFonts w:cs="Calibri"/>
                <w:lang w:val="cs-CZ" w:eastAsia="cs-CZ"/>
              </w:rPr>
            </w:pPr>
            <w:r w:rsidRPr="008B53A9">
              <w:rPr>
                <w:rFonts w:cs="Calibri"/>
                <w:lang w:val="cs-CZ" w:eastAsia="cs-CZ"/>
              </w:rPr>
              <w:t>2012</w:t>
            </w:r>
          </w:p>
        </w:tc>
        <w:tc>
          <w:tcPr>
            <w:tcW w:w="0" w:type="auto"/>
            <w:tcBorders>
              <w:top w:val="single" w:sz="4" w:space="0" w:color="000000"/>
              <w:left w:val="single" w:sz="4" w:space="0" w:color="000000"/>
              <w:bottom w:val="single" w:sz="4" w:space="0" w:color="000000"/>
              <w:right w:val="single" w:sz="4" w:space="0" w:color="000000"/>
            </w:tcBorders>
            <w:vAlign w:val="center"/>
          </w:tcPr>
          <w:p w:rsidR="002E1C78" w:rsidRPr="008B53A9" w:rsidRDefault="004E3102" w:rsidP="006F258E">
            <w:pPr>
              <w:pStyle w:val="Tabulka"/>
              <w:keepLines/>
              <w:rPr>
                <w:rFonts w:cs="Calibri"/>
                <w:lang w:val="cs-CZ" w:eastAsia="cs-CZ"/>
              </w:rPr>
            </w:pPr>
            <w:r w:rsidRPr="008B53A9">
              <w:rPr>
                <w:rFonts w:cs="Calibri"/>
                <w:lang w:val="cs-CZ" w:eastAsia="cs-CZ"/>
              </w:rPr>
              <w:t>2,3 – 2,5</w:t>
            </w:r>
          </w:p>
        </w:tc>
        <w:tc>
          <w:tcPr>
            <w:tcW w:w="0" w:type="auto"/>
            <w:tcBorders>
              <w:top w:val="single" w:sz="4" w:space="0" w:color="000000"/>
              <w:left w:val="single" w:sz="4" w:space="0" w:color="000000"/>
              <w:bottom w:val="single" w:sz="4" w:space="0" w:color="000000"/>
              <w:right w:val="single" w:sz="4" w:space="0" w:color="000000"/>
            </w:tcBorders>
            <w:vAlign w:val="center"/>
          </w:tcPr>
          <w:p w:rsidR="002E1C78" w:rsidRPr="008B53A9" w:rsidRDefault="001B36DC" w:rsidP="002B3F69">
            <w:pPr>
              <w:pStyle w:val="Tabulka"/>
              <w:keepLines/>
              <w:rPr>
                <w:rFonts w:cs="Calibri"/>
                <w:lang w:val="cs-CZ" w:eastAsia="cs-CZ"/>
              </w:rPr>
            </w:pPr>
            <w:r w:rsidRPr="008B53A9">
              <w:rPr>
                <w:rFonts w:cs="Calibri"/>
                <w:lang w:val="cs-CZ" w:eastAsia="cs-CZ"/>
              </w:rPr>
              <w:t>ŘO na základě dat ČSÚ</w:t>
            </w:r>
          </w:p>
        </w:tc>
        <w:tc>
          <w:tcPr>
            <w:tcW w:w="0" w:type="auto"/>
            <w:tcBorders>
              <w:top w:val="single" w:sz="4" w:space="0" w:color="000000"/>
              <w:left w:val="single" w:sz="4" w:space="0" w:color="000000"/>
              <w:bottom w:val="single" w:sz="4" w:space="0" w:color="000000"/>
              <w:right w:val="single" w:sz="4" w:space="0" w:color="000000"/>
            </w:tcBorders>
            <w:vAlign w:val="center"/>
          </w:tcPr>
          <w:p w:rsidR="002E1C78" w:rsidRPr="008B53A9" w:rsidRDefault="001B36DC" w:rsidP="006F258E">
            <w:pPr>
              <w:pStyle w:val="Tabulka"/>
              <w:keepLines/>
              <w:rPr>
                <w:rFonts w:cs="Calibri"/>
                <w:lang w:val="cs-CZ" w:eastAsia="cs-CZ"/>
              </w:rPr>
            </w:pPr>
            <w:r w:rsidRPr="008B53A9">
              <w:rPr>
                <w:rFonts w:cs="Calibri"/>
                <w:lang w:val="cs-CZ" w:eastAsia="cs-CZ"/>
              </w:rPr>
              <w:t>ročně</w:t>
            </w:r>
          </w:p>
        </w:tc>
      </w:tr>
    </w:tbl>
    <w:p w:rsidR="002E1C78" w:rsidRPr="008B53A9" w:rsidRDefault="001B2E5C" w:rsidP="005F43DF">
      <w:pPr>
        <w:pStyle w:val="kapitola2A0"/>
        <w:numPr>
          <w:ilvl w:val="2"/>
          <w:numId w:val="75"/>
        </w:numPr>
      </w:pPr>
      <w:bookmarkStart w:id="96" w:name="_Toc391539659"/>
      <w:r w:rsidRPr="008B53A9">
        <w:t>Opatření, jež má být podpořeno v rámci investiční priority</w:t>
      </w:r>
      <w:bookmarkEnd w:id="96"/>
    </w:p>
    <w:p w:rsidR="002E1C78" w:rsidRPr="008B53A9" w:rsidRDefault="00D479AF" w:rsidP="005F43DF">
      <w:pPr>
        <w:pStyle w:val="Nadpis5"/>
        <w:numPr>
          <w:ilvl w:val="4"/>
          <w:numId w:val="27"/>
        </w:numPr>
      </w:pPr>
      <w:r w:rsidRPr="008B53A9">
        <w:t>Popis typů a příkladů opatření, která mají být podporována, a jejich očekávaný přínos k plnění specifických cílů, případně včetně určení hlavních cílových skupin, konkrétních cílových území a druhů příjemců</w:t>
      </w:r>
    </w:p>
    <w:p w:rsidR="002E1C78" w:rsidRPr="008B53A9" w:rsidRDefault="00177462" w:rsidP="00DF4F92">
      <w:pPr>
        <w:pStyle w:val="Standardntext"/>
        <w:rPr>
          <w:b/>
        </w:rPr>
      </w:pPr>
      <w:r w:rsidRPr="008B53A9">
        <w:rPr>
          <w:b/>
        </w:rPr>
        <w:t>Indikativní výčet podporovaných aktivit:</w:t>
      </w:r>
    </w:p>
    <w:p w:rsidR="002E1C78" w:rsidRPr="008B53A9" w:rsidRDefault="001E5FB8" w:rsidP="005F43DF">
      <w:pPr>
        <w:pStyle w:val="Standardntext"/>
        <w:numPr>
          <w:ilvl w:val="0"/>
          <w:numId w:val="43"/>
        </w:numPr>
      </w:pPr>
      <w:r w:rsidRPr="008B53A9">
        <w:t>T</w:t>
      </w:r>
      <w:r w:rsidR="002E1C78" w:rsidRPr="008B53A9">
        <w:t>vorba nových</w:t>
      </w:r>
      <w:r w:rsidR="005644D4" w:rsidRPr="008B53A9">
        <w:t xml:space="preserve"> sofistikovaných</w:t>
      </w:r>
      <w:r w:rsidR="002E1C78" w:rsidRPr="008B53A9">
        <w:t xml:space="preserve"> ICT řešení,</w:t>
      </w:r>
      <w:r w:rsidR="0092409F" w:rsidRPr="008B53A9">
        <w:t xml:space="preserve"> tzn. tvorba moderních a pokrokových digitálních služeb a aplikací např. v oblasti komunikace, zábavy, obchodování, vzdělávání, </w:t>
      </w:r>
      <w:r w:rsidR="0023153A" w:rsidRPr="008B53A9">
        <w:t>zdravotnictví, přístupu k zaměstnání nebo i v oblasti kulturních a kreativních průmyslů</w:t>
      </w:r>
      <w:r w:rsidR="0092409F" w:rsidRPr="008B53A9">
        <w:t>,</w:t>
      </w:r>
    </w:p>
    <w:p w:rsidR="002E1C78" w:rsidRPr="008B53A9" w:rsidRDefault="002E1C78" w:rsidP="005F43DF">
      <w:pPr>
        <w:pStyle w:val="Standardntext"/>
        <w:numPr>
          <w:ilvl w:val="0"/>
          <w:numId w:val="43"/>
        </w:numPr>
      </w:pPr>
      <w:r w:rsidRPr="008B53A9">
        <w:t>poskytování sofistikovaných sdíle</w:t>
      </w:r>
      <w:r w:rsidR="00320CEA" w:rsidRPr="008B53A9">
        <w:t xml:space="preserve">ných služeb, včetně </w:t>
      </w:r>
      <w:r w:rsidRPr="008B53A9">
        <w:t>budování a modernizace Datových center splňujících kritéria energetické účinnosti.</w:t>
      </w:r>
    </w:p>
    <w:p w:rsidR="001648B3" w:rsidRPr="008B53A9" w:rsidRDefault="001648B3" w:rsidP="00FA0BCA">
      <w:pPr>
        <w:pStyle w:val="Standardntext"/>
        <w:rPr>
          <w:bCs/>
        </w:rPr>
      </w:pPr>
      <w:r w:rsidRPr="008B53A9">
        <w:rPr>
          <w:bCs/>
        </w:rPr>
        <w:t xml:space="preserve">Podporou těchto aktivit bude zachována kontinuita s programem podpory </w:t>
      </w:r>
      <w:r w:rsidR="00084401" w:rsidRPr="008B53A9">
        <w:rPr>
          <w:bCs/>
        </w:rPr>
        <w:t xml:space="preserve">OPPI </w:t>
      </w:r>
      <w:r w:rsidRPr="008B53A9">
        <w:rPr>
          <w:bCs/>
          <w:i/>
        </w:rPr>
        <w:t>ICT a strategické služby</w:t>
      </w:r>
      <w:r w:rsidRPr="008B53A9">
        <w:rPr>
          <w:bCs/>
        </w:rPr>
        <w:t xml:space="preserve"> realizovaném v programovacím období 2007</w:t>
      </w:r>
      <w:r w:rsidR="00EF4894" w:rsidRPr="008B53A9">
        <w:rPr>
          <w:bCs/>
        </w:rPr>
        <w:t xml:space="preserve"> </w:t>
      </w:r>
      <w:r w:rsidRPr="008B53A9">
        <w:rPr>
          <w:bCs/>
        </w:rPr>
        <w:t>-</w:t>
      </w:r>
      <w:r w:rsidR="00EF4894" w:rsidRPr="008B53A9">
        <w:rPr>
          <w:bCs/>
        </w:rPr>
        <w:t xml:space="preserve"> 20</w:t>
      </w:r>
      <w:r w:rsidRPr="008B53A9">
        <w:rPr>
          <w:bCs/>
        </w:rPr>
        <w:t xml:space="preserve">13, ve kterém byla podporována jak tvorba ICT řešení, tak centra sdílených služeb. Byly realizovány projekty, které přinesly unikátní řešení a vytvořily velký počet vysoce kvalifikovaných pracovních míst. </w:t>
      </w:r>
      <w:r w:rsidR="00BA3276" w:rsidRPr="008B53A9">
        <w:rPr>
          <w:bCs/>
        </w:rPr>
        <w:t>V návaznosti na zkušenosti z realizace OPPI</w:t>
      </w:r>
      <w:r w:rsidR="00084401" w:rsidRPr="008B53A9">
        <w:rPr>
          <w:bCs/>
        </w:rPr>
        <w:t xml:space="preserve"> </w:t>
      </w:r>
      <w:r w:rsidRPr="008B53A9">
        <w:rPr>
          <w:bCs/>
        </w:rPr>
        <w:t xml:space="preserve">bude právě tento specifický cíl </w:t>
      </w:r>
      <w:r w:rsidR="00084401" w:rsidRPr="008B53A9">
        <w:rPr>
          <w:bCs/>
        </w:rPr>
        <w:t xml:space="preserve">OP PIK </w:t>
      </w:r>
      <w:r w:rsidRPr="008B53A9">
        <w:rPr>
          <w:bCs/>
        </w:rPr>
        <w:t xml:space="preserve">zaměřen </w:t>
      </w:r>
      <w:r w:rsidR="00084401" w:rsidRPr="008B53A9">
        <w:rPr>
          <w:bCs/>
        </w:rPr>
        <w:t xml:space="preserve">na </w:t>
      </w:r>
      <w:r w:rsidRPr="008B53A9">
        <w:rPr>
          <w:bCs/>
        </w:rPr>
        <w:t>tvorbu ICT řešení a centra sdílených služeb s velkým důrazem na současné trendy, mezi které patří mimo jiné cloudová řešení, prostřednictvím kterých bude rovněž stimulována poptávka po cloudových službách, jejichž využívání v  důsledku povede ke snižování nákladů konečných uživatelů.</w:t>
      </w:r>
    </w:p>
    <w:p w:rsidR="009E6C87" w:rsidRPr="008B53A9" w:rsidRDefault="00F975FD" w:rsidP="00FA0BCA">
      <w:pPr>
        <w:pStyle w:val="Standardntext"/>
      </w:pPr>
      <w:r w:rsidRPr="008B53A9">
        <w:rPr>
          <w:bCs/>
        </w:rPr>
        <w:lastRenderedPageBreak/>
        <w:t>V případě tvorby</w:t>
      </w:r>
      <w:r w:rsidR="00504D07" w:rsidRPr="008B53A9">
        <w:t xml:space="preserve"> nových sofistikovaných ICT ř</w:t>
      </w:r>
      <w:r w:rsidRPr="008B53A9">
        <w:t>ešení jde</w:t>
      </w:r>
      <w:r w:rsidRPr="008B53A9">
        <w:rPr>
          <w:szCs w:val="22"/>
        </w:rPr>
        <w:t xml:space="preserve"> o taková ICT řešení, která jsou svým zaměřením jedinečná a vyplňují mezeru na trhu, případně pokrývají určitou potřebu. Podporována budou taková řešení, která mají vysokou přidanou hodnotu. Například lze uvést typově zavádění </w:t>
      </w:r>
      <w:r w:rsidR="0076364D" w:rsidRPr="008B53A9">
        <w:rPr>
          <w:szCs w:val="22"/>
        </w:rPr>
        <w:t xml:space="preserve">nových </w:t>
      </w:r>
      <w:r w:rsidRPr="008B53A9">
        <w:rPr>
          <w:szCs w:val="22"/>
        </w:rPr>
        <w:t>ICT nástrojů</w:t>
      </w:r>
      <w:r w:rsidR="0076364D" w:rsidRPr="008B53A9">
        <w:rPr>
          <w:szCs w:val="22"/>
        </w:rPr>
        <w:t xml:space="preserve"> či</w:t>
      </w:r>
      <w:r w:rsidRPr="008B53A9">
        <w:rPr>
          <w:szCs w:val="22"/>
        </w:rPr>
        <w:t xml:space="preserve"> trendů zejména v návaznosti na sociální sítě, podpora bezpečnosti dat, vývoj pro mobilní zařízení, zavádění open standardů, podpora interoperability apod.</w:t>
      </w:r>
      <w:r w:rsidR="00411D73" w:rsidRPr="008B53A9">
        <w:rPr>
          <w:szCs w:val="22"/>
        </w:rPr>
        <w:t xml:space="preserve"> Z</w:t>
      </w:r>
      <w:r w:rsidR="009E6C87" w:rsidRPr="008B53A9">
        <w:rPr>
          <w:szCs w:val="22"/>
        </w:rPr>
        <w:t>působilými výdaji bude pořízení dlouhodobého majetku souvisejícího s projektem, externě nakupované služby související s projektem, mzdy odborných pracovníků, nájem p</w:t>
      </w:r>
      <w:r w:rsidR="007954D2" w:rsidRPr="008B53A9">
        <w:rPr>
          <w:szCs w:val="22"/>
        </w:rPr>
        <w:t xml:space="preserve">rostor potřebných pro projekt, </w:t>
      </w:r>
      <w:r w:rsidR="00381DA0" w:rsidRPr="008B53A9">
        <w:rPr>
          <w:szCs w:val="22"/>
        </w:rPr>
        <w:t xml:space="preserve">přístup do databází </w:t>
      </w:r>
      <w:r w:rsidR="009E6C87" w:rsidRPr="008B53A9">
        <w:rPr>
          <w:szCs w:val="22"/>
        </w:rPr>
        <w:t>nezbytn</w:t>
      </w:r>
      <w:r w:rsidR="00381DA0" w:rsidRPr="008B53A9">
        <w:rPr>
          <w:szCs w:val="22"/>
        </w:rPr>
        <w:t>ých pro projekt</w:t>
      </w:r>
      <w:r w:rsidR="007954D2" w:rsidRPr="008B53A9">
        <w:rPr>
          <w:szCs w:val="22"/>
        </w:rPr>
        <w:t xml:space="preserve"> atd</w:t>
      </w:r>
      <w:r w:rsidR="009E6C87" w:rsidRPr="008B53A9">
        <w:rPr>
          <w:szCs w:val="22"/>
        </w:rPr>
        <w:t>. Výstupe</w:t>
      </w:r>
      <w:r w:rsidR="009E6C87" w:rsidRPr="008B53A9">
        <w:t>m projektu bude sofistikované ICT řešení definované v projektové žádosti, což přispěje k naplnění výsledku tohot</w:t>
      </w:r>
      <w:r w:rsidR="001F59E8" w:rsidRPr="008B53A9">
        <w:t>o specifického cíle spočívající</w:t>
      </w:r>
      <w:r w:rsidR="009E6C87" w:rsidRPr="008B53A9">
        <w:t xml:space="preserve">ho </w:t>
      </w:r>
      <w:r w:rsidR="005F74B6" w:rsidRPr="008B53A9">
        <w:t>v</w:t>
      </w:r>
      <w:r w:rsidR="00FD3F3A" w:rsidRPr="008B53A9">
        <w:t> růstu přidané hodnoty IT služeb</w:t>
      </w:r>
      <w:r w:rsidR="005F74B6" w:rsidRPr="008B53A9">
        <w:t xml:space="preserve"> </w:t>
      </w:r>
      <w:r w:rsidR="00FD3F3A" w:rsidRPr="008B53A9">
        <w:t xml:space="preserve">na HDP, což může dále ovlivňovat </w:t>
      </w:r>
      <w:r w:rsidR="009E6C87" w:rsidRPr="008B53A9">
        <w:t>nabídk</w:t>
      </w:r>
      <w:r w:rsidR="00FD3F3A" w:rsidRPr="008B53A9">
        <w:t>u</w:t>
      </w:r>
      <w:r w:rsidR="009E6C87" w:rsidRPr="008B53A9">
        <w:t xml:space="preserve"> nových informačních systémů, ICT řešení a vysoce sofistikovaných ICT nástrojů, nových softwarových produktů a služeb.</w:t>
      </w:r>
      <w:r w:rsidR="00586901" w:rsidRPr="008B53A9">
        <w:t xml:space="preserve"> V rámci tohoto specifického cíle budou podporovány i projekty na vývoj ICT řešení a softwaru pro zemědělské podniky </w:t>
      </w:r>
      <w:r w:rsidR="008A2746" w:rsidRPr="008B53A9">
        <w:t xml:space="preserve">specializující se na výrobu položek obsažených </w:t>
      </w:r>
      <w:r w:rsidR="00DE2376" w:rsidRPr="008B53A9">
        <w:rPr>
          <w:lang w:val="cs-CZ"/>
        </w:rPr>
        <w:t>(v</w:t>
      </w:r>
      <w:r w:rsidR="004038F0" w:rsidRPr="008B53A9">
        <w:t xml:space="preserve"> dodatku Smlouvy (o EU)</w:t>
      </w:r>
      <w:r w:rsidR="00586901" w:rsidRPr="008B53A9">
        <w:t>).</w:t>
      </w:r>
    </w:p>
    <w:p w:rsidR="006F7785" w:rsidRPr="008B53A9" w:rsidRDefault="00411D73" w:rsidP="00FA0BCA">
      <w:pPr>
        <w:pStyle w:val="Standardntext"/>
      </w:pPr>
      <w:r w:rsidRPr="008B53A9">
        <w:t xml:space="preserve">Pokud jde o poskytování sofistikovaných sdílených služeb, jedná se o podporu center sdílených služeb poskytujících služby v oblasti IT, účetnictví, financí atp. Tyto činnosti centra sdílených služeb přebírají buď od mateřské společnosti, nebo od zákazníků. Za sdílenou službu je považováno i poskytování služeb datového centra. </w:t>
      </w:r>
      <w:r w:rsidR="009E6C87" w:rsidRPr="008B53A9">
        <w:rPr>
          <w:bCs/>
        </w:rPr>
        <w:t>Oblast</w:t>
      </w:r>
      <w:r w:rsidR="004F45C9" w:rsidRPr="008B53A9">
        <w:rPr>
          <w:bCs/>
        </w:rPr>
        <w:t xml:space="preserve"> poskytování sofistikovaných </w:t>
      </w:r>
      <w:r w:rsidR="00961FFB" w:rsidRPr="008B53A9">
        <w:rPr>
          <w:bCs/>
        </w:rPr>
        <w:t xml:space="preserve">sdílených služeb </w:t>
      </w:r>
      <w:r w:rsidR="009E6C87" w:rsidRPr="008B53A9">
        <w:rPr>
          <w:bCs/>
        </w:rPr>
        <w:t>bude pro účely implementace ro</w:t>
      </w:r>
      <w:r w:rsidR="001F59E8" w:rsidRPr="008B53A9">
        <w:rPr>
          <w:bCs/>
        </w:rPr>
        <w:t>z</w:t>
      </w:r>
      <w:r w:rsidR="009E6C87" w:rsidRPr="008B53A9">
        <w:rPr>
          <w:bCs/>
        </w:rPr>
        <w:t>členěna</w:t>
      </w:r>
      <w:r w:rsidR="00961FFB" w:rsidRPr="008B53A9">
        <w:rPr>
          <w:bCs/>
        </w:rPr>
        <w:t xml:space="preserve"> na aktivity mířící do oblasti poskytování sdílených služeb a do obl</w:t>
      </w:r>
      <w:r w:rsidR="009E6C87" w:rsidRPr="008B53A9">
        <w:rPr>
          <w:bCs/>
        </w:rPr>
        <w:t>asti budování datových center. T</w:t>
      </w:r>
      <w:r w:rsidR="00961FFB" w:rsidRPr="008B53A9">
        <w:rPr>
          <w:bCs/>
        </w:rPr>
        <w:t>oto rozdělení bude zohledňovat rozdílné způsobilé výdaje.</w:t>
      </w:r>
      <w:r w:rsidR="009E6C87" w:rsidRPr="008B53A9">
        <w:rPr>
          <w:bCs/>
        </w:rPr>
        <w:t xml:space="preserve"> V případě z</w:t>
      </w:r>
      <w:r w:rsidR="009E6C87" w:rsidRPr="008B53A9">
        <w:t>akládání a rozvoje center sdílených služeb (CSS) budou způsobilými výdaji náklady na stavbu případně rekonstrukci CSS, vybavení CSS související s projektem, externě nakupované služby související s projektem, mzdy odborných pracovníků centra sdílených služeb, nájem prostor atd.</w:t>
      </w:r>
      <w:r w:rsidR="007954D2" w:rsidRPr="008B53A9">
        <w:t xml:space="preserve"> Výstupem projektu bude fungující centrum sdílených služeb</w:t>
      </w:r>
      <w:r w:rsidR="005F74B6" w:rsidRPr="008B53A9">
        <w:t>, jehož výsledky se promítnou ve střednědobém horizontu ekonomickými přínosy a nově vytvořenými pracovními místy.</w:t>
      </w:r>
      <w:r w:rsidR="00F95834" w:rsidRPr="008B53A9">
        <w:t xml:space="preserve"> Převážně budou podporována centra sdílených služeb s přeshraničním přesahem.</w:t>
      </w:r>
    </w:p>
    <w:p w:rsidR="007F002C" w:rsidRPr="008B53A9" w:rsidRDefault="007F002C" w:rsidP="00FA0BCA">
      <w:pPr>
        <w:pStyle w:val="Standardntext"/>
      </w:pPr>
      <w:r w:rsidRPr="008B53A9">
        <w:t xml:space="preserve">V případě výstavby a rozšíření datových center budou mezi způsobilými výdaji náklady na výstavbu případně rekonstrukci datového centra, náklady na vybavení datového centra, externě nakupované služby související s projektem, mzdy pracovníků datového centra, nájem prostor atd. Výstupem projektu bude datové centrum připravené poskytovat služby, což přispěje k naplňování výše </w:t>
      </w:r>
      <w:r w:rsidR="005F74B6" w:rsidRPr="008B53A9">
        <w:t>stanoven</w:t>
      </w:r>
      <w:r w:rsidRPr="008B53A9">
        <w:t>ých výsledků specifického cíle.</w:t>
      </w:r>
    </w:p>
    <w:p w:rsidR="00AF178F" w:rsidRPr="008B53A9" w:rsidRDefault="00AF178F" w:rsidP="00FA0BCA">
      <w:pPr>
        <w:pStyle w:val="Standardntext"/>
      </w:pPr>
      <w:r w:rsidRPr="008B53A9">
        <w:t xml:space="preserve">Aktivity SC 4.2 mají přímou vazbu na tento strategický cíl Národní </w:t>
      </w:r>
      <w:r w:rsidR="002B0AB0" w:rsidRPr="008B53A9">
        <w:t>RI</w:t>
      </w:r>
      <w:r w:rsidRPr="008B53A9">
        <w:t>S3 strategie: „eBusiness a ICT v podnikání“.</w:t>
      </w:r>
      <w:r w:rsidR="004C7346" w:rsidRPr="008B53A9">
        <w:t xml:space="preserve"> Jde především o vzájemnou provázanost s typovými aktivitami/projekty/operacemi specifického cíle E2.1 „Vyšší využívání ICT v podnikání“ Národní </w:t>
      </w:r>
      <w:r w:rsidR="002B0AB0" w:rsidRPr="008B53A9">
        <w:t>RI</w:t>
      </w:r>
      <w:r w:rsidR="004C7346" w:rsidRPr="008B53A9">
        <w:t>S3 strategie.</w:t>
      </w:r>
    </w:p>
    <w:p w:rsidR="002E1C78" w:rsidRPr="008B53A9" w:rsidRDefault="002E1C78" w:rsidP="00FA0BCA">
      <w:pPr>
        <w:pStyle w:val="Standardntext"/>
      </w:pPr>
      <w:r w:rsidRPr="008B53A9">
        <w:rPr>
          <w:b/>
          <w:bCs/>
        </w:rPr>
        <w:t xml:space="preserve">Hlavní cílová skupina: </w:t>
      </w:r>
      <w:r w:rsidRPr="008B53A9">
        <w:t>Podnikatelské subjekty a obyvatelé využívající IT.</w:t>
      </w:r>
    </w:p>
    <w:p w:rsidR="002E1C78" w:rsidRPr="008B53A9" w:rsidRDefault="002E1C78" w:rsidP="00FA0BCA">
      <w:pPr>
        <w:pStyle w:val="Standardntext"/>
      </w:pPr>
      <w:r w:rsidRPr="008B53A9">
        <w:rPr>
          <w:b/>
          <w:bCs/>
        </w:rPr>
        <w:t xml:space="preserve">Cílové území: </w:t>
      </w:r>
      <w:r w:rsidRPr="008B53A9">
        <w:t>Území České republiky, mimo území hl. m. Prahy.</w:t>
      </w:r>
      <w:r w:rsidR="00015039" w:rsidRPr="008B53A9">
        <w:t xml:space="preserve"> Z hlediska územní dimenze </w:t>
      </w:r>
      <w:r w:rsidR="00A46CD6" w:rsidRPr="008B53A9">
        <w:t>bude tento specifický cíl zaměřen na rozvojová území</w:t>
      </w:r>
      <w:r w:rsidR="00015039" w:rsidRPr="008B53A9">
        <w:t>.</w:t>
      </w:r>
    </w:p>
    <w:p w:rsidR="002E1C78" w:rsidRPr="008B53A9" w:rsidRDefault="002E1C78" w:rsidP="00FA0BCA">
      <w:pPr>
        <w:pStyle w:val="Standardntext"/>
        <w:rPr>
          <w:bCs/>
        </w:rPr>
      </w:pPr>
      <w:r w:rsidRPr="008B53A9">
        <w:rPr>
          <w:b/>
          <w:bCs/>
        </w:rPr>
        <w:t xml:space="preserve">Typy příjemců: </w:t>
      </w:r>
      <w:r w:rsidRPr="008B53A9">
        <w:t>Podnikatelské subjekty (malé, střední a velké podniky).</w:t>
      </w:r>
      <w:r w:rsidR="00124401" w:rsidRPr="008B53A9">
        <w:t xml:space="preserve"> V případě velkých podniků budou podporovány projekty, jejichž realizace v konečném důsledku povede ke snižování nákladů MSP</w:t>
      </w:r>
      <w:r w:rsidR="00093576" w:rsidRPr="008B53A9">
        <w:t xml:space="preserve"> (dle čl. 3 odst. 1 písm. b</w:t>
      </w:r>
      <w:r w:rsidR="0044254C" w:rsidRPr="008B53A9">
        <w:t>)</w:t>
      </w:r>
      <w:r w:rsidR="00093576" w:rsidRPr="008B53A9">
        <w:t xml:space="preserve"> nařízení o EFRR)</w:t>
      </w:r>
      <w:r w:rsidR="00124401" w:rsidRPr="008B53A9">
        <w:t>. Realizace takovýchto projektů je společensky účelná bez ohledu na velikost příjemce dotace. Tyto projekty však budou tvořit minoritní část tohoto specifického cíle.</w:t>
      </w:r>
    </w:p>
    <w:p w:rsidR="002E1C78" w:rsidRPr="008B53A9" w:rsidRDefault="00BA6461" w:rsidP="005F43DF">
      <w:pPr>
        <w:pStyle w:val="Nadpis5"/>
        <w:numPr>
          <w:ilvl w:val="4"/>
          <w:numId w:val="27"/>
        </w:numPr>
      </w:pPr>
      <w:r w:rsidRPr="008B53A9">
        <w:lastRenderedPageBreak/>
        <w:t>Hlavní zásady pro výběr operací</w:t>
      </w:r>
    </w:p>
    <w:p w:rsidR="00B45C7F" w:rsidRPr="008B53A9" w:rsidRDefault="000B34E4" w:rsidP="00963119">
      <w:pPr>
        <w:pStyle w:val="Standardntext"/>
      </w:pPr>
      <w:r w:rsidRPr="008B53A9">
        <w:t xml:space="preserve">V rámci této investiční priority budou vyhlašovány výzvy na předkládání individuálních projektů. </w:t>
      </w:r>
      <w:r w:rsidR="00855A0B" w:rsidRPr="008B53A9">
        <w:t>Předložené projekty budou  nejdříve posuzovány ze strany řídícího orgánu / zprostředkujícího subjektu z pohledu jejich souladu s podmínkami daného programu podpory.</w:t>
      </w:r>
      <w:r w:rsidRPr="008B53A9">
        <w:t xml:space="preserve"> Projektové žádosti, které úspěšně projdou tímto procesem, budou </w:t>
      </w:r>
      <w:r w:rsidR="002A71BE" w:rsidRPr="008B53A9">
        <w:t>hodnoceny odbornými hodnotiteli (primárně interními v působnosti Agentury CzechInvest, resp. MPO a v případech projektů vyžadujících zvláštní odbornou způsobilost hodnotiteli externími) dle předem</w:t>
      </w:r>
      <w:r w:rsidRPr="008B53A9">
        <w:t xml:space="preserve"> definovaných výběrových </w:t>
      </w:r>
      <w:r w:rsidR="004F45C9" w:rsidRPr="008B53A9">
        <w:t xml:space="preserve">kritérií, prostřednictvím </w:t>
      </w:r>
      <w:r w:rsidR="00524406" w:rsidRPr="008B53A9">
        <w:t xml:space="preserve">kterých se bude hodnotit přínosnost a relevance projektu, zkušenosti a odborné předpoklady žadatele, připravenost žadatele a technické řešení projektu. Každá z podporovaných aktivit bude mít svá specifická výběrová kritéria. </w:t>
      </w:r>
      <w:r w:rsidR="00952A8B" w:rsidRPr="008B53A9">
        <w:t xml:space="preserve">Ve finální fázi hodnocení </w:t>
      </w:r>
      <w:r w:rsidR="00524406" w:rsidRPr="008B53A9">
        <w:t>budou projekty</w:t>
      </w:r>
      <w:r w:rsidRPr="008B53A9">
        <w:t xml:space="preserve"> posuzovány hodnotitelskou komis</w:t>
      </w:r>
      <w:r w:rsidR="00153F2D" w:rsidRPr="008B53A9">
        <w:t>í, která bude tvořena zástupci Ř</w:t>
      </w:r>
      <w:r w:rsidRPr="008B53A9">
        <w:t>ídícího orgánu</w:t>
      </w:r>
      <w:r w:rsidR="00524406" w:rsidRPr="008B53A9">
        <w:t>, zástupci vysokých škol, územní samosprávy a expertů na danou oblast</w:t>
      </w:r>
      <w:r w:rsidRPr="008B53A9">
        <w:t xml:space="preserve">. </w:t>
      </w:r>
      <w:r w:rsidR="00C57EB7" w:rsidRPr="008B53A9">
        <w:t xml:space="preserve">Výběr </w:t>
      </w:r>
      <w:r w:rsidR="002730C3" w:rsidRPr="008B53A9">
        <w:t>odborných hodnotitelů</w:t>
      </w:r>
      <w:r w:rsidR="00C57EB7" w:rsidRPr="008B53A9">
        <w:t xml:space="preserve"> a členů hodnotící komise se bude uskutečňovat z řad odborníků prostřednictvím výběrového řízení zveřejněného na internetových stránkách Operačního programu. Všichni hodnotitelé a členové hodnotící komise musí splňovat všeobecná kritéria jako bezúhonnost a způsobilost k právním úkonům a odborná kritéria, tj. požadavky na vzdělání, prokázání odborné praxe (znalosti problematiky) v oblasti, která je předmětem odborného hodnocení či zkušenost s hodnocením projektů na evropské i národní úrovni.</w:t>
      </w:r>
      <w:r w:rsidR="00C57EB7" w:rsidRPr="008B53A9">
        <w:rPr>
          <w:rStyle w:val="Znakapoznpodarou"/>
        </w:rPr>
        <w:footnoteReference w:id="79"/>
      </w:r>
      <w:r w:rsidR="00C57EB7" w:rsidRPr="008B53A9">
        <w:t xml:space="preserve"> Hodnotitelé budou průběžně školeni tak, aby byl zajištěn jejich rovný přístup ke všem projektům. </w:t>
      </w:r>
      <w:r w:rsidR="00D66446" w:rsidRPr="008B53A9">
        <w:t>Tento systém bude nastaven maximálně transparentně, s cílem zajistit kvalitní a objektivní hodnocení projektů, a realizací schválených projektů dosažení stanovených cílů programu.</w:t>
      </w:r>
    </w:p>
    <w:p w:rsidR="00D42004" w:rsidRPr="008B53A9" w:rsidRDefault="00D42004" w:rsidP="00D42004">
      <w:pPr>
        <w:pStyle w:val="Standardntext"/>
      </w:pPr>
      <w:r w:rsidRPr="008B53A9">
        <w:t>V rámci výběru a hodnocení projektů budou posuzována především následující kritéria:</w:t>
      </w:r>
    </w:p>
    <w:p w:rsidR="00D42004" w:rsidRPr="008B53A9" w:rsidRDefault="00D42004" w:rsidP="005F43DF">
      <w:pPr>
        <w:pStyle w:val="Standardntext"/>
        <w:numPr>
          <w:ilvl w:val="0"/>
          <w:numId w:val="44"/>
        </w:numPr>
      </w:pPr>
      <w:r w:rsidRPr="008B53A9">
        <w:t xml:space="preserve">Kvalita a potřebnost projektu s ohledem </w:t>
      </w:r>
      <w:r w:rsidR="00B45C7F" w:rsidRPr="008B53A9">
        <w:t>na rozvoj lidského kapitálu v této oblasti</w:t>
      </w:r>
      <w:r w:rsidRPr="008B53A9">
        <w:t>.</w:t>
      </w:r>
    </w:p>
    <w:p w:rsidR="00D42004" w:rsidRPr="008B53A9" w:rsidRDefault="00D42004" w:rsidP="005F43DF">
      <w:pPr>
        <w:pStyle w:val="Standardntext"/>
        <w:numPr>
          <w:ilvl w:val="0"/>
          <w:numId w:val="44"/>
        </w:numPr>
      </w:pPr>
      <w:r w:rsidRPr="008B53A9">
        <w:t>Soulad projektu s  územní dimenzí této investiční priority</w:t>
      </w:r>
      <w:r w:rsidR="00C63CF5" w:rsidRPr="008B53A9">
        <w:t xml:space="preserve"> (viz </w:t>
      </w:r>
      <w:r w:rsidR="00C63CF5" w:rsidRPr="008B53A9">
        <w:rPr>
          <w:i/>
        </w:rPr>
        <w:t>Cílové území</w:t>
      </w:r>
      <w:r w:rsidR="00C63CF5" w:rsidRPr="008B53A9">
        <w:t xml:space="preserve"> v oddíle 2.A.6.1 a dále oddíl 4)</w:t>
      </w:r>
      <w:r w:rsidRPr="008B53A9">
        <w:t>. </w:t>
      </w:r>
    </w:p>
    <w:p w:rsidR="00D42004" w:rsidRPr="008B53A9" w:rsidRDefault="00D42004" w:rsidP="005F43DF">
      <w:pPr>
        <w:pStyle w:val="Standardntext"/>
        <w:numPr>
          <w:ilvl w:val="0"/>
          <w:numId w:val="44"/>
        </w:numPr>
      </w:pPr>
      <w:r w:rsidRPr="008B53A9">
        <w:t xml:space="preserve">Soulad projektu s horizontálními principy, mezi něž patří udržitelný rozvoj, rovné příležitosti a ochrana před diskriminací. Projekt, který bude v rozporu s těmito principy, nebude v rámci OP PIK podpořen (blíže viz oddíl 11). </w:t>
      </w:r>
    </w:p>
    <w:p w:rsidR="00D42004" w:rsidRPr="008B53A9" w:rsidRDefault="00D42004" w:rsidP="005F43DF">
      <w:pPr>
        <w:pStyle w:val="Standardntext"/>
        <w:numPr>
          <w:ilvl w:val="0"/>
          <w:numId w:val="44"/>
        </w:numPr>
      </w:pPr>
      <w:r w:rsidRPr="008B53A9">
        <w:t>Žadatel nesmí mít právní formu akciové společnosti s listinnými akciemi na majitele.</w:t>
      </w:r>
    </w:p>
    <w:p w:rsidR="002E1C78" w:rsidRPr="008B53A9" w:rsidRDefault="00BA6461" w:rsidP="005F43DF">
      <w:pPr>
        <w:pStyle w:val="Nadpis5"/>
        <w:numPr>
          <w:ilvl w:val="4"/>
          <w:numId w:val="27"/>
        </w:numPr>
        <w:rPr>
          <w:rFonts w:cs="Calibri"/>
        </w:rPr>
      </w:pPr>
      <w:r w:rsidRPr="008B53A9">
        <w:t>Plánované využití finančních nástrojů (použije-li se)</w:t>
      </w:r>
    </w:p>
    <w:p w:rsidR="00896EDF" w:rsidRPr="008B53A9" w:rsidRDefault="00C15D3F" w:rsidP="00896EDF">
      <w:pPr>
        <w:pStyle w:val="Standardntext"/>
        <w:rPr>
          <w:lang w:val="cs-CZ"/>
        </w:rPr>
      </w:pPr>
      <w:r w:rsidRPr="008B53A9">
        <w:t>Řídící orgán nepředpokládá využití finančních nástrojů v této investiční prioritě. Případné odchylky stanoví konečná verze předběžného posouzení finančních nástrojů OP PIK dle čl. 37 odst. 2 obecného nařízení, které provede ŘO OP PIK, případně jeho revize podle čl. 37 odst. 2 písm. g) obecného nařízení.</w:t>
      </w:r>
    </w:p>
    <w:p w:rsidR="002E1C78" w:rsidRPr="008B53A9" w:rsidRDefault="00BA6461" w:rsidP="00896EDF">
      <w:pPr>
        <w:pStyle w:val="Nadpis5"/>
        <w:keepNext w:val="0"/>
        <w:keepLines w:val="0"/>
        <w:numPr>
          <w:ilvl w:val="4"/>
          <w:numId w:val="27"/>
        </w:numPr>
      </w:pPr>
      <w:r w:rsidRPr="008B53A9">
        <w:t>Plánované využití velkých projektů (použije-li se)</w:t>
      </w:r>
    </w:p>
    <w:p w:rsidR="002A4D1D" w:rsidRPr="008B53A9" w:rsidRDefault="002A4D1D" w:rsidP="002A4D1D">
      <w:pPr>
        <w:pStyle w:val="Standardntext"/>
      </w:pPr>
      <w:r w:rsidRPr="008B53A9">
        <w:t xml:space="preserve">Velké projekty ve smyslu čl. </w:t>
      </w:r>
      <w:r w:rsidR="008F52F8" w:rsidRPr="008B53A9">
        <w:t>10</w:t>
      </w:r>
      <w:r w:rsidRPr="008B53A9">
        <w:t>0 obecného nařízení nejsou plánovány.</w:t>
      </w:r>
    </w:p>
    <w:p w:rsidR="002E1C78" w:rsidRPr="008B53A9" w:rsidRDefault="00BA6461" w:rsidP="005F43DF">
      <w:pPr>
        <w:pStyle w:val="Nadpis5"/>
        <w:keepNext w:val="0"/>
        <w:keepLines w:val="0"/>
        <w:numPr>
          <w:ilvl w:val="4"/>
          <w:numId w:val="27"/>
        </w:numPr>
      </w:pPr>
      <w:r w:rsidRPr="008B53A9">
        <w:t>Ukazatele výstupů podle investiční priority a případně podle kategorie regionů</w:t>
      </w:r>
    </w:p>
    <w:p w:rsidR="002E1C78" w:rsidRPr="008B53A9" w:rsidRDefault="002E1C78" w:rsidP="00B22DB8">
      <w:pPr>
        <w:pStyle w:val="Titulek"/>
        <w:rPr>
          <w:rFonts w:cs="Calibri"/>
        </w:rPr>
      </w:pPr>
      <w:r w:rsidRPr="008B53A9">
        <w:rPr>
          <w:rFonts w:cs="Calibri"/>
        </w:rPr>
        <w:lastRenderedPageBreak/>
        <w:t xml:space="preserve">Tabulka </w:t>
      </w:r>
      <w:r w:rsidRPr="008B53A9">
        <w:rPr>
          <w:rFonts w:cs="Calibri"/>
        </w:rPr>
        <w:fldChar w:fldCharType="begin"/>
      </w:r>
      <w:r w:rsidRPr="008B53A9">
        <w:rPr>
          <w:rFonts w:cs="Calibri"/>
        </w:rPr>
        <w:instrText xml:space="preserve"> SEQ Tabulka \* ARABIC \r5 </w:instrText>
      </w:r>
      <w:r w:rsidRPr="008B53A9">
        <w:rPr>
          <w:rFonts w:cs="Calibri"/>
        </w:rPr>
        <w:fldChar w:fldCharType="separate"/>
      </w:r>
      <w:r w:rsidR="00E54216" w:rsidRPr="008B53A9">
        <w:rPr>
          <w:rFonts w:cs="Calibri"/>
          <w:noProof/>
        </w:rPr>
        <w:t>5</w:t>
      </w:r>
      <w:r w:rsidRPr="008B53A9">
        <w:rPr>
          <w:rFonts w:cs="Calibri"/>
        </w:rPr>
        <w:fldChar w:fldCharType="end"/>
      </w:r>
      <w:r w:rsidRPr="008B53A9">
        <w:rPr>
          <w:rFonts w:cs="Calibri"/>
        </w:rPr>
        <w:t xml:space="preserve">: </w:t>
      </w:r>
      <w:r w:rsidR="001B2E5C" w:rsidRPr="008B53A9">
        <w:rPr>
          <w:rFonts w:cs="Calibri"/>
        </w:rPr>
        <w:t>Společné a programově specifické ukazatele výstupů</w:t>
      </w:r>
    </w:p>
    <w:tbl>
      <w:tblPr>
        <w:tblW w:w="0" w:type="auto"/>
        <w:tblCellMar>
          <w:left w:w="57" w:type="dxa"/>
          <w:right w:w="57" w:type="dxa"/>
        </w:tblCellMar>
        <w:tblLook w:val="01E0" w:firstRow="1" w:lastRow="1" w:firstColumn="1" w:lastColumn="1" w:noHBand="0" w:noVBand="0"/>
      </w:tblPr>
      <w:tblGrid>
        <w:gridCol w:w="1154"/>
        <w:gridCol w:w="2125"/>
        <w:gridCol w:w="1029"/>
        <w:gridCol w:w="665"/>
        <w:gridCol w:w="1073"/>
        <w:gridCol w:w="1418"/>
        <w:gridCol w:w="715"/>
        <w:gridCol w:w="1147"/>
      </w:tblGrid>
      <w:tr w:rsidR="001B2E5C" w:rsidRPr="008B53A9">
        <w:trPr>
          <w:trHeight w:hRule="exact" w:val="1185"/>
        </w:trPr>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B22DB8">
            <w:pPr>
              <w:pStyle w:val="Tabulka"/>
              <w:rPr>
                <w:rFonts w:cs="Calibri"/>
                <w:b/>
                <w:lang w:val="cs-CZ" w:eastAsia="cs-CZ"/>
              </w:rPr>
            </w:pPr>
            <w:r w:rsidRPr="008B53A9">
              <w:rPr>
                <w:rFonts w:cs="Calibri"/>
                <w:b/>
                <w:lang w:val="cs-CZ" w:eastAsia="cs-CZ"/>
              </w:rPr>
              <w:t>ID</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B22DB8">
            <w:pPr>
              <w:pStyle w:val="Tabulka"/>
              <w:rPr>
                <w:rFonts w:cs="Calibri"/>
                <w:b/>
                <w:lang w:val="cs-CZ" w:eastAsia="cs-CZ"/>
              </w:rPr>
            </w:pPr>
            <w:r w:rsidRPr="008B53A9">
              <w:rPr>
                <w:rFonts w:cs="Calibri"/>
                <w:b/>
                <w:lang w:val="cs-CZ" w:eastAsia="cs-CZ"/>
              </w:rPr>
              <w:t>Ukazatel</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B22DB8">
            <w:pPr>
              <w:pStyle w:val="Tabulka"/>
              <w:rPr>
                <w:rFonts w:cs="Calibri"/>
                <w:b/>
                <w:lang w:val="cs-CZ" w:eastAsia="cs-CZ"/>
              </w:rPr>
            </w:pPr>
            <w:r w:rsidRPr="008B53A9">
              <w:rPr>
                <w:rFonts w:cs="Calibri"/>
                <w:b/>
                <w:lang w:val="cs-CZ" w:eastAsia="cs-CZ"/>
              </w:rPr>
              <w:t>Měrná jednotka</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B22DB8">
            <w:pPr>
              <w:pStyle w:val="Tabulka"/>
              <w:rPr>
                <w:rFonts w:cs="Calibri"/>
                <w:b/>
                <w:lang w:val="cs-CZ" w:eastAsia="cs-CZ"/>
              </w:rPr>
            </w:pPr>
            <w:r w:rsidRPr="008B53A9">
              <w:rPr>
                <w:rFonts w:cs="Calibri"/>
                <w:b/>
                <w:lang w:val="cs-CZ" w:eastAsia="cs-CZ"/>
              </w:rPr>
              <w:t>Fond</w:t>
            </w:r>
          </w:p>
        </w:tc>
        <w:tc>
          <w:tcPr>
            <w:tcW w:w="107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B22DB8">
            <w:pPr>
              <w:pStyle w:val="Tabulka"/>
              <w:rPr>
                <w:rFonts w:cs="Calibri"/>
                <w:b/>
                <w:lang w:val="cs-CZ" w:eastAsia="cs-CZ"/>
              </w:rPr>
            </w:pPr>
            <w:r w:rsidRPr="008B53A9">
              <w:rPr>
                <w:rFonts w:cs="Calibri"/>
                <w:b/>
                <w:lang w:val="cs-CZ" w:eastAsia="cs-CZ"/>
              </w:rPr>
              <w:t>Kategorie regionu</w:t>
            </w:r>
          </w:p>
        </w:tc>
        <w:tc>
          <w:tcPr>
            <w:tcW w:w="141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B22DB8">
            <w:pPr>
              <w:pStyle w:val="Tabulka"/>
              <w:rPr>
                <w:rFonts w:cs="Calibri"/>
                <w:b/>
                <w:lang w:val="cs-CZ" w:eastAsia="cs-CZ"/>
              </w:rPr>
            </w:pPr>
            <w:r w:rsidRPr="008B53A9">
              <w:rPr>
                <w:rFonts w:cs="Calibri"/>
                <w:b/>
                <w:lang w:val="cs-CZ" w:eastAsia="cs-CZ"/>
              </w:rPr>
              <w:t>Cílová hodnota</w:t>
            </w:r>
          </w:p>
          <w:p w:rsidR="001B2E5C" w:rsidRPr="008B53A9" w:rsidRDefault="001B2E5C" w:rsidP="00B22DB8">
            <w:pPr>
              <w:pStyle w:val="Tabulka"/>
              <w:rPr>
                <w:rFonts w:cs="Calibri"/>
                <w:b/>
                <w:lang w:val="cs-CZ" w:eastAsia="cs-CZ"/>
              </w:rPr>
            </w:pPr>
            <w:r w:rsidRPr="008B53A9">
              <w:rPr>
                <w:rFonts w:cs="Calibri"/>
                <w:b/>
                <w:lang w:val="cs-CZ" w:eastAsia="cs-CZ"/>
              </w:rPr>
              <w:t>(2023)</w:t>
            </w:r>
          </w:p>
        </w:tc>
        <w:tc>
          <w:tcPr>
            <w:tcW w:w="715"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B22DB8">
            <w:pPr>
              <w:pStyle w:val="Tabulka"/>
              <w:rPr>
                <w:rFonts w:cs="Calibri"/>
                <w:b/>
                <w:lang w:val="cs-CZ" w:eastAsia="cs-CZ"/>
              </w:rPr>
            </w:pPr>
            <w:r w:rsidRPr="008B53A9">
              <w:rPr>
                <w:rFonts w:cs="Calibri"/>
                <w:b/>
                <w:lang w:val="cs-CZ" w:eastAsia="cs-CZ"/>
              </w:rPr>
              <w:t>Zdroj údajů</w:t>
            </w:r>
          </w:p>
        </w:tc>
        <w:tc>
          <w:tcPr>
            <w:tcW w:w="0" w:type="auto"/>
            <w:tcBorders>
              <w:top w:val="single" w:sz="4" w:space="0" w:color="000000"/>
              <w:left w:val="single" w:sz="4" w:space="0" w:color="000000"/>
              <w:bottom w:val="single" w:sz="4" w:space="0" w:color="000000"/>
              <w:right w:val="single" w:sz="4" w:space="0" w:color="000000"/>
            </w:tcBorders>
            <w:shd w:val="clear" w:color="auto" w:fill="B8CCE4"/>
            <w:vAlign w:val="center"/>
          </w:tcPr>
          <w:p w:rsidR="001B2E5C" w:rsidRPr="008B53A9" w:rsidRDefault="001B2E5C" w:rsidP="00B22DB8">
            <w:pPr>
              <w:pStyle w:val="Tabulka"/>
              <w:rPr>
                <w:rFonts w:cs="Calibri"/>
                <w:b/>
                <w:lang w:val="cs-CZ" w:eastAsia="cs-CZ"/>
              </w:rPr>
            </w:pPr>
            <w:r w:rsidRPr="008B53A9">
              <w:rPr>
                <w:rFonts w:cs="Calibri"/>
                <w:b/>
                <w:lang w:val="cs-CZ" w:eastAsia="cs-CZ"/>
              </w:rPr>
              <w:t>Četnost podávání zpráv</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3E294F" w:rsidP="00B22DB8">
            <w:pPr>
              <w:pStyle w:val="Tabulka"/>
              <w:rPr>
                <w:rFonts w:cs="Calibri"/>
                <w:lang w:val="cs-CZ" w:eastAsia="cs-CZ"/>
              </w:rPr>
            </w:pPr>
            <w:r w:rsidRPr="008B53A9">
              <w:rPr>
                <w:rFonts w:cs="Calibri"/>
                <w:lang w:val="cs-CZ" w:eastAsia="cs-CZ"/>
              </w:rPr>
              <w:t>C</w:t>
            </w:r>
            <w:r w:rsidR="001F250D" w:rsidRPr="008B53A9">
              <w:rPr>
                <w:rFonts w:cs="Calibri"/>
                <w:lang w:val="cs-CZ" w:eastAsia="cs-CZ"/>
              </w:rPr>
              <w:t>/EFRR/0</w:t>
            </w:r>
            <w:r w:rsidR="002B3F69" w:rsidRPr="008B53A9">
              <w:rPr>
                <w:rFonts w:cs="Calibri"/>
                <w:lang w:val="cs-CZ" w:eastAsia="cs-CZ"/>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7D6298" w:rsidP="00B22DB8">
            <w:pPr>
              <w:pStyle w:val="Tabulka"/>
              <w:jc w:val="left"/>
              <w:rPr>
                <w:rFonts w:cs="Calibri"/>
                <w:lang w:val="cs-CZ" w:eastAsia="cs-CZ"/>
              </w:rPr>
            </w:pPr>
            <w:r w:rsidRPr="008B53A9">
              <w:rPr>
                <w:rFonts w:cs="Calibri"/>
                <w:lang w:val="cs-CZ" w:eastAsia="cs-CZ"/>
              </w:rPr>
              <w:t>Počet podniků pobírajících podporu</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4E3102" w:rsidP="00B22DB8">
            <w:pPr>
              <w:pStyle w:val="Tabulka"/>
              <w:rPr>
                <w:rFonts w:cs="Calibri"/>
                <w:lang w:val="cs-CZ" w:eastAsia="cs-CZ"/>
              </w:rPr>
            </w:pPr>
            <w:r w:rsidRPr="008B53A9">
              <w:rPr>
                <w:rFonts w:cs="Calibri"/>
                <w:lang w:val="cs-CZ" w:eastAsia="cs-CZ"/>
              </w:rPr>
              <w:t>500</w:t>
            </w:r>
          </w:p>
        </w:tc>
        <w:tc>
          <w:tcPr>
            <w:tcW w:w="715"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EC50F2" w:rsidP="00B22DB8">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průběžně</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3E294F" w:rsidP="00B22DB8">
            <w:pPr>
              <w:pStyle w:val="Tabulka"/>
              <w:rPr>
                <w:rFonts w:cs="Calibri"/>
                <w:lang w:val="cs-CZ" w:eastAsia="cs-CZ"/>
              </w:rPr>
            </w:pPr>
            <w:r w:rsidRPr="008B53A9">
              <w:rPr>
                <w:rFonts w:cs="Calibri"/>
                <w:lang w:val="cs-CZ" w:eastAsia="cs-CZ"/>
              </w:rPr>
              <w:t>C</w:t>
            </w:r>
            <w:r w:rsidR="001F250D" w:rsidRPr="008B53A9">
              <w:rPr>
                <w:rFonts w:cs="Calibri"/>
                <w:lang w:val="cs-CZ" w:eastAsia="cs-CZ"/>
              </w:rPr>
              <w:t>/EFRR/0</w:t>
            </w:r>
            <w:r w:rsidR="002B3F69" w:rsidRPr="008B53A9">
              <w:rPr>
                <w:rFonts w:cs="Calibri"/>
                <w:lang w:val="cs-CZ" w:eastAsia="cs-CZ"/>
              </w:rPr>
              <w:t>2</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jc w:val="left"/>
              <w:rPr>
                <w:rFonts w:cs="Calibri"/>
                <w:lang w:val="cs-CZ" w:eastAsia="cs-CZ"/>
              </w:rPr>
            </w:pPr>
            <w:r w:rsidRPr="008B53A9">
              <w:rPr>
                <w:rFonts w:cs="Calibri"/>
                <w:lang w:val="cs-CZ" w:eastAsia="cs-CZ"/>
              </w:rPr>
              <w:t>Počet podniků pobírajících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podniky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4E3102" w:rsidP="00B22DB8">
            <w:pPr>
              <w:pStyle w:val="Tabulka"/>
              <w:rPr>
                <w:rFonts w:cs="Calibri"/>
                <w:lang w:val="cs-CZ" w:eastAsia="cs-CZ"/>
              </w:rPr>
            </w:pPr>
            <w:r w:rsidRPr="008B53A9">
              <w:rPr>
                <w:rFonts w:cs="Calibri"/>
                <w:lang w:val="cs-CZ" w:eastAsia="cs-CZ"/>
              </w:rPr>
              <w:t>500</w:t>
            </w:r>
          </w:p>
        </w:tc>
        <w:tc>
          <w:tcPr>
            <w:tcW w:w="715"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EC50F2" w:rsidP="00B22DB8">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průběžně</w:t>
            </w:r>
          </w:p>
        </w:tc>
      </w:tr>
      <w:tr w:rsidR="002B3F69"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3E294F" w:rsidP="00B22DB8">
            <w:pPr>
              <w:pStyle w:val="Tabulka"/>
              <w:rPr>
                <w:rFonts w:cs="Calibri"/>
                <w:lang w:val="cs-CZ" w:eastAsia="cs-CZ"/>
              </w:rPr>
            </w:pPr>
            <w:r w:rsidRPr="008B53A9">
              <w:rPr>
                <w:rFonts w:cs="Calibri"/>
                <w:lang w:val="cs-CZ" w:eastAsia="cs-CZ"/>
              </w:rPr>
              <w:t>C</w:t>
            </w:r>
            <w:r w:rsidR="001F250D" w:rsidRPr="008B53A9">
              <w:rPr>
                <w:rFonts w:cs="Calibri"/>
                <w:lang w:val="cs-CZ" w:eastAsia="cs-CZ"/>
              </w:rPr>
              <w:t>/EFRR/0</w:t>
            </w:r>
            <w:r w:rsidR="002B3F69" w:rsidRPr="008B53A9">
              <w:rPr>
                <w:rFonts w:cs="Calibri"/>
                <w:lang w:val="cs-CZ" w:eastAsia="cs-CZ"/>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EA2DBD" w:rsidP="00B22DB8">
            <w:pPr>
              <w:pStyle w:val="Tabulka"/>
              <w:jc w:val="left"/>
              <w:rPr>
                <w:rFonts w:cs="Calibri"/>
                <w:lang w:val="cs-CZ" w:eastAsia="cs-CZ"/>
              </w:rPr>
            </w:pPr>
            <w:r w:rsidRPr="008B53A9">
              <w:rPr>
                <w:rFonts w:cs="Calibri"/>
                <w:lang w:val="cs-CZ" w:eastAsia="cs-CZ"/>
              </w:rPr>
              <w:t>Soukromé investice v projektech s veřejnou podporou (granty)</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EUR</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4E3102" w:rsidP="00B22DB8">
            <w:pPr>
              <w:pStyle w:val="Tabulka"/>
              <w:rPr>
                <w:rFonts w:cs="Calibri"/>
                <w:lang w:val="cs-CZ" w:eastAsia="cs-CZ"/>
              </w:rPr>
            </w:pPr>
            <w:r w:rsidRPr="008B53A9">
              <w:rPr>
                <w:rFonts w:cs="Calibri"/>
                <w:lang w:val="cs-CZ" w:eastAsia="cs-CZ"/>
              </w:rPr>
              <w:t>388</w:t>
            </w:r>
            <w:r w:rsidR="00BC5A68" w:rsidRPr="008B53A9">
              <w:rPr>
                <w:rFonts w:cs="Calibri"/>
                <w:lang w:val="cs-CZ" w:eastAsia="cs-CZ"/>
              </w:rPr>
              <w:t> 000 000</w:t>
            </w:r>
          </w:p>
        </w:tc>
        <w:tc>
          <w:tcPr>
            <w:tcW w:w="715" w:type="dxa"/>
            <w:tcBorders>
              <w:top w:val="single" w:sz="4" w:space="0" w:color="000000"/>
              <w:left w:val="single" w:sz="4" w:space="0" w:color="000000"/>
              <w:bottom w:val="single" w:sz="4" w:space="0" w:color="000000"/>
              <w:right w:val="single" w:sz="4" w:space="0" w:color="000000"/>
            </w:tcBorders>
            <w:vAlign w:val="center"/>
          </w:tcPr>
          <w:p w:rsidR="002B3F69" w:rsidRPr="008B53A9" w:rsidRDefault="00EC50F2" w:rsidP="00B22DB8">
            <w:pPr>
              <w:pStyle w:val="Tabulka"/>
              <w:rPr>
                <w:rFonts w:cs="Calibri"/>
                <w:lang w:val="cs-CZ" w:eastAsia="cs-CZ"/>
              </w:rPr>
            </w:pPr>
            <w:r w:rsidRPr="008B53A9">
              <w:rPr>
                <w:rFonts w:cs="Calibri"/>
                <w:lang w:val="cs-CZ" w:eastAsia="cs-CZ"/>
              </w:rPr>
              <w:t>ŘO</w:t>
            </w:r>
          </w:p>
        </w:tc>
        <w:tc>
          <w:tcPr>
            <w:tcW w:w="0" w:type="auto"/>
            <w:tcBorders>
              <w:top w:val="single" w:sz="4" w:space="0" w:color="000000"/>
              <w:left w:val="single" w:sz="4" w:space="0" w:color="000000"/>
              <w:bottom w:val="single" w:sz="4" w:space="0" w:color="000000"/>
              <w:right w:val="single" w:sz="4" w:space="0" w:color="000000"/>
            </w:tcBorders>
            <w:vAlign w:val="center"/>
          </w:tcPr>
          <w:p w:rsidR="002B3F69" w:rsidRPr="008B53A9" w:rsidRDefault="002B3F69" w:rsidP="00B22DB8">
            <w:pPr>
              <w:pStyle w:val="Tabulka"/>
              <w:rPr>
                <w:rFonts w:cs="Calibri"/>
                <w:lang w:val="cs-CZ" w:eastAsia="cs-CZ"/>
              </w:rPr>
            </w:pPr>
            <w:r w:rsidRPr="008B53A9">
              <w:rPr>
                <w:rFonts w:cs="Calibri"/>
                <w:lang w:val="cs-CZ" w:eastAsia="cs-CZ"/>
              </w:rPr>
              <w:t>průběžně</w:t>
            </w:r>
          </w:p>
        </w:tc>
      </w:tr>
      <w:tr w:rsidR="001B36DC" w:rsidRPr="008B53A9">
        <w:trPr>
          <w:trHeight w:val="510"/>
        </w:trPr>
        <w:tc>
          <w:tcPr>
            <w:tcW w:w="0" w:type="auto"/>
            <w:tcBorders>
              <w:top w:val="single" w:sz="4" w:space="0" w:color="000000"/>
              <w:left w:val="single" w:sz="4" w:space="0" w:color="000000"/>
              <w:bottom w:val="single" w:sz="4" w:space="0" w:color="000000"/>
              <w:right w:val="single" w:sz="4" w:space="0" w:color="000000"/>
            </w:tcBorders>
            <w:vAlign w:val="center"/>
          </w:tcPr>
          <w:p w:rsidR="001B36DC" w:rsidRPr="008B53A9" w:rsidRDefault="001B36DC" w:rsidP="008F41A1">
            <w:pPr>
              <w:pStyle w:val="Tabulka"/>
              <w:keepLines/>
              <w:rPr>
                <w:rFonts w:cs="Calibri"/>
                <w:lang w:val="cs-CZ" w:eastAsia="cs-CZ"/>
              </w:rPr>
            </w:pPr>
            <w:r w:rsidRPr="008B53A9">
              <w:rPr>
                <w:rFonts w:cs="Calibri"/>
                <w:lang w:val="cs-CZ" w:eastAsia="cs-CZ"/>
              </w:rPr>
              <w:t>C</w:t>
            </w:r>
            <w:r w:rsidR="001F250D" w:rsidRPr="008B53A9">
              <w:rPr>
                <w:rFonts w:cs="Calibri"/>
                <w:lang w:val="cs-CZ" w:eastAsia="cs-CZ"/>
              </w:rPr>
              <w:t>/EFRR/0</w:t>
            </w:r>
            <w:r w:rsidRPr="008B53A9">
              <w:rPr>
                <w:rFonts w:cs="Calibri"/>
                <w:lang w:val="cs-CZ" w:eastAsia="cs-CZ"/>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1B36DC" w:rsidRPr="008B53A9" w:rsidRDefault="001B36DC" w:rsidP="008F41A1">
            <w:pPr>
              <w:pStyle w:val="Tabulka"/>
              <w:keepLines/>
              <w:jc w:val="left"/>
              <w:rPr>
                <w:rFonts w:cs="Calibri"/>
                <w:lang w:val="cs-CZ" w:eastAsia="cs-CZ"/>
              </w:rPr>
            </w:pPr>
            <w:r w:rsidRPr="008B53A9">
              <w:rPr>
                <w:rFonts w:cs="Calibri"/>
                <w:lang w:val="cs-CZ" w:eastAsia="cs-CZ"/>
              </w:rPr>
              <w:t>Zvýšení zaměstnanosti v podporovaných podnicích</w:t>
            </w:r>
          </w:p>
        </w:tc>
        <w:tc>
          <w:tcPr>
            <w:tcW w:w="0" w:type="auto"/>
            <w:tcBorders>
              <w:top w:val="single" w:sz="4" w:space="0" w:color="000000"/>
              <w:left w:val="single" w:sz="4" w:space="0" w:color="000000"/>
              <w:bottom w:val="single" w:sz="4" w:space="0" w:color="000000"/>
              <w:right w:val="single" w:sz="4" w:space="0" w:color="000000"/>
            </w:tcBorders>
            <w:vAlign w:val="center"/>
          </w:tcPr>
          <w:p w:rsidR="001B36DC" w:rsidRPr="008B53A9" w:rsidRDefault="001B36DC" w:rsidP="008F41A1">
            <w:pPr>
              <w:pStyle w:val="Tabulka"/>
              <w:keepLines/>
              <w:rPr>
                <w:rFonts w:cs="Calibri"/>
                <w:vertAlign w:val="superscript"/>
                <w:lang w:val="cs-CZ" w:eastAsia="cs-CZ"/>
              </w:rPr>
            </w:pPr>
            <w:r w:rsidRPr="008B53A9">
              <w:rPr>
                <w:rFonts w:cs="Calibri"/>
                <w:lang w:val="cs-CZ" w:eastAsia="cs-CZ"/>
              </w:rPr>
              <w:t>FTE</w:t>
            </w:r>
          </w:p>
        </w:tc>
        <w:tc>
          <w:tcPr>
            <w:tcW w:w="0" w:type="auto"/>
            <w:tcBorders>
              <w:top w:val="single" w:sz="4" w:space="0" w:color="000000"/>
              <w:left w:val="single" w:sz="4" w:space="0" w:color="000000"/>
              <w:bottom w:val="single" w:sz="4" w:space="0" w:color="000000"/>
              <w:right w:val="single" w:sz="4" w:space="0" w:color="000000"/>
            </w:tcBorders>
            <w:vAlign w:val="center"/>
          </w:tcPr>
          <w:p w:rsidR="001B36DC" w:rsidRPr="008B53A9" w:rsidRDefault="001B36DC" w:rsidP="00B22DB8">
            <w:pPr>
              <w:pStyle w:val="Tabulka"/>
              <w:rPr>
                <w:rFonts w:cs="Calibri"/>
                <w:lang w:val="cs-CZ" w:eastAsia="cs-CZ"/>
              </w:rPr>
            </w:pPr>
            <w:r w:rsidRPr="008B53A9">
              <w:rPr>
                <w:rFonts w:cs="Calibri"/>
                <w:lang w:val="cs-CZ" w:eastAsia="cs-CZ"/>
              </w:rPr>
              <w:t>EFRR</w:t>
            </w:r>
          </w:p>
        </w:tc>
        <w:tc>
          <w:tcPr>
            <w:tcW w:w="1073" w:type="dxa"/>
            <w:tcBorders>
              <w:top w:val="single" w:sz="4" w:space="0" w:color="000000"/>
              <w:left w:val="single" w:sz="4" w:space="0" w:color="000000"/>
              <w:bottom w:val="single" w:sz="4" w:space="0" w:color="000000"/>
              <w:right w:val="single" w:sz="4" w:space="0" w:color="000000"/>
            </w:tcBorders>
            <w:vAlign w:val="center"/>
          </w:tcPr>
          <w:p w:rsidR="001B36DC" w:rsidRPr="008B53A9" w:rsidRDefault="001B36DC" w:rsidP="00B22DB8">
            <w:pPr>
              <w:pStyle w:val="Tabulka"/>
              <w:rPr>
                <w:rFonts w:cs="Calibri"/>
                <w:lang w:val="cs-CZ" w:eastAsia="cs-CZ"/>
              </w:rPr>
            </w:pPr>
            <w:r w:rsidRPr="008B53A9">
              <w:rPr>
                <w:rFonts w:cs="Calibri"/>
                <w:lang w:val="cs-CZ" w:eastAsia="cs-CZ"/>
              </w:rPr>
              <w:t>Méně rozvinuté regiony</w:t>
            </w:r>
          </w:p>
        </w:tc>
        <w:tc>
          <w:tcPr>
            <w:tcW w:w="1418" w:type="dxa"/>
            <w:tcBorders>
              <w:top w:val="single" w:sz="4" w:space="0" w:color="000000"/>
              <w:left w:val="single" w:sz="4" w:space="0" w:color="000000"/>
              <w:bottom w:val="single" w:sz="4" w:space="0" w:color="000000"/>
              <w:right w:val="single" w:sz="4" w:space="0" w:color="000000"/>
            </w:tcBorders>
            <w:vAlign w:val="center"/>
          </w:tcPr>
          <w:p w:rsidR="001B36DC" w:rsidRPr="008B53A9" w:rsidRDefault="004E3102" w:rsidP="00B22DB8">
            <w:pPr>
              <w:pStyle w:val="Tabulka"/>
              <w:rPr>
                <w:rFonts w:cs="Calibri"/>
                <w:lang w:val="cs-CZ" w:eastAsia="cs-CZ"/>
              </w:rPr>
            </w:pPr>
            <w:r w:rsidRPr="008B53A9">
              <w:rPr>
                <w:rFonts w:cs="Calibri"/>
                <w:lang w:val="cs-CZ" w:eastAsia="cs-CZ"/>
              </w:rPr>
              <w:t>6 500</w:t>
            </w:r>
          </w:p>
        </w:tc>
        <w:tc>
          <w:tcPr>
            <w:tcW w:w="715" w:type="dxa"/>
            <w:tcBorders>
              <w:top w:val="single" w:sz="4" w:space="0" w:color="000000"/>
              <w:left w:val="single" w:sz="4" w:space="0" w:color="000000"/>
              <w:bottom w:val="single" w:sz="4" w:space="0" w:color="000000"/>
              <w:right w:val="single" w:sz="4" w:space="0" w:color="000000"/>
            </w:tcBorders>
            <w:vAlign w:val="center"/>
          </w:tcPr>
          <w:p w:rsidR="001B36DC" w:rsidRPr="008B53A9" w:rsidRDefault="001B36DC" w:rsidP="008F41A1">
            <w:pPr>
              <w:pStyle w:val="Tabulka"/>
              <w:keepLines/>
              <w:rPr>
                <w:rFonts w:cs="Calibri"/>
                <w:lang w:val="cs-CZ" w:eastAsia="cs-CZ"/>
              </w:rPr>
            </w:pPr>
            <w:r w:rsidRPr="008B53A9">
              <w:rPr>
                <w:rFonts w:cs="Calibri"/>
                <w:lang w:val="cs-CZ" w:eastAsia="cs-CZ"/>
              </w:rPr>
              <w:t>Ž/P</w:t>
            </w:r>
          </w:p>
        </w:tc>
        <w:tc>
          <w:tcPr>
            <w:tcW w:w="0" w:type="auto"/>
            <w:tcBorders>
              <w:top w:val="single" w:sz="4" w:space="0" w:color="000000"/>
              <w:left w:val="single" w:sz="4" w:space="0" w:color="000000"/>
              <w:bottom w:val="single" w:sz="4" w:space="0" w:color="000000"/>
              <w:right w:val="single" w:sz="4" w:space="0" w:color="000000"/>
            </w:tcBorders>
            <w:vAlign w:val="center"/>
          </w:tcPr>
          <w:p w:rsidR="001B36DC" w:rsidRPr="008B53A9" w:rsidRDefault="001B36DC" w:rsidP="008F41A1">
            <w:pPr>
              <w:pStyle w:val="Tabulka"/>
              <w:keepLines/>
              <w:rPr>
                <w:rFonts w:cs="Calibri"/>
                <w:lang w:val="cs-CZ" w:eastAsia="cs-CZ"/>
              </w:rPr>
            </w:pPr>
            <w:r w:rsidRPr="008B53A9">
              <w:rPr>
                <w:rFonts w:cs="Calibri"/>
                <w:lang w:val="cs-CZ" w:eastAsia="cs-CZ"/>
              </w:rPr>
              <w:t>průběžně</w:t>
            </w:r>
          </w:p>
        </w:tc>
      </w:tr>
    </w:tbl>
    <w:p w:rsidR="002E1C78" w:rsidRPr="008B53A9" w:rsidRDefault="00AC6E26" w:rsidP="005F43DF">
      <w:pPr>
        <w:pStyle w:val="kapitola2A0"/>
        <w:numPr>
          <w:ilvl w:val="2"/>
          <w:numId w:val="75"/>
        </w:numPr>
      </w:pPr>
      <w:bookmarkStart w:id="97" w:name="_Toc391539660"/>
      <w:r w:rsidRPr="008B53A9">
        <w:t>Sociální inovace, nadnárodní spolupráce a přínos k tematickým cílům 1 až 7</w:t>
      </w:r>
      <w:bookmarkEnd w:id="97"/>
      <w:r w:rsidR="002E1C78" w:rsidRPr="008B53A9">
        <w:t xml:space="preserve"> </w:t>
      </w:r>
    </w:p>
    <w:p w:rsidR="004126CC" w:rsidRPr="008B53A9" w:rsidRDefault="006B6307" w:rsidP="008A5FCE">
      <w:pPr>
        <w:pStyle w:val="Standardntext"/>
        <w:sectPr w:rsidR="004126CC" w:rsidRPr="008B53A9" w:rsidSect="004126CC">
          <w:headerReference w:type="default" r:id="rId33"/>
          <w:footerReference w:type="default" r:id="rId34"/>
          <w:pgSz w:w="11906" w:h="16838"/>
          <w:pgMar w:top="1418" w:right="1276" w:bottom="1276" w:left="1418" w:header="709" w:footer="709" w:gutter="0"/>
          <w:cols w:space="708"/>
          <w:docGrid w:linePitch="272"/>
        </w:sectPr>
      </w:pPr>
      <w:r w:rsidRPr="008B53A9">
        <w:t>Není relevantní pro OP PIK.</w:t>
      </w:r>
    </w:p>
    <w:p w:rsidR="002E1C78" w:rsidRPr="008B53A9" w:rsidRDefault="00AC6E26" w:rsidP="005F43DF">
      <w:pPr>
        <w:pStyle w:val="kapitola2A0"/>
        <w:numPr>
          <w:ilvl w:val="2"/>
          <w:numId w:val="75"/>
        </w:numPr>
      </w:pPr>
      <w:bookmarkStart w:id="98" w:name="_Toc391539661"/>
      <w:r w:rsidRPr="008B53A9">
        <w:lastRenderedPageBreak/>
        <w:t>Výkonnostní rámec</w:t>
      </w:r>
      <w:bookmarkEnd w:id="98"/>
    </w:p>
    <w:p w:rsidR="002E1C78" w:rsidRPr="008B53A9" w:rsidRDefault="002E1C78" w:rsidP="006F258E">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6</w:t>
      </w:r>
      <w:r w:rsidR="00C3289B" w:rsidRPr="008B53A9">
        <w:rPr>
          <w:noProof/>
        </w:rPr>
        <w:fldChar w:fldCharType="end"/>
      </w:r>
      <w:r w:rsidRPr="008B53A9">
        <w:t xml:space="preserve">: </w:t>
      </w:r>
      <w:r w:rsidR="00AC6E26" w:rsidRPr="008B53A9">
        <w:t>Výkonnostní rámec prioritní osy</w:t>
      </w:r>
      <w:r w:rsidRPr="008B53A9">
        <w:t xml:space="preserve"> </w:t>
      </w:r>
    </w:p>
    <w:tbl>
      <w:tblPr>
        <w:tblW w:w="0" w:type="auto"/>
        <w:tblInd w:w="-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933"/>
        <w:gridCol w:w="1577"/>
        <w:gridCol w:w="1154"/>
        <w:gridCol w:w="1428"/>
        <w:gridCol w:w="1408"/>
        <w:gridCol w:w="767"/>
        <w:gridCol w:w="1145"/>
        <w:gridCol w:w="1249"/>
        <w:gridCol w:w="1347"/>
        <w:gridCol w:w="700"/>
        <w:gridCol w:w="2601"/>
      </w:tblGrid>
      <w:tr w:rsidR="00E84B36" w:rsidRPr="008B53A9">
        <w:tc>
          <w:tcPr>
            <w:tcW w:w="0" w:type="auto"/>
            <w:shd w:val="clear" w:color="auto" w:fill="B8CCE4"/>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Prioritní osa</w:t>
            </w:r>
          </w:p>
        </w:tc>
        <w:tc>
          <w:tcPr>
            <w:tcW w:w="1684" w:type="dxa"/>
            <w:shd w:val="clear" w:color="auto" w:fill="B8CCE4"/>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Typ ukazatele</w:t>
            </w:r>
          </w:p>
          <w:p w:rsidR="00AE32DE" w:rsidRPr="008B53A9" w:rsidRDefault="00AE32DE" w:rsidP="00E84B36">
            <w:pPr>
              <w:pStyle w:val="Tabulka"/>
              <w:keepNext/>
              <w:keepLines/>
              <w:rPr>
                <w:rFonts w:cs="Calibri"/>
                <w:b/>
                <w:lang w:val="cs-CZ" w:eastAsia="cs-CZ"/>
              </w:rPr>
            </w:pPr>
            <w:r w:rsidRPr="008B53A9">
              <w:rPr>
                <w:rFonts w:cs="Calibri"/>
                <w:b/>
                <w:lang w:val="cs-CZ" w:eastAsia="cs-CZ"/>
              </w:rPr>
              <w:t>(klíčový krok provádění, finanční výstup nebo popřípadě ukazatel výsledků)</w:t>
            </w:r>
          </w:p>
        </w:tc>
        <w:tc>
          <w:tcPr>
            <w:tcW w:w="554" w:type="dxa"/>
            <w:shd w:val="clear" w:color="auto" w:fill="B8CCE4"/>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ID</w:t>
            </w:r>
          </w:p>
        </w:tc>
        <w:tc>
          <w:tcPr>
            <w:tcW w:w="1429" w:type="dxa"/>
            <w:shd w:val="clear" w:color="auto" w:fill="B8CCE4"/>
            <w:tcMar>
              <w:top w:w="0" w:type="dxa"/>
              <w:left w:w="108" w:type="dxa"/>
              <w:bottom w:w="0" w:type="dxa"/>
              <w:right w:w="108" w:type="dxa"/>
            </w:tcMar>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Ukazatel nebo klíčový krok provádění</w:t>
            </w:r>
          </w:p>
        </w:tc>
        <w:tc>
          <w:tcPr>
            <w:tcW w:w="1418" w:type="dxa"/>
            <w:shd w:val="clear" w:color="auto" w:fill="B8CCE4"/>
            <w:tcMar>
              <w:top w:w="0" w:type="dxa"/>
              <w:left w:w="108" w:type="dxa"/>
              <w:bottom w:w="0" w:type="dxa"/>
              <w:right w:w="108" w:type="dxa"/>
            </w:tcMar>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Měrná jednotka (použije-li se)</w:t>
            </w:r>
          </w:p>
        </w:tc>
        <w:tc>
          <w:tcPr>
            <w:tcW w:w="767" w:type="dxa"/>
            <w:shd w:val="clear" w:color="auto" w:fill="B8CCE4"/>
            <w:tcMar>
              <w:top w:w="0" w:type="dxa"/>
              <w:left w:w="108" w:type="dxa"/>
              <w:bottom w:w="0" w:type="dxa"/>
              <w:right w:w="108" w:type="dxa"/>
            </w:tcMar>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Fond</w:t>
            </w:r>
          </w:p>
        </w:tc>
        <w:tc>
          <w:tcPr>
            <w:tcW w:w="1145" w:type="dxa"/>
            <w:shd w:val="clear" w:color="auto" w:fill="B8CCE4"/>
            <w:tcMar>
              <w:top w:w="0" w:type="dxa"/>
              <w:left w:w="108" w:type="dxa"/>
              <w:bottom w:w="0" w:type="dxa"/>
              <w:right w:w="108" w:type="dxa"/>
            </w:tcMar>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Kategorie regionů</w:t>
            </w:r>
          </w:p>
        </w:tc>
        <w:tc>
          <w:tcPr>
            <w:tcW w:w="1348" w:type="dxa"/>
            <w:shd w:val="clear" w:color="auto" w:fill="B8CCE4"/>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Milník pro rok 2018</w:t>
            </w:r>
          </w:p>
        </w:tc>
        <w:tc>
          <w:tcPr>
            <w:tcW w:w="1418" w:type="dxa"/>
            <w:shd w:val="clear" w:color="auto" w:fill="B8CCE4"/>
            <w:tcMar>
              <w:top w:w="0" w:type="dxa"/>
              <w:left w:w="108" w:type="dxa"/>
              <w:bottom w:w="0" w:type="dxa"/>
              <w:right w:w="108" w:type="dxa"/>
            </w:tcMar>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Konečný cíl (2023)</w:t>
            </w:r>
          </w:p>
        </w:tc>
        <w:tc>
          <w:tcPr>
            <w:tcW w:w="708" w:type="dxa"/>
            <w:shd w:val="clear" w:color="auto" w:fill="B8CCE4"/>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Zdroj dat</w:t>
            </w:r>
          </w:p>
        </w:tc>
        <w:tc>
          <w:tcPr>
            <w:tcW w:w="2861" w:type="dxa"/>
            <w:shd w:val="clear" w:color="auto" w:fill="B8CCE4"/>
            <w:vAlign w:val="center"/>
          </w:tcPr>
          <w:p w:rsidR="00AE32DE" w:rsidRPr="008B53A9" w:rsidRDefault="00AE32DE" w:rsidP="00E84B36">
            <w:pPr>
              <w:pStyle w:val="Tabulka"/>
              <w:keepNext/>
              <w:keepLines/>
              <w:rPr>
                <w:rFonts w:cs="Calibri"/>
                <w:b/>
                <w:lang w:val="cs-CZ" w:eastAsia="cs-CZ"/>
              </w:rPr>
            </w:pPr>
            <w:r w:rsidRPr="008B53A9">
              <w:rPr>
                <w:rFonts w:cs="Calibri"/>
                <w:b/>
                <w:lang w:val="cs-CZ" w:eastAsia="cs-CZ"/>
              </w:rPr>
              <w:t>Popřípadě vysvětlení relevantnosti ukazatele</w:t>
            </w:r>
          </w:p>
        </w:tc>
      </w:tr>
      <w:tr w:rsidR="00E84B36" w:rsidRPr="008B53A9">
        <w:trPr>
          <w:trHeight w:val="938"/>
        </w:trPr>
        <w:tc>
          <w:tcPr>
            <w:tcW w:w="0" w:type="auto"/>
            <w:vAlign w:val="center"/>
          </w:tcPr>
          <w:p w:rsidR="00AE32DE" w:rsidRPr="008B53A9" w:rsidRDefault="00AE32DE" w:rsidP="00E84B36">
            <w:pPr>
              <w:pStyle w:val="Tabulka"/>
              <w:rPr>
                <w:rFonts w:cs="Calibri"/>
                <w:lang w:val="cs-CZ" w:eastAsia="cs-CZ"/>
              </w:rPr>
            </w:pPr>
            <w:r w:rsidRPr="008B53A9">
              <w:rPr>
                <w:rFonts w:cs="Calibri"/>
                <w:lang w:val="cs-CZ" w:eastAsia="cs-CZ"/>
              </w:rPr>
              <w:t>PO 4</w:t>
            </w:r>
          </w:p>
        </w:tc>
        <w:tc>
          <w:tcPr>
            <w:tcW w:w="1684" w:type="dxa"/>
            <w:vAlign w:val="center"/>
          </w:tcPr>
          <w:p w:rsidR="00AE32DE" w:rsidRPr="008B53A9" w:rsidRDefault="00AE32DE" w:rsidP="00E84B36">
            <w:pPr>
              <w:pStyle w:val="Tabulka"/>
              <w:rPr>
                <w:rFonts w:cs="Calibri"/>
                <w:lang w:val="cs-CZ" w:eastAsia="cs-CZ"/>
              </w:rPr>
            </w:pPr>
            <w:r w:rsidRPr="008B53A9">
              <w:rPr>
                <w:rFonts w:cs="Calibri"/>
                <w:lang w:val="cs-CZ" w:eastAsia="cs-CZ"/>
              </w:rPr>
              <w:t>finanční</w:t>
            </w:r>
          </w:p>
        </w:tc>
        <w:tc>
          <w:tcPr>
            <w:tcW w:w="554" w:type="dxa"/>
            <w:vAlign w:val="center"/>
          </w:tcPr>
          <w:p w:rsidR="00AE32DE" w:rsidRPr="008B53A9" w:rsidRDefault="005823A6" w:rsidP="00E84B36">
            <w:pPr>
              <w:pStyle w:val="Tabulka"/>
              <w:rPr>
                <w:rFonts w:cs="Calibri"/>
                <w:lang w:val="cs-CZ" w:eastAsia="cs-CZ"/>
              </w:rPr>
            </w:pPr>
            <w:r w:rsidRPr="008B53A9">
              <w:rPr>
                <w:rFonts w:cs="Calibri"/>
                <w:lang w:val="cs-CZ" w:eastAsia="cs-CZ"/>
              </w:rPr>
              <w:t>N/A</w:t>
            </w:r>
          </w:p>
        </w:tc>
        <w:tc>
          <w:tcPr>
            <w:tcW w:w="1429" w:type="dxa"/>
            <w:shd w:val="clear" w:color="auto" w:fill="auto"/>
            <w:tcMar>
              <w:top w:w="0" w:type="dxa"/>
              <w:left w:w="108" w:type="dxa"/>
              <w:bottom w:w="0" w:type="dxa"/>
              <w:right w:w="108" w:type="dxa"/>
            </w:tcMar>
            <w:vAlign w:val="center"/>
          </w:tcPr>
          <w:p w:rsidR="00AE32DE" w:rsidRPr="008B53A9" w:rsidRDefault="00336829" w:rsidP="00E84B36">
            <w:pPr>
              <w:pStyle w:val="Tabulka"/>
              <w:rPr>
                <w:rFonts w:cs="Calibri"/>
                <w:lang w:val="cs-CZ" w:eastAsia="cs-CZ"/>
              </w:rPr>
            </w:pPr>
            <w:r w:rsidRPr="008B53A9">
              <w:rPr>
                <w:rFonts w:cs="Calibri"/>
                <w:lang w:val="cs-CZ" w:eastAsia="cs-CZ"/>
              </w:rPr>
              <w:t>Certifikované finanční prostředky</w:t>
            </w:r>
          </w:p>
        </w:tc>
        <w:tc>
          <w:tcPr>
            <w:tcW w:w="1418" w:type="dxa"/>
            <w:shd w:val="clear" w:color="auto" w:fill="auto"/>
            <w:tcMar>
              <w:top w:w="0" w:type="dxa"/>
              <w:left w:w="108" w:type="dxa"/>
              <w:bottom w:w="0" w:type="dxa"/>
              <w:right w:w="108" w:type="dxa"/>
            </w:tcMar>
            <w:vAlign w:val="center"/>
          </w:tcPr>
          <w:p w:rsidR="00AE32DE" w:rsidRPr="008B53A9" w:rsidRDefault="00AE32DE" w:rsidP="00E84B36">
            <w:pPr>
              <w:pStyle w:val="Tabulka"/>
              <w:rPr>
                <w:rFonts w:cs="Calibri"/>
                <w:lang w:val="cs-CZ" w:eastAsia="cs-CZ"/>
              </w:rPr>
            </w:pPr>
            <w:r w:rsidRPr="008B53A9">
              <w:rPr>
                <w:rFonts w:cs="Calibri"/>
                <w:lang w:val="cs-CZ" w:eastAsia="cs-CZ"/>
              </w:rPr>
              <w:t>EUR</w:t>
            </w:r>
          </w:p>
        </w:tc>
        <w:tc>
          <w:tcPr>
            <w:tcW w:w="767" w:type="dxa"/>
            <w:shd w:val="clear" w:color="auto" w:fill="auto"/>
            <w:tcMar>
              <w:top w:w="0" w:type="dxa"/>
              <w:left w:w="108" w:type="dxa"/>
              <w:bottom w:w="0" w:type="dxa"/>
              <w:right w:w="108" w:type="dxa"/>
            </w:tcMar>
            <w:vAlign w:val="center"/>
          </w:tcPr>
          <w:p w:rsidR="00AE32DE" w:rsidRPr="008B53A9" w:rsidRDefault="00AE32DE" w:rsidP="00E84B36">
            <w:pPr>
              <w:pStyle w:val="Tabulka"/>
              <w:rPr>
                <w:rFonts w:cs="Calibri"/>
                <w:lang w:val="cs-CZ" w:eastAsia="cs-CZ"/>
              </w:rPr>
            </w:pPr>
            <w:r w:rsidRPr="008B53A9">
              <w:rPr>
                <w:rFonts w:cs="Calibri"/>
                <w:lang w:val="cs-CZ" w:eastAsia="cs-CZ"/>
              </w:rPr>
              <w:t>EFRR</w:t>
            </w:r>
          </w:p>
        </w:tc>
        <w:tc>
          <w:tcPr>
            <w:tcW w:w="1145" w:type="dxa"/>
            <w:shd w:val="clear" w:color="auto" w:fill="auto"/>
            <w:tcMar>
              <w:top w:w="0" w:type="dxa"/>
              <w:left w:w="108" w:type="dxa"/>
              <w:bottom w:w="0" w:type="dxa"/>
              <w:right w:w="108" w:type="dxa"/>
            </w:tcMar>
            <w:vAlign w:val="center"/>
          </w:tcPr>
          <w:p w:rsidR="00AE32DE" w:rsidRPr="008B53A9" w:rsidRDefault="00AE32DE" w:rsidP="00E84B36">
            <w:pPr>
              <w:pStyle w:val="Tabulka"/>
              <w:rPr>
                <w:rFonts w:cs="Calibri"/>
                <w:lang w:val="cs-CZ" w:eastAsia="cs-CZ"/>
              </w:rPr>
            </w:pPr>
            <w:r w:rsidRPr="008B53A9">
              <w:rPr>
                <w:rFonts w:cs="Calibri"/>
                <w:lang w:val="cs-CZ" w:eastAsia="cs-CZ"/>
              </w:rPr>
              <w:t>Méně rozvinuté regiony</w:t>
            </w:r>
          </w:p>
        </w:tc>
        <w:tc>
          <w:tcPr>
            <w:tcW w:w="1348" w:type="dxa"/>
            <w:vAlign w:val="center"/>
          </w:tcPr>
          <w:p w:rsidR="00AE32DE" w:rsidRPr="008B53A9" w:rsidRDefault="007D7CAF" w:rsidP="00E84B36">
            <w:pPr>
              <w:pStyle w:val="Tabulka"/>
              <w:rPr>
                <w:rFonts w:cs="Calibri"/>
                <w:lang w:val="cs-CZ" w:eastAsia="cs-CZ"/>
              </w:rPr>
            </w:pPr>
            <w:r w:rsidRPr="008B53A9">
              <w:rPr>
                <w:rFonts w:cs="Calibri"/>
                <w:lang w:val="cs-CZ" w:eastAsia="cs-CZ"/>
              </w:rPr>
              <w:t>166 000 000</w:t>
            </w:r>
          </w:p>
        </w:tc>
        <w:tc>
          <w:tcPr>
            <w:tcW w:w="1418" w:type="dxa"/>
            <w:shd w:val="clear" w:color="auto" w:fill="auto"/>
            <w:tcMar>
              <w:top w:w="0" w:type="dxa"/>
              <w:left w:w="108" w:type="dxa"/>
              <w:bottom w:w="0" w:type="dxa"/>
              <w:right w:w="108" w:type="dxa"/>
            </w:tcMar>
            <w:vAlign w:val="center"/>
          </w:tcPr>
          <w:p w:rsidR="00AE32DE" w:rsidRPr="008B53A9" w:rsidRDefault="009F5D55" w:rsidP="00E84B36">
            <w:pPr>
              <w:pStyle w:val="Tabulka"/>
              <w:rPr>
                <w:rFonts w:cs="Calibri"/>
                <w:lang w:val="cs-CZ" w:eastAsia="cs-CZ"/>
              </w:rPr>
            </w:pPr>
            <w:r w:rsidRPr="008B53A9">
              <w:rPr>
                <w:rFonts w:cs="Calibri"/>
                <w:lang w:val="cs-CZ" w:eastAsia="cs-CZ"/>
              </w:rPr>
              <w:t>743 657 589</w:t>
            </w:r>
          </w:p>
        </w:tc>
        <w:tc>
          <w:tcPr>
            <w:tcW w:w="708" w:type="dxa"/>
            <w:vAlign w:val="center"/>
          </w:tcPr>
          <w:p w:rsidR="00AE32DE" w:rsidRPr="008B53A9" w:rsidRDefault="00EC50F2" w:rsidP="00E84B36">
            <w:pPr>
              <w:pStyle w:val="Tabulka"/>
              <w:rPr>
                <w:rFonts w:cs="Calibri"/>
                <w:lang w:val="cs-CZ" w:eastAsia="cs-CZ"/>
              </w:rPr>
            </w:pPr>
            <w:r w:rsidRPr="008B53A9">
              <w:rPr>
                <w:rFonts w:cs="Calibri"/>
                <w:lang w:val="cs-CZ" w:eastAsia="cs-CZ"/>
              </w:rPr>
              <w:t>ŘO</w:t>
            </w:r>
          </w:p>
        </w:tc>
        <w:tc>
          <w:tcPr>
            <w:tcW w:w="2861" w:type="dxa"/>
            <w:vAlign w:val="center"/>
          </w:tcPr>
          <w:p w:rsidR="00AE32DE" w:rsidRPr="008B53A9" w:rsidRDefault="00336829" w:rsidP="00E84B36">
            <w:pPr>
              <w:pStyle w:val="Tabulka"/>
              <w:rPr>
                <w:rFonts w:cs="Calibri"/>
                <w:lang w:val="cs-CZ" w:eastAsia="cs-CZ"/>
              </w:rPr>
            </w:pPr>
            <w:r w:rsidRPr="008B53A9">
              <w:rPr>
                <w:rFonts w:cs="Calibri"/>
                <w:lang w:val="cs-CZ" w:eastAsia="cs-CZ"/>
              </w:rPr>
              <w:t>Objem celkových způsobilých výdajů zaslaných do účetního systému certifikačního orgánu a certifikovaných</w:t>
            </w:r>
            <w:r w:rsidR="00C70BA9" w:rsidRPr="008B53A9">
              <w:rPr>
                <w:rFonts w:cs="Calibri"/>
                <w:lang w:val="cs-CZ" w:eastAsia="cs-CZ"/>
              </w:rPr>
              <w:t xml:space="preserve"> certifikačním orgánem</w:t>
            </w:r>
            <w:r w:rsidRPr="008B53A9">
              <w:rPr>
                <w:rFonts w:cs="Calibri"/>
                <w:lang w:val="cs-CZ" w:eastAsia="cs-CZ"/>
              </w:rPr>
              <w:t>.</w:t>
            </w:r>
          </w:p>
        </w:tc>
      </w:tr>
      <w:tr w:rsidR="00E84B36" w:rsidRPr="008B53A9">
        <w:tc>
          <w:tcPr>
            <w:tcW w:w="0" w:type="auto"/>
            <w:vAlign w:val="center"/>
          </w:tcPr>
          <w:p w:rsidR="00AE32DE" w:rsidRPr="008B53A9" w:rsidRDefault="00AE32DE" w:rsidP="00E84B36">
            <w:pPr>
              <w:pStyle w:val="Tabulka"/>
              <w:rPr>
                <w:rFonts w:cs="Calibri"/>
                <w:lang w:val="cs-CZ" w:eastAsia="cs-CZ"/>
              </w:rPr>
            </w:pPr>
            <w:r w:rsidRPr="008B53A9">
              <w:rPr>
                <w:rFonts w:cs="Calibri"/>
                <w:lang w:val="cs-CZ" w:eastAsia="cs-CZ"/>
              </w:rPr>
              <w:t>PO 4</w:t>
            </w:r>
          </w:p>
        </w:tc>
        <w:tc>
          <w:tcPr>
            <w:tcW w:w="1684" w:type="dxa"/>
            <w:vAlign w:val="center"/>
          </w:tcPr>
          <w:p w:rsidR="00AE32DE" w:rsidRPr="008B53A9" w:rsidRDefault="00AE32DE" w:rsidP="00E84B36">
            <w:pPr>
              <w:pStyle w:val="Tabulka"/>
              <w:rPr>
                <w:rFonts w:cs="Calibri"/>
                <w:lang w:val="cs-CZ" w:eastAsia="cs-CZ"/>
              </w:rPr>
            </w:pPr>
            <w:r w:rsidRPr="008B53A9">
              <w:rPr>
                <w:rFonts w:cs="Calibri"/>
                <w:lang w:val="cs-CZ" w:eastAsia="cs-CZ"/>
              </w:rPr>
              <w:t>výstupový</w:t>
            </w:r>
          </w:p>
        </w:tc>
        <w:tc>
          <w:tcPr>
            <w:tcW w:w="554" w:type="dxa"/>
            <w:vAlign w:val="center"/>
          </w:tcPr>
          <w:p w:rsidR="00AE32DE" w:rsidRPr="008B53A9" w:rsidRDefault="003E294F" w:rsidP="00E84B36">
            <w:pPr>
              <w:pStyle w:val="Tabulka"/>
              <w:rPr>
                <w:rFonts w:cs="Calibri"/>
                <w:lang w:val="cs-CZ" w:eastAsia="cs-CZ"/>
              </w:rPr>
            </w:pPr>
            <w:r w:rsidRPr="008B53A9">
              <w:rPr>
                <w:rFonts w:cs="Calibri"/>
                <w:lang w:val="cs-CZ" w:eastAsia="cs-CZ"/>
              </w:rPr>
              <w:t>C</w:t>
            </w:r>
            <w:r w:rsidR="001F250D" w:rsidRPr="008B53A9">
              <w:rPr>
                <w:rFonts w:cs="Calibri"/>
                <w:lang w:val="cs-CZ" w:eastAsia="cs-CZ"/>
              </w:rPr>
              <w:t>/EFRR/0</w:t>
            </w:r>
            <w:r w:rsidRPr="008B53A9">
              <w:rPr>
                <w:rFonts w:cs="Calibri"/>
                <w:lang w:val="cs-CZ" w:eastAsia="cs-CZ"/>
              </w:rPr>
              <w:t>1</w:t>
            </w:r>
          </w:p>
        </w:tc>
        <w:tc>
          <w:tcPr>
            <w:tcW w:w="1429" w:type="dxa"/>
            <w:shd w:val="clear" w:color="auto" w:fill="auto"/>
            <w:tcMar>
              <w:top w:w="0" w:type="dxa"/>
              <w:left w:w="108" w:type="dxa"/>
              <w:bottom w:w="0" w:type="dxa"/>
              <w:right w:w="108" w:type="dxa"/>
            </w:tcMar>
            <w:vAlign w:val="center"/>
          </w:tcPr>
          <w:p w:rsidR="00AE32DE" w:rsidRPr="008B53A9" w:rsidRDefault="003E294F" w:rsidP="00E84B36">
            <w:pPr>
              <w:pStyle w:val="Tabulka"/>
              <w:rPr>
                <w:rFonts w:cs="Calibri"/>
                <w:lang w:val="cs-CZ" w:eastAsia="cs-CZ"/>
              </w:rPr>
            </w:pPr>
            <w:r w:rsidRPr="008B53A9">
              <w:rPr>
                <w:rFonts w:cs="Calibri"/>
                <w:lang w:val="cs-CZ" w:eastAsia="cs-CZ"/>
              </w:rPr>
              <w:t>Počet podniků pobírajících podporu</w:t>
            </w:r>
          </w:p>
        </w:tc>
        <w:tc>
          <w:tcPr>
            <w:tcW w:w="1418" w:type="dxa"/>
            <w:shd w:val="clear" w:color="auto" w:fill="auto"/>
            <w:tcMar>
              <w:top w:w="0" w:type="dxa"/>
              <w:left w:w="108" w:type="dxa"/>
              <w:bottom w:w="0" w:type="dxa"/>
              <w:right w:w="108" w:type="dxa"/>
            </w:tcMar>
            <w:vAlign w:val="center"/>
          </w:tcPr>
          <w:p w:rsidR="00AE32DE" w:rsidRPr="008B53A9" w:rsidRDefault="00AE32DE" w:rsidP="00E84B36">
            <w:pPr>
              <w:pStyle w:val="Tabulka"/>
              <w:rPr>
                <w:rFonts w:cs="Calibri"/>
                <w:lang w:val="cs-CZ" w:eastAsia="cs-CZ"/>
              </w:rPr>
            </w:pPr>
            <w:r w:rsidRPr="008B53A9">
              <w:rPr>
                <w:rFonts w:cs="Calibri"/>
                <w:lang w:val="cs-CZ" w:eastAsia="cs-CZ"/>
              </w:rPr>
              <w:t>Počet podpořených firem dle IČO</w:t>
            </w:r>
          </w:p>
        </w:tc>
        <w:tc>
          <w:tcPr>
            <w:tcW w:w="767" w:type="dxa"/>
            <w:shd w:val="clear" w:color="auto" w:fill="auto"/>
            <w:tcMar>
              <w:top w:w="0" w:type="dxa"/>
              <w:left w:w="108" w:type="dxa"/>
              <w:bottom w:w="0" w:type="dxa"/>
              <w:right w:w="108" w:type="dxa"/>
            </w:tcMar>
            <w:vAlign w:val="center"/>
          </w:tcPr>
          <w:p w:rsidR="00AE32DE" w:rsidRPr="008B53A9" w:rsidRDefault="00AE32DE" w:rsidP="00E84B36">
            <w:pPr>
              <w:pStyle w:val="Tabulka"/>
              <w:rPr>
                <w:rFonts w:cs="Calibri"/>
                <w:lang w:val="cs-CZ" w:eastAsia="cs-CZ"/>
              </w:rPr>
            </w:pPr>
            <w:r w:rsidRPr="008B53A9">
              <w:rPr>
                <w:rFonts w:cs="Calibri"/>
                <w:lang w:val="cs-CZ" w:eastAsia="cs-CZ"/>
              </w:rPr>
              <w:t>EFRR</w:t>
            </w:r>
          </w:p>
        </w:tc>
        <w:tc>
          <w:tcPr>
            <w:tcW w:w="1145" w:type="dxa"/>
            <w:shd w:val="clear" w:color="auto" w:fill="auto"/>
            <w:tcMar>
              <w:top w:w="0" w:type="dxa"/>
              <w:left w:w="108" w:type="dxa"/>
              <w:bottom w:w="0" w:type="dxa"/>
              <w:right w:w="108" w:type="dxa"/>
            </w:tcMar>
            <w:vAlign w:val="center"/>
          </w:tcPr>
          <w:p w:rsidR="00AE32DE" w:rsidRPr="008B53A9" w:rsidRDefault="00AE32DE" w:rsidP="00E84B36">
            <w:pPr>
              <w:pStyle w:val="Tabulka"/>
              <w:rPr>
                <w:rFonts w:cs="Calibri"/>
                <w:lang w:val="cs-CZ" w:eastAsia="cs-CZ"/>
              </w:rPr>
            </w:pPr>
            <w:r w:rsidRPr="008B53A9">
              <w:rPr>
                <w:rFonts w:cs="Calibri"/>
                <w:lang w:val="cs-CZ" w:eastAsia="cs-CZ"/>
              </w:rPr>
              <w:t>Méně rozvinuté regiony</w:t>
            </w:r>
          </w:p>
        </w:tc>
        <w:tc>
          <w:tcPr>
            <w:tcW w:w="1348" w:type="dxa"/>
            <w:vAlign w:val="center"/>
          </w:tcPr>
          <w:p w:rsidR="00AE32DE" w:rsidRPr="008B53A9" w:rsidRDefault="002124D7" w:rsidP="00E84B36">
            <w:pPr>
              <w:pStyle w:val="Tabulka"/>
              <w:rPr>
                <w:rFonts w:cs="Calibri"/>
                <w:lang w:val="cs-CZ" w:eastAsia="cs-CZ"/>
              </w:rPr>
            </w:pPr>
            <w:r w:rsidRPr="008B53A9">
              <w:rPr>
                <w:rFonts w:cs="Calibri"/>
                <w:lang w:val="cs-CZ" w:eastAsia="cs-CZ"/>
              </w:rPr>
              <w:t>250</w:t>
            </w:r>
          </w:p>
        </w:tc>
        <w:tc>
          <w:tcPr>
            <w:tcW w:w="1418" w:type="dxa"/>
            <w:shd w:val="clear" w:color="auto" w:fill="auto"/>
            <w:tcMar>
              <w:top w:w="0" w:type="dxa"/>
              <w:left w:w="108" w:type="dxa"/>
              <w:bottom w:w="0" w:type="dxa"/>
              <w:right w:w="108" w:type="dxa"/>
            </w:tcMar>
            <w:vAlign w:val="center"/>
          </w:tcPr>
          <w:p w:rsidR="00AE32DE" w:rsidRPr="008B53A9" w:rsidRDefault="0023153A" w:rsidP="00DE2376">
            <w:pPr>
              <w:pStyle w:val="Tabulka"/>
              <w:rPr>
                <w:rFonts w:cs="Calibri"/>
                <w:lang w:val="cs-CZ" w:eastAsia="cs-CZ"/>
              </w:rPr>
            </w:pPr>
            <w:r w:rsidRPr="008B53A9">
              <w:rPr>
                <w:rFonts w:cs="Calibri"/>
                <w:lang w:val="cs-CZ" w:eastAsia="cs-CZ"/>
              </w:rPr>
              <w:t>700</w:t>
            </w:r>
          </w:p>
        </w:tc>
        <w:tc>
          <w:tcPr>
            <w:tcW w:w="708" w:type="dxa"/>
            <w:vAlign w:val="center"/>
          </w:tcPr>
          <w:p w:rsidR="00AE32DE" w:rsidRPr="008B53A9" w:rsidRDefault="00EC50F2" w:rsidP="00E84B36">
            <w:pPr>
              <w:pStyle w:val="Tabulka"/>
              <w:rPr>
                <w:rFonts w:cs="Calibri"/>
                <w:lang w:val="cs-CZ" w:eastAsia="cs-CZ"/>
              </w:rPr>
            </w:pPr>
            <w:r w:rsidRPr="008B53A9">
              <w:rPr>
                <w:rFonts w:cs="Calibri"/>
                <w:lang w:val="cs-CZ" w:eastAsia="cs-CZ"/>
              </w:rPr>
              <w:t>ŘO</w:t>
            </w:r>
          </w:p>
        </w:tc>
        <w:tc>
          <w:tcPr>
            <w:tcW w:w="2861" w:type="dxa"/>
            <w:vAlign w:val="center"/>
          </w:tcPr>
          <w:p w:rsidR="00AE32DE" w:rsidRPr="008B53A9" w:rsidRDefault="006C401B" w:rsidP="00DE2376">
            <w:pPr>
              <w:pStyle w:val="Tabulka"/>
              <w:rPr>
                <w:rFonts w:cs="Calibri"/>
                <w:lang w:val="cs-CZ" w:eastAsia="cs-CZ"/>
              </w:rPr>
            </w:pPr>
            <w:r w:rsidRPr="008B53A9">
              <w:rPr>
                <w:rFonts w:cs="Calibri"/>
                <w:lang w:val="cs-CZ" w:eastAsia="cs-CZ"/>
              </w:rPr>
              <w:t>Indikátor sleduje počet</w:t>
            </w:r>
            <w:r w:rsidR="00DE2376" w:rsidRPr="008B53A9">
              <w:rPr>
                <w:rFonts w:cs="Calibri"/>
                <w:lang w:val="cs-CZ" w:eastAsia="cs-CZ"/>
              </w:rPr>
              <w:t xml:space="preserve"> </w:t>
            </w:r>
            <w:r w:rsidRPr="008B53A9">
              <w:rPr>
                <w:rFonts w:cs="Calibri"/>
                <w:lang w:val="cs-CZ" w:eastAsia="cs-CZ"/>
              </w:rPr>
              <w:t>podpořených firem a pokrývá finančně</w:t>
            </w:r>
            <w:r w:rsidR="00DE2376" w:rsidRPr="008B53A9">
              <w:rPr>
                <w:rFonts w:cs="Calibri"/>
                <w:lang w:val="cs-CZ" w:eastAsia="cs-CZ"/>
              </w:rPr>
              <w:t xml:space="preserve"> </w:t>
            </w:r>
            <w:r w:rsidRPr="008B53A9">
              <w:rPr>
                <w:rFonts w:cs="Calibri"/>
                <w:lang w:val="cs-CZ" w:eastAsia="cs-CZ"/>
              </w:rPr>
              <w:t>nejobjemnější část intervence</w:t>
            </w:r>
            <w:r w:rsidR="00DE2376" w:rsidRPr="008B53A9">
              <w:rPr>
                <w:rFonts w:cs="Calibri"/>
                <w:lang w:val="cs-CZ" w:eastAsia="cs-CZ"/>
              </w:rPr>
              <w:t xml:space="preserve"> </w:t>
            </w:r>
            <w:r w:rsidRPr="008B53A9">
              <w:rPr>
                <w:rFonts w:cs="Calibri"/>
                <w:lang w:val="cs-CZ" w:eastAsia="cs-CZ"/>
              </w:rPr>
              <w:t xml:space="preserve">v rámci prioritní osy 4. </w:t>
            </w:r>
            <w:r w:rsidR="00104BB5" w:rsidRPr="008B53A9">
              <w:rPr>
                <w:rFonts w:cs="Calibri"/>
                <w:lang w:val="cs-CZ" w:eastAsia="cs-CZ"/>
              </w:rPr>
              <w:t>Rozhodujícím okamžikem pro započítání hodnoty milníku bude počet podpořených firem s ukončenou fyzickou realizací tzn. dosažením cílů projektů</w:t>
            </w:r>
            <w:r w:rsidRPr="008B53A9">
              <w:rPr>
                <w:rFonts w:cs="Calibri"/>
                <w:lang w:val="cs-CZ" w:eastAsia="cs-CZ"/>
              </w:rPr>
              <w:t>.</w:t>
            </w:r>
          </w:p>
        </w:tc>
      </w:tr>
    </w:tbl>
    <w:p w:rsidR="004126CC" w:rsidRPr="008B53A9" w:rsidRDefault="004126CC" w:rsidP="005F43DF">
      <w:pPr>
        <w:pStyle w:val="kapitola2A0"/>
        <w:numPr>
          <w:ilvl w:val="2"/>
          <w:numId w:val="75"/>
        </w:numPr>
        <w:sectPr w:rsidR="004126CC" w:rsidRPr="008B53A9" w:rsidSect="004126CC">
          <w:headerReference w:type="default" r:id="rId35"/>
          <w:footerReference w:type="default" r:id="rId36"/>
          <w:pgSz w:w="16838" w:h="11906" w:orient="landscape"/>
          <w:pgMar w:top="1418" w:right="1418" w:bottom="1276" w:left="1276" w:header="709" w:footer="709" w:gutter="0"/>
          <w:cols w:space="708"/>
          <w:docGrid w:linePitch="272"/>
        </w:sectPr>
      </w:pPr>
    </w:p>
    <w:p w:rsidR="00A65A1E" w:rsidRPr="008B53A9" w:rsidRDefault="00A65A1E" w:rsidP="00A65A1E">
      <w:pPr>
        <w:pStyle w:val="Titulek"/>
      </w:pPr>
      <w:r w:rsidRPr="008B53A9">
        <w:lastRenderedPageBreak/>
        <w:t>Další kvalitativní informace o stanovení výkonnostního rámce</w:t>
      </w:r>
    </w:p>
    <w:p w:rsidR="00B523F1" w:rsidRPr="008B53A9" w:rsidRDefault="00B523F1" w:rsidP="00B523F1">
      <w:pPr>
        <w:pStyle w:val="Standardntext"/>
        <w:rPr>
          <w:lang w:val="cs-CZ"/>
        </w:rPr>
      </w:pPr>
      <w:r w:rsidRPr="008B53A9">
        <w:t xml:space="preserve">Pro OP PIK byly stanoveny hodnoty milníků pro rok 2018 a 2023 (finanční ukazatele </w:t>
      </w:r>
      <w:r w:rsidR="003752F8" w:rsidRPr="008B53A9">
        <w:rPr>
          <w:lang w:val="cs-CZ"/>
        </w:rPr>
        <w:t xml:space="preserve">a </w:t>
      </w:r>
      <w:r w:rsidRPr="008B53A9">
        <w:t>„certifikované finanční prostředky“, ukazatele výstupů). V případě hodnot milníků stanovených pro rok 2018 přitom není započítáno 6 % určených na výkonnostní rezervu programu. Dále uvedené předpoklady jsou s ohledem na charakter stanovovaných milníků platné pro všechny prioritní osy operačního programu.</w:t>
      </w:r>
    </w:p>
    <w:p w:rsidR="00A65A1E" w:rsidRPr="008B53A9" w:rsidRDefault="00A65A1E" w:rsidP="001B0B94">
      <w:pPr>
        <w:pStyle w:val="Standardntext"/>
      </w:pPr>
      <w:r w:rsidRPr="008B53A9">
        <w:t xml:space="preserve">Při kvantifikaci milníků </w:t>
      </w:r>
      <w:r w:rsidRPr="008B53A9">
        <w:rPr>
          <w:b/>
          <w:bCs/>
        </w:rPr>
        <w:t>pro rok 2018</w:t>
      </w:r>
      <w:r w:rsidRPr="008B53A9">
        <w:t xml:space="preserve"> byly zohledněny dále uvedené klíčové předpoklady:</w:t>
      </w:r>
    </w:p>
    <w:p w:rsidR="00A65A1E" w:rsidRPr="008B53A9" w:rsidRDefault="00A65A1E" w:rsidP="001B0B94">
      <w:pPr>
        <w:pStyle w:val="Standardntext"/>
        <w:numPr>
          <w:ilvl w:val="0"/>
          <w:numId w:val="109"/>
        </w:numPr>
        <w:rPr>
          <w:strike/>
        </w:rPr>
      </w:pPr>
      <w:r w:rsidRPr="008B53A9">
        <w:t>Zohledněn je aktuální finanční plán OP PIK</w:t>
      </w:r>
      <w:r w:rsidR="00272B7D" w:rsidRPr="008B53A9">
        <w:rPr>
          <w:lang w:val="cs-CZ"/>
        </w:rPr>
        <w:t>;</w:t>
      </w:r>
    </w:p>
    <w:p w:rsidR="00A65A1E" w:rsidRPr="008B53A9" w:rsidRDefault="00A65A1E" w:rsidP="001B0B94">
      <w:pPr>
        <w:pStyle w:val="Standardntext"/>
        <w:numPr>
          <w:ilvl w:val="0"/>
          <w:numId w:val="109"/>
        </w:numPr>
      </w:pPr>
      <w:r w:rsidRPr="008B53A9">
        <w:t>Při stanovení milníku bylo v maximální možné míře vycházeno ze zkušeností s OPPI;</w:t>
      </w:r>
    </w:p>
    <w:p w:rsidR="00A65A1E" w:rsidRPr="008B53A9" w:rsidRDefault="00A65A1E" w:rsidP="001B0B94">
      <w:pPr>
        <w:pStyle w:val="Standardntext"/>
        <w:numPr>
          <w:ilvl w:val="0"/>
          <w:numId w:val="109"/>
        </w:numPr>
      </w:pPr>
      <w:r w:rsidRPr="008B53A9">
        <w:t>První výzvy budou vyhlášeny pravděpodobně nejdříve až v 1. čtvrtletí 2015, není ovšem zřejmé (ve vazbě na připravovaný indikativní plán výzev), zda budou v tomto období vyhlášeny výzvy již ve všech prioritních osách a specifických cílech. Od nich se bude odvíjet příjem žádostí, hodnocení projektů a následně zahájení realizace prvních podpořených projektů, tj. pravděpodobně ve 2. čtvrtletí 2015;</w:t>
      </w:r>
    </w:p>
    <w:p w:rsidR="00A65A1E" w:rsidRPr="008B53A9" w:rsidRDefault="00A65A1E" w:rsidP="001B0B94">
      <w:pPr>
        <w:pStyle w:val="Standardntext"/>
        <w:numPr>
          <w:ilvl w:val="0"/>
          <w:numId w:val="109"/>
        </w:numPr>
      </w:pPr>
      <w:r w:rsidRPr="008B53A9">
        <w:t xml:space="preserve">Při možném předpokladu, že projekty budou dvouleté, to znamená, že první z nich ukončí realizaci nejdříve ve druhé polovině roku 2017 a finanční prostředky tak budou předkládány k certifikaci až v průběhu roku 2017 či dokonce 2018 (např. u delších projektů); </w:t>
      </w:r>
    </w:p>
    <w:p w:rsidR="00A65A1E" w:rsidRPr="008B53A9" w:rsidRDefault="00A65A1E" w:rsidP="001B0B94">
      <w:pPr>
        <w:pStyle w:val="Standardntext"/>
        <w:numPr>
          <w:ilvl w:val="0"/>
          <w:numId w:val="109"/>
        </w:numPr>
      </w:pPr>
      <w:r w:rsidRPr="008B53A9">
        <w:t>Ukazatelé výstupů stanovené ve výkonnostním rámci odpovídají více než 50 % finančního přídělu na prioritu (v souladu se čl. 5 Prováděcího nařízení komise (EU) č. 215/2014);</w:t>
      </w:r>
    </w:p>
    <w:p w:rsidR="00A65A1E" w:rsidRPr="008B53A9" w:rsidRDefault="00A65A1E" w:rsidP="001B0B94">
      <w:pPr>
        <w:pStyle w:val="Standardntext"/>
        <w:numPr>
          <w:ilvl w:val="0"/>
          <w:numId w:val="109"/>
        </w:numPr>
      </w:pPr>
      <w:r w:rsidRPr="008B53A9">
        <w:t>Není započítána výkonnostní rezerva 6 %;</w:t>
      </w:r>
    </w:p>
    <w:p w:rsidR="00A65A1E" w:rsidRPr="008B53A9" w:rsidRDefault="00A65A1E" w:rsidP="001B0B94">
      <w:pPr>
        <w:pStyle w:val="Standardntext"/>
        <w:numPr>
          <w:ilvl w:val="0"/>
          <w:numId w:val="109"/>
        </w:numPr>
      </w:pPr>
      <w:r w:rsidRPr="008B53A9">
        <w:t>Pravidlo n+3, na základě kterého je nutné vzít v úvahu, že na konci roku 2018 by měla být vyčerpána alokace let 2014, 2015;</w:t>
      </w:r>
    </w:p>
    <w:p w:rsidR="00A65A1E" w:rsidRPr="008B53A9" w:rsidRDefault="00A65A1E" w:rsidP="001B0B94">
      <w:pPr>
        <w:pStyle w:val="Standardntext"/>
        <w:numPr>
          <w:ilvl w:val="0"/>
          <w:numId w:val="110"/>
        </w:numPr>
        <w:rPr>
          <w:strike/>
        </w:rPr>
      </w:pPr>
      <w:r w:rsidRPr="008B53A9">
        <w:t>Nové typy aktivit (SC 4.1</w:t>
      </w:r>
      <w:r w:rsidR="00272B7D" w:rsidRPr="008B53A9">
        <w:rPr>
          <w:lang w:val="cs-CZ"/>
        </w:rPr>
        <w:t>)</w:t>
      </w:r>
    </w:p>
    <w:p w:rsidR="00A65A1E" w:rsidRPr="008B53A9" w:rsidRDefault="00A65A1E" w:rsidP="001B0B94">
      <w:pPr>
        <w:pStyle w:val="Standardntext"/>
        <w:numPr>
          <w:ilvl w:val="0"/>
          <w:numId w:val="110"/>
        </w:numPr>
      </w:pPr>
      <w:r w:rsidRPr="008B53A9">
        <w:t>Administrativně a rozsahem náročné projekty v SC 4.1, časově náročná bude již samotná příprava projektů, lze tak předpokládat pomalejší rozjezd aktivit.</w:t>
      </w:r>
    </w:p>
    <w:p w:rsidR="00A65A1E" w:rsidRPr="008B53A9" w:rsidRDefault="00A65A1E" w:rsidP="001B0B94">
      <w:pPr>
        <w:pStyle w:val="Standardntext"/>
      </w:pPr>
      <w:r w:rsidRPr="008B53A9">
        <w:t xml:space="preserve">Při kvantifikaci milníků </w:t>
      </w:r>
      <w:r w:rsidRPr="008B53A9">
        <w:rPr>
          <w:b/>
          <w:bCs/>
        </w:rPr>
        <w:t>pro rok 2023</w:t>
      </w:r>
      <w:r w:rsidRPr="008B53A9">
        <w:t xml:space="preserve"> byly zohledněny ještě dále uvedené klíčové předpoklady:</w:t>
      </w:r>
    </w:p>
    <w:p w:rsidR="00A65A1E" w:rsidRPr="008B53A9" w:rsidRDefault="00A65A1E" w:rsidP="001B0B94">
      <w:pPr>
        <w:pStyle w:val="Standardntext"/>
        <w:numPr>
          <w:ilvl w:val="0"/>
          <w:numId w:val="111"/>
        </w:numPr>
      </w:pPr>
      <w:r w:rsidRPr="008B53A9">
        <w:t>Klíčovým předpokladem je naplnění stanovených cílů programu v jednotlivých prioritních osách (finanční i věcné plnění);</w:t>
      </w:r>
    </w:p>
    <w:p w:rsidR="00A65A1E" w:rsidRPr="008B53A9" w:rsidRDefault="00A65A1E" w:rsidP="001B0B94">
      <w:pPr>
        <w:pStyle w:val="Standardntext"/>
        <w:numPr>
          <w:ilvl w:val="0"/>
          <w:numId w:val="111"/>
        </w:numPr>
      </w:pPr>
      <w:r w:rsidRPr="008B53A9">
        <w:t xml:space="preserve">Započítána je již i výkonnostní rezerva. </w:t>
      </w:r>
    </w:p>
    <w:p w:rsidR="003752F8" w:rsidRPr="008B53A9" w:rsidRDefault="00A65A1E" w:rsidP="00272B7D">
      <w:pPr>
        <w:jc w:val="both"/>
        <w:rPr>
          <w:sz w:val="24"/>
          <w:szCs w:val="24"/>
          <w:lang w:val="x-none" w:eastAsia="x-none"/>
        </w:rPr>
      </w:pPr>
      <w:r w:rsidRPr="008B53A9">
        <w:rPr>
          <w:sz w:val="24"/>
          <w:szCs w:val="24"/>
        </w:rPr>
        <w:t>Vzhledem k výše uvedenému lze proto reálně očekávat stále ještě relativně nízkou míru plnění jednotlivých milníků, a to i ke konci roku 2018. Právě z tohoto důvodu byl při kvantifikaci milníků zvolen ke konci roku 2018 spíše konzervativnější způsob výpočtu hodnoty dotčeného milníku. Naplňování milníků vzhledem k předpokládanému časovému skluzu v rozběhu implementace nového OP PIK, bude komplikovanější (zejména právě v první fázi), a bude si vyžadovat i speciální přístupy, jako např. urychlování prvních výzev a jejich naplňování, větší vysvětlovací seminární či jiné aktivity ze strany Řídícího orgánu vůči potenciálním příjemcům, atd.</w:t>
      </w:r>
      <w:r w:rsidR="003752F8" w:rsidRPr="008B53A9">
        <w:rPr>
          <w:sz w:val="24"/>
          <w:szCs w:val="24"/>
        </w:rPr>
        <w:t xml:space="preserve"> </w:t>
      </w:r>
      <w:r w:rsidR="003752F8" w:rsidRPr="008B53A9">
        <w:rPr>
          <w:sz w:val="24"/>
          <w:szCs w:val="24"/>
          <w:lang w:val="x-none" w:eastAsia="x-none"/>
        </w:rPr>
        <w:t xml:space="preserve">Téma výkonnostní rezervy a milníků je dále rozpracováno v příloze 3. </w:t>
      </w:r>
    </w:p>
    <w:p w:rsidR="002E1C78" w:rsidRPr="008B53A9" w:rsidRDefault="002E1C78" w:rsidP="005F43DF">
      <w:pPr>
        <w:pStyle w:val="kapitola2A0"/>
        <w:numPr>
          <w:ilvl w:val="2"/>
          <w:numId w:val="75"/>
        </w:numPr>
      </w:pPr>
      <w:bookmarkStart w:id="99" w:name="_Toc391539662"/>
      <w:r w:rsidRPr="008B53A9">
        <w:lastRenderedPageBreak/>
        <w:t xml:space="preserve">Kategorie </w:t>
      </w:r>
      <w:r w:rsidR="00F2469F" w:rsidRPr="008B53A9">
        <w:t>zásahů</w:t>
      </w:r>
      <w:bookmarkEnd w:id="99"/>
    </w:p>
    <w:p w:rsidR="002E1C78" w:rsidRPr="008B53A9" w:rsidRDefault="002E1C78" w:rsidP="006F258E">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7</w:t>
      </w:r>
      <w:r w:rsidR="00C3289B" w:rsidRPr="008B53A9">
        <w:rPr>
          <w:noProof/>
        </w:rPr>
        <w:fldChar w:fldCharType="end"/>
      </w:r>
      <w:r w:rsidRPr="008B53A9">
        <w:t xml:space="preserve"> - </w:t>
      </w:r>
      <w:r w:rsidR="00C3289B" w:rsidRPr="008B53A9">
        <w:fldChar w:fldCharType="begin"/>
      </w:r>
      <w:r w:rsidR="00C3289B" w:rsidRPr="008B53A9">
        <w:instrText xml:space="preserve"> SEQ Tabulka \* ARABIC \r11 </w:instrText>
      </w:r>
      <w:r w:rsidR="00C3289B" w:rsidRPr="008B53A9">
        <w:fldChar w:fldCharType="separate"/>
      </w:r>
      <w:r w:rsidR="00E54216" w:rsidRPr="008B53A9">
        <w:rPr>
          <w:noProof/>
        </w:rPr>
        <w:t>11</w:t>
      </w:r>
      <w:r w:rsidR="00C3289B" w:rsidRPr="008B53A9">
        <w:rPr>
          <w:noProof/>
        </w:rPr>
        <w:fldChar w:fldCharType="end"/>
      </w:r>
      <w:r w:rsidRPr="008B53A9">
        <w:t xml:space="preserve">: Kategorie </w:t>
      </w:r>
      <w:r w:rsidR="00F2469F" w:rsidRPr="008B53A9">
        <w:t>zásahů</w:t>
      </w:r>
      <w:r w:rsidR="00724BEA" w:rsidRPr="008B53A9">
        <w:rPr>
          <w:rStyle w:val="Znakapoznpodarou"/>
        </w:rPr>
        <w:footnoteReference w:id="8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4"/>
        <w:gridCol w:w="1707"/>
        <w:gridCol w:w="561"/>
        <w:gridCol w:w="1771"/>
        <w:gridCol w:w="639"/>
        <w:gridCol w:w="1692"/>
        <w:gridCol w:w="576"/>
        <w:gridCol w:w="1756"/>
      </w:tblGrid>
      <w:tr w:rsidR="000B2315" w:rsidRPr="008B53A9">
        <w:tc>
          <w:tcPr>
            <w:tcW w:w="9326" w:type="dxa"/>
            <w:gridSpan w:val="8"/>
            <w:shd w:val="clear" w:color="auto" w:fill="B8CCE4"/>
            <w:vAlign w:val="center"/>
          </w:tcPr>
          <w:p w:rsidR="009F18F5" w:rsidRPr="008B53A9" w:rsidRDefault="009F18F5" w:rsidP="009F18F5">
            <w:pPr>
              <w:pStyle w:val="Tabulka"/>
              <w:keepNext/>
              <w:keepLines/>
              <w:rPr>
                <w:rFonts w:cs="Calibri"/>
                <w:b/>
                <w:lang w:val="cs-CZ" w:eastAsia="cs-CZ"/>
              </w:rPr>
            </w:pPr>
            <w:r w:rsidRPr="008B53A9">
              <w:rPr>
                <w:rFonts w:cs="Calibri"/>
                <w:b/>
                <w:lang w:val="cs-CZ" w:eastAsia="cs-CZ"/>
              </w:rPr>
              <w:t xml:space="preserve">Fond: </w:t>
            </w:r>
            <w:r w:rsidRPr="008B53A9">
              <w:rPr>
                <w:rFonts w:cs="Calibri"/>
                <w:lang w:val="cs-CZ" w:eastAsia="cs-CZ"/>
              </w:rPr>
              <w:t>EFRR</w:t>
            </w:r>
          </w:p>
          <w:p w:rsidR="000B2315" w:rsidRPr="008B53A9" w:rsidRDefault="009F18F5" w:rsidP="009F18F5">
            <w:pPr>
              <w:pStyle w:val="Tabulka"/>
              <w:keepNext/>
              <w:keepLines/>
              <w:rPr>
                <w:rFonts w:cs="Calibri"/>
                <w:i/>
                <w:lang w:val="cs-CZ" w:eastAsia="cs-CZ"/>
              </w:rPr>
            </w:pPr>
            <w:r w:rsidRPr="008B53A9">
              <w:rPr>
                <w:rFonts w:cs="Calibri"/>
                <w:b/>
                <w:lang w:val="cs-CZ" w:eastAsia="cs-CZ"/>
              </w:rPr>
              <w:t xml:space="preserve">Kategorie regionů: </w:t>
            </w:r>
            <w:r w:rsidRPr="008B53A9">
              <w:rPr>
                <w:rFonts w:cs="Calibri"/>
                <w:lang w:val="cs-CZ" w:eastAsia="cs-CZ"/>
              </w:rPr>
              <w:t>Méně rozvinuté regiony</w:t>
            </w:r>
          </w:p>
        </w:tc>
      </w:tr>
      <w:tr w:rsidR="000B2315" w:rsidRPr="008B53A9">
        <w:tc>
          <w:tcPr>
            <w:tcW w:w="2331"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7:</w:t>
            </w:r>
          </w:p>
          <w:p w:rsidR="000B2315" w:rsidRPr="008B53A9" w:rsidRDefault="000B2315" w:rsidP="00450475">
            <w:pPr>
              <w:pStyle w:val="Tabulka"/>
              <w:keepNext/>
              <w:keepLines/>
              <w:rPr>
                <w:rFonts w:cs="Calibri"/>
                <w:lang w:val="cs-CZ" w:eastAsia="cs-CZ"/>
              </w:rPr>
            </w:pPr>
            <w:r w:rsidRPr="008B53A9">
              <w:rPr>
                <w:rFonts w:cs="Calibri"/>
                <w:lang w:val="cs-CZ" w:eastAsia="cs-CZ"/>
              </w:rPr>
              <w:t>Dimenze 1</w:t>
            </w:r>
          </w:p>
          <w:p w:rsidR="000B2315" w:rsidRPr="008B53A9" w:rsidRDefault="000B2315" w:rsidP="00450475">
            <w:pPr>
              <w:pStyle w:val="Tabulka"/>
              <w:keepNext/>
              <w:keepLines/>
              <w:rPr>
                <w:rFonts w:cs="Calibri"/>
                <w:lang w:val="cs-CZ" w:eastAsia="cs-CZ"/>
              </w:rPr>
            </w:pPr>
            <w:r w:rsidRPr="008B53A9">
              <w:rPr>
                <w:rFonts w:cs="Calibri"/>
                <w:lang w:val="cs-CZ" w:eastAsia="cs-CZ"/>
              </w:rPr>
              <w:t>Oblast zásahu</w:t>
            </w:r>
          </w:p>
        </w:tc>
        <w:tc>
          <w:tcPr>
            <w:tcW w:w="2332"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8:</w:t>
            </w:r>
          </w:p>
          <w:p w:rsidR="000B2315" w:rsidRPr="008B53A9" w:rsidRDefault="000B2315" w:rsidP="00450475">
            <w:pPr>
              <w:pStyle w:val="Tabulka"/>
              <w:keepNext/>
              <w:keepLines/>
              <w:rPr>
                <w:rFonts w:cs="Calibri"/>
                <w:lang w:val="cs-CZ" w:eastAsia="cs-CZ"/>
              </w:rPr>
            </w:pPr>
            <w:r w:rsidRPr="008B53A9">
              <w:rPr>
                <w:rFonts w:cs="Calibri"/>
                <w:lang w:val="cs-CZ" w:eastAsia="cs-CZ"/>
              </w:rPr>
              <w:t>Dimenze 2</w:t>
            </w:r>
          </w:p>
          <w:p w:rsidR="000B2315" w:rsidRPr="008B53A9" w:rsidRDefault="000B2315" w:rsidP="00450475">
            <w:pPr>
              <w:pStyle w:val="Tabulka"/>
              <w:keepNext/>
              <w:keepLines/>
              <w:rPr>
                <w:rFonts w:cs="Calibri"/>
                <w:lang w:val="cs-CZ" w:eastAsia="cs-CZ"/>
              </w:rPr>
            </w:pPr>
            <w:r w:rsidRPr="008B53A9">
              <w:rPr>
                <w:rFonts w:cs="Calibri"/>
                <w:lang w:val="cs-CZ" w:eastAsia="cs-CZ"/>
              </w:rPr>
              <w:t>Forma financování</w:t>
            </w:r>
          </w:p>
        </w:tc>
        <w:tc>
          <w:tcPr>
            <w:tcW w:w="2331"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9:</w:t>
            </w:r>
          </w:p>
          <w:p w:rsidR="000B2315" w:rsidRPr="008B53A9" w:rsidRDefault="000B2315" w:rsidP="00450475">
            <w:pPr>
              <w:pStyle w:val="Tabulka"/>
              <w:keepNext/>
              <w:keepLines/>
              <w:rPr>
                <w:rFonts w:cs="Calibri"/>
                <w:lang w:val="cs-CZ" w:eastAsia="cs-CZ"/>
              </w:rPr>
            </w:pPr>
            <w:r w:rsidRPr="008B53A9">
              <w:rPr>
                <w:rFonts w:cs="Calibri"/>
                <w:lang w:val="cs-CZ" w:eastAsia="cs-CZ"/>
              </w:rPr>
              <w:t>Dimenze 3</w:t>
            </w:r>
          </w:p>
          <w:p w:rsidR="000B2315" w:rsidRPr="008B53A9" w:rsidRDefault="000B2315" w:rsidP="00450475">
            <w:pPr>
              <w:pStyle w:val="Tabulka"/>
              <w:keepNext/>
              <w:keepLines/>
              <w:rPr>
                <w:rFonts w:cs="Calibri"/>
                <w:lang w:val="cs-CZ" w:eastAsia="cs-CZ"/>
              </w:rPr>
            </w:pPr>
            <w:r w:rsidRPr="008B53A9">
              <w:rPr>
                <w:rFonts w:cs="Calibri"/>
                <w:lang w:val="cs-CZ" w:eastAsia="cs-CZ"/>
              </w:rPr>
              <w:t>Typ území</w:t>
            </w:r>
          </w:p>
        </w:tc>
        <w:tc>
          <w:tcPr>
            <w:tcW w:w="2332" w:type="dxa"/>
            <w:gridSpan w:val="2"/>
            <w:shd w:val="clear" w:color="auto" w:fill="B8CCE4"/>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Tabulka č. 10:</w:t>
            </w:r>
          </w:p>
          <w:p w:rsidR="000B2315" w:rsidRPr="008B53A9" w:rsidRDefault="000B2315" w:rsidP="00450475">
            <w:pPr>
              <w:pStyle w:val="Tabulka"/>
              <w:keepNext/>
              <w:keepLines/>
              <w:rPr>
                <w:rFonts w:cs="Calibri"/>
                <w:lang w:val="cs-CZ" w:eastAsia="cs-CZ"/>
              </w:rPr>
            </w:pPr>
            <w:r w:rsidRPr="008B53A9">
              <w:rPr>
                <w:rFonts w:cs="Calibri"/>
                <w:lang w:val="cs-CZ" w:eastAsia="cs-CZ"/>
              </w:rPr>
              <w:t>Dimenze 4</w:t>
            </w:r>
          </w:p>
          <w:p w:rsidR="000B2315" w:rsidRPr="008B53A9" w:rsidRDefault="000B2315" w:rsidP="00450475">
            <w:pPr>
              <w:pStyle w:val="Tabulka"/>
              <w:keepNext/>
              <w:keepLines/>
              <w:rPr>
                <w:rFonts w:cs="Calibri"/>
                <w:lang w:val="cs-CZ" w:eastAsia="cs-CZ"/>
              </w:rPr>
            </w:pPr>
            <w:r w:rsidRPr="008B53A9">
              <w:rPr>
                <w:rFonts w:cs="Calibri"/>
                <w:lang w:val="cs-CZ" w:eastAsia="cs-CZ"/>
              </w:rPr>
              <w:t>Mechanismus územního plnění</w:t>
            </w:r>
          </w:p>
        </w:tc>
      </w:tr>
      <w:tr w:rsidR="000B2315" w:rsidRPr="008B53A9">
        <w:tc>
          <w:tcPr>
            <w:tcW w:w="624"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707"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c>
          <w:tcPr>
            <w:tcW w:w="561"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771"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c>
          <w:tcPr>
            <w:tcW w:w="639"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692"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c>
          <w:tcPr>
            <w:tcW w:w="576" w:type="dxa"/>
            <w:shd w:val="clear" w:color="auto" w:fill="DBE5F1"/>
            <w:vAlign w:val="center"/>
          </w:tcPr>
          <w:p w:rsidR="000B2315" w:rsidRPr="008B53A9" w:rsidRDefault="000B2315" w:rsidP="00450475">
            <w:pPr>
              <w:pStyle w:val="Tabulka"/>
              <w:keepNext/>
              <w:keepLines/>
              <w:rPr>
                <w:rFonts w:cs="Calibri"/>
                <w:lang w:val="cs-CZ" w:eastAsia="cs-CZ"/>
              </w:rPr>
            </w:pPr>
            <w:r w:rsidRPr="008B53A9">
              <w:rPr>
                <w:rFonts w:cs="Calibri"/>
                <w:lang w:val="cs-CZ" w:eastAsia="cs-CZ"/>
              </w:rPr>
              <w:t>Kód</w:t>
            </w:r>
          </w:p>
        </w:tc>
        <w:tc>
          <w:tcPr>
            <w:tcW w:w="1756" w:type="dxa"/>
            <w:shd w:val="clear" w:color="auto" w:fill="DBE5F1"/>
            <w:vAlign w:val="center"/>
          </w:tcPr>
          <w:p w:rsidR="000B2315" w:rsidRPr="008B53A9" w:rsidRDefault="00D16DE9" w:rsidP="00450475">
            <w:pPr>
              <w:pStyle w:val="Tabulka"/>
              <w:keepNext/>
              <w:keepLines/>
              <w:rPr>
                <w:rFonts w:cs="Calibri"/>
                <w:lang w:val="cs-CZ" w:eastAsia="cs-CZ"/>
              </w:rPr>
            </w:pPr>
            <w:r w:rsidRPr="008B53A9">
              <w:rPr>
                <w:rFonts w:cs="Calibri"/>
                <w:lang w:val="cs-CZ" w:eastAsia="cs-CZ"/>
              </w:rPr>
              <w:t>Částka (v EUR)</w:t>
            </w:r>
          </w:p>
        </w:tc>
      </w:tr>
      <w:tr w:rsidR="006D3187" w:rsidRPr="008B53A9">
        <w:tc>
          <w:tcPr>
            <w:tcW w:w="624" w:type="dxa"/>
            <w:shd w:val="clear" w:color="auto" w:fill="auto"/>
            <w:vAlign w:val="center"/>
          </w:tcPr>
          <w:p w:rsidR="006D3187" w:rsidRPr="008B53A9" w:rsidRDefault="006D3187" w:rsidP="00DD63AD">
            <w:pPr>
              <w:pStyle w:val="Tabulka"/>
              <w:rPr>
                <w:rFonts w:cs="Calibri"/>
                <w:lang w:val="cs-CZ" w:eastAsia="cs-CZ"/>
              </w:rPr>
            </w:pPr>
            <w:r w:rsidRPr="008B53A9">
              <w:rPr>
                <w:rFonts w:cs="Calibri"/>
                <w:lang w:val="cs-CZ" w:eastAsia="cs-CZ"/>
              </w:rPr>
              <w:t>004</w:t>
            </w:r>
          </w:p>
        </w:tc>
        <w:tc>
          <w:tcPr>
            <w:tcW w:w="1707" w:type="dxa"/>
            <w:shd w:val="clear" w:color="auto" w:fill="auto"/>
            <w:vAlign w:val="center"/>
          </w:tcPr>
          <w:p w:rsidR="006D3187" w:rsidRPr="008B53A9" w:rsidRDefault="006D3187" w:rsidP="00E84B36">
            <w:pPr>
              <w:pStyle w:val="Tabulka"/>
              <w:jc w:val="right"/>
              <w:rPr>
                <w:rFonts w:cs="Calibri"/>
                <w:lang w:val="cs-CZ" w:eastAsia="cs-CZ"/>
              </w:rPr>
            </w:pPr>
            <w:r w:rsidRPr="008B53A9">
              <w:rPr>
                <w:rFonts w:cs="Calibri"/>
                <w:lang w:val="cs-CZ" w:eastAsia="cs-CZ"/>
              </w:rPr>
              <w:t>55 569 306</w:t>
            </w:r>
          </w:p>
        </w:tc>
        <w:tc>
          <w:tcPr>
            <w:tcW w:w="561" w:type="dxa"/>
            <w:shd w:val="clear" w:color="auto" w:fill="auto"/>
            <w:vAlign w:val="center"/>
          </w:tcPr>
          <w:p w:rsidR="006D3187" w:rsidRPr="008B53A9" w:rsidRDefault="006D3187" w:rsidP="00DD63AD">
            <w:pPr>
              <w:pStyle w:val="Tabulka"/>
              <w:rPr>
                <w:rFonts w:cs="Calibri"/>
                <w:lang w:val="cs-CZ" w:eastAsia="cs-CZ"/>
              </w:rPr>
            </w:pPr>
            <w:r w:rsidRPr="008B53A9">
              <w:rPr>
                <w:rFonts w:cs="Calibri"/>
                <w:lang w:val="cs-CZ" w:eastAsia="cs-CZ"/>
              </w:rPr>
              <w:t>01</w:t>
            </w:r>
          </w:p>
        </w:tc>
        <w:tc>
          <w:tcPr>
            <w:tcW w:w="1771" w:type="dxa"/>
            <w:shd w:val="clear" w:color="auto" w:fill="auto"/>
            <w:vAlign w:val="center"/>
          </w:tcPr>
          <w:p w:rsidR="006D3187" w:rsidRPr="008B53A9" w:rsidRDefault="006D3187" w:rsidP="00E84B36">
            <w:pPr>
              <w:pStyle w:val="Tabulka"/>
              <w:jc w:val="right"/>
              <w:rPr>
                <w:rFonts w:cs="Calibri"/>
                <w:lang w:val="cs-CZ" w:eastAsia="cs-CZ"/>
              </w:rPr>
            </w:pPr>
            <w:r w:rsidRPr="008B53A9">
              <w:rPr>
                <w:rFonts w:cs="Calibri"/>
                <w:lang w:val="cs-CZ" w:eastAsia="cs-CZ"/>
              </w:rPr>
              <w:t>743 657 589</w:t>
            </w:r>
          </w:p>
        </w:tc>
        <w:tc>
          <w:tcPr>
            <w:tcW w:w="639" w:type="dxa"/>
            <w:shd w:val="clear" w:color="auto" w:fill="auto"/>
            <w:vAlign w:val="center"/>
          </w:tcPr>
          <w:p w:rsidR="006D3187" w:rsidRPr="008B53A9" w:rsidRDefault="006D3187" w:rsidP="00DD63AD">
            <w:pPr>
              <w:pStyle w:val="Tabulka"/>
              <w:rPr>
                <w:rFonts w:cs="Calibri"/>
                <w:lang w:val="cs-CZ" w:eastAsia="cs-CZ"/>
              </w:rPr>
            </w:pPr>
            <w:r w:rsidRPr="008B53A9">
              <w:rPr>
                <w:rFonts w:cs="Calibri"/>
                <w:lang w:val="cs-CZ" w:eastAsia="cs-CZ"/>
              </w:rPr>
              <w:t>01</w:t>
            </w:r>
          </w:p>
        </w:tc>
        <w:tc>
          <w:tcPr>
            <w:tcW w:w="1692" w:type="dxa"/>
            <w:shd w:val="clear" w:color="auto" w:fill="auto"/>
            <w:vAlign w:val="center"/>
          </w:tcPr>
          <w:p w:rsidR="006D3187" w:rsidRPr="008B53A9" w:rsidRDefault="006D3187" w:rsidP="00E84B36">
            <w:pPr>
              <w:pStyle w:val="Tabulka"/>
              <w:jc w:val="right"/>
              <w:rPr>
                <w:rFonts w:cs="Calibri"/>
                <w:lang w:val="cs-CZ" w:eastAsia="cs-CZ"/>
              </w:rPr>
            </w:pPr>
            <w:r w:rsidRPr="008B53A9">
              <w:rPr>
                <w:rFonts w:cs="Calibri"/>
                <w:lang w:val="cs-CZ" w:eastAsia="cs-CZ"/>
              </w:rPr>
              <w:t>282 589 884</w:t>
            </w:r>
          </w:p>
        </w:tc>
        <w:tc>
          <w:tcPr>
            <w:tcW w:w="576" w:type="dxa"/>
            <w:shd w:val="clear" w:color="auto" w:fill="auto"/>
            <w:vAlign w:val="center"/>
          </w:tcPr>
          <w:p w:rsidR="006D3187" w:rsidRPr="008B53A9" w:rsidRDefault="006D3187" w:rsidP="00DD63AD">
            <w:pPr>
              <w:pStyle w:val="Tabulka"/>
              <w:rPr>
                <w:rFonts w:cs="Calibri"/>
                <w:lang w:val="cs-CZ" w:eastAsia="cs-CZ"/>
              </w:rPr>
            </w:pPr>
            <w:r w:rsidRPr="008B53A9">
              <w:rPr>
                <w:rFonts w:cs="Calibri"/>
                <w:lang w:val="cs-CZ" w:eastAsia="cs-CZ"/>
              </w:rPr>
              <w:t>07</w:t>
            </w:r>
          </w:p>
        </w:tc>
        <w:tc>
          <w:tcPr>
            <w:tcW w:w="1756" w:type="dxa"/>
            <w:shd w:val="clear" w:color="auto" w:fill="auto"/>
            <w:vAlign w:val="center"/>
          </w:tcPr>
          <w:p w:rsidR="006D3187" w:rsidRPr="008B53A9" w:rsidRDefault="006D3187" w:rsidP="00E84B36">
            <w:pPr>
              <w:pStyle w:val="Tabulka"/>
              <w:jc w:val="right"/>
              <w:rPr>
                <w:rFonts w:cs="Calibri"/>
                <w:lang w:val="cs-CZ" w:eastAsia="cs-CZ"/>
              </w:rPr>
            </w:pPr>
            <w:r w:rsidRPr="008B53A9">
              <w:rPr>
                <w:rFonts w:cs="Calibri"/>
                <w:lang w:val="cs-CZ" w:eastAsia="cs-CZ"/>
              </w:rPr>
              <w:t>743 657 589</w:t>
            </w:r>
          </w:p>
        </w:tc>
      </w:tr>
      <w:tr w:rsidR="00382E89" w:rsidRPr="008B53A9">
        <w:tc>
          <w:tcPr>
            <w:tcW w:w="624" w:type="dxa"/>
            <w:shd w:val="clear" w:color="auto" w:fill="auto"/>
            <w:vAlign w:val="center"/>
          </w:tcPr>
          <w:p w:rsidR="00382E89" w:rsidRPr="008B53A9" w:rsidRDefault="00382E89" w:rsidP="00DD63AD">
            <w:pPr>
              <w:pStyle w:val="Tabulka"/>
              <w:rPr>
                <w:rFonts w:cs="Calibri"/>
                <w:lang w:val="cs-CZ" w:eastAsia="cs-CZ"/>
              </w:rPr>
            </w:pPr>
            <w:r w:rsidRPr="008B53A9">
              <w:rPr>
                <w:rFonts w:cs="Calibri"/>
                <w:lang w:val="cs-CZ" w:eastAsia="cs-CZ"/>
              </w:rPr>
              <w:t>046</w:t>
            </w:r>
          </w:p>
        </w:tc>
        <w:tc>
          <w:tcPr>
            <w:tcW w:w="1707" w:type="dxa"/>
            <w:shd w:val="clear" w:color="auto" w:fill="auto"/>
            <w:vAlign w:val="center"/>
          </w:tcPr>
          <w:p w:rsidR="00382E89" w:rsidRPr="008B53A9" w:rsidRDefault="00382E89" w:rsidP="00E84B36">
            <w:pPr>
              <w:pStyle w:val="Tabulka"/>
              <w:jc w:val="right"/>
              <w:rPr>
                <w:rFonts w:cs="Calibri"/>
                <w:lang w:val="cs-CZ" w:eastAsia="cs-CZ"/>
              </w:rPr>
            </w:pPr>
            <w:r w:rsidRPr="008B53A9">
              <w:rPr>
                <w:rFonts w:cs="Calibri"/>
                <w:lang w:val="cs-CZ" w:eastAsia="cs-CZ"/>
              </w:rPr>
              <w:t>521 380 364</w:t>
            </w:r>
          </w:p>
        </w:tc>
        <w:tc>
          <w:tcPr>
            <w:tcW w:w="561" w:type="dxa"/>
            <w:shd w:val="clear" w:color="auto" w:fill="auto"/>
            <w:vAlign w:val="center"/>
          </w:tcPr>
          <w:p w:rsidR="00382E89" w:rsidRPr="008B53A9" w:rsidRDefault="00382E89" w:rsidP="00DD63AD">
            <w:pPr>
              <w:pStyle w:val="Tabulka"/>
              <w:rPr>
                <w:rFonts w:cs="Calibri"/>
                <w:lang w:val="cs-CZ" w:eastAsia="cs-CZ"/>
              </w:rPr>
            </w:pPr>
          </w:p>
        </w:tc>
        <w:tc>
          <w:tcPr>
            <w:tcW w:w="1771" w:type="dxa"/>
            <w:shd w:val="clear" w:color="auto" w:fill="auto"/>
            <w:vAlign w:val="center"/>
          </w:tcPr>
          <w:p w:rsidR="00382E89" w:rsidRPr="008B53A9" w:rsidRDefault="00382E89" w:rsidP="00E84B36">
            <w:pPr>
              <w:pStyle w:val="Tabulka"/>
              <w:jc w:val="right"/>
              <w:rPr>
                <w:rFonts w:cs="Calibri"/>
                <w:lang w:val="cs-CZ" w:eastAsia="cs-CZ"/>
              </w:rPr>
            </w:pPr>
          </w:p>
        </w:tc>
        <w:tc>
          <w:tcPr>
            <w:tcW w:w="639" w:type="dxa"/>
            <w:shd w:val="clear" w:color="auto" w:fill="auto"/>
            <w:vAlign w:val="center"/>
          </w:tcPr>
          <w:p w:rsidR="00382E89" w:rsidRPr="008B53A9" w:rsidRDefault="00382E89" w:rsidP="00DD63AD">
            <w:pPr>
              <w:pStyle w:val="Tabulka"/>
              <w:rPr>
                <w:rFonts w:cs="Calibri"/>
                <w:lang w:val="cs-CZ" w:eastAsia="cs-CZ"/>
              </w:rPr>
            </w:pPr>
            <w:r w:rsidRPr="008B53A9">
              <w:rPr>
                <w:rFonts w:cs="Calibri"/>
                <w:lang w:val="cs-CZ" w:eastAsia="cs-CZ"/>
              </w:rPr>
              <w:t>02</w:t>
            </w:r>
          </w:p>
        </w:tc>
        <w:tc>
          <w:tcPr>
            <w:tcW w:w="1692" w:type="dxa"/>
            <w:shd w:val="clear" w:color="auto" w:fill="auto"/>
            <w:vAlign w:val="center"/>
          </w:tcPr>
          <w:p w:rsidR="00382E89" w:rsidRPr="008B53A9" w:rsidRDefault="00382E89" w:rsidP="00E84B36">
            <w:pPr>
              <w:pStyle w:val="Tabulka"/>
              <w:jc w:val="right"/>
              <w:rPr>
                <w:rFonts w:cs="Calibri"/>
                <w:lang w:val="cs-CZ" w:eastAsia="cs-CZ"/>
              </w:rPr>
            </w:pPr>
            <w:r w:rsidRPr="008B53A9">
              <w:rPr>
                <w:rFonts w:cs="Calibri"/>
                <w:lang w:val="cs-CZ" w:eastAsia="cs-CZ"/>
              </w:rPr>
              <w:t>275 153 308</w:t>
            </w:r>
          </w:p>
        </w:tc>
        <w:tc>
          <w:tcPr>
            <w:tcW w:w="576" w:type="dxa"/>
            <w:shd w:val="clear" w:color="auto" w:fill="auto"/>
            <w:vAlign w:val="center"/>
          </w:tcPr>
          <w:p w:rsidR="00382E89" w:rsidRPr="008B53A9" w:rsidRDefault="00382E89" w:rsidP="00DD63AD">
            <w:pPr>
              <w:pStyle w:val="Tabulka"/>
              <w:rPr>
                <w:rFonts w:cs="Calibri"/>
                <w:lang w:val="cs-CZ" w:eastAsia="cs-CZ"/>
              </w:rPr>
            </w:pPr>
          </w:p>
        </w:tc>
        <w:tc>
          <w:tcPr>
            <w:tcW w:w="1756" w:type="dxa"/>
            <w:shd w:val="clear" w:color="auto" w:fill="auto"/>
            <w:vAlign w:val="center"/>
          </w:tcPr>
          <w:p w:rsidR="00382E89" w:rsidRPr="008B53A9" w:rsidRDefault="00382E89" w:rsidP="00E84B36">
            <w:pPr>
              <w:pStyle w:val="Tabulka"/>
              <w:jc w:val="right"/>
              <w:rPr>
                <w:rFonts w:cs="Calibri"/>
                <w:lang w:val="cs-CZ" w:eastAsia="cs-CZ"/>
              </w:rPr>
            </w:pPr>
          </w:p>
        </w:tc>
      </w:tr>
      <w:tr w:rsidR="00382E89" w:rsidRPr="008B53A9">
        <w:tc>
          <w:tcPr>
            <w:tcW w:w="624" w:type="dxa"/>
            <w:shd w:val="clear" w:color="auto" w:fill="auto"/>
            <w:vAlign w:val="center"/>
          </w:tcPr>
          <w:p w:rsidR="00382E89" w:rsidRPr="008B53A9" w:rsidRDefault="00382E89" w:rsidP="00DD63AD">
            <w:pPr>
              <w:pStyle w:val="Tabulka"/>
              <w:rPr>
                <w:rFonts w:cs="Calibri"/>
                <w:lang w:val="cs-CZ" w:eastAsia="cs-CZ"/>
              </w:rPr>
            </w:pPr>
            <w:r w:rsidRPr="008B53A9">
              <w:rPr>
                <w:rFonts w:cs="Calibri"/>
                <w:lang w:val="cs-CZ" w:eastAsia="cs-CZ"/>
              </w:rPr>
              <w:t>048</w:t>
            </w:r>
          </w:p>
        </w:tc>
        <w:tc>
          <w:tcPr>
            <w:tcW w:w="1707" w:type="dxa"/>
            <w:shd w:val="clear" w:color="auto" w:fill="auto"/>
            <w:vAlign w:val="center"/>
          </w:tcPr>
          <w:p w:rsidR="00382E89" w:rsidRPr="008B53A9" w:rsidRDefault="00382E89" w:rsidP="00E84B36">
            <w:pPr>
              <w:pStyle w:val="Tabulka"/>
              <w:jc w:val="right"/>
              <w:rPr>
                <w:rFonts w:cs="Calibri"/>
                <w:lang w:val="cs-CZ" w:eastAsia="cs-CZ"/>
              </w:rPr>
            </w:pPr>
            <w:r w:rsidRPr="008B53A9">
              <w:rPr>
                <w:rFonts w:cs="Calibri"/>
                <w:lang w:val="cs-CZ" w:eastAsia="cs-CZ"/>
              </w:rPr>
              <w:t>41 676 980</w:t>
            </w:r>
          </w:p>
        </w:tc>
        <w:tc>
          <w:tcPr>
            <w:tcW w:w="561" w:type="dxa"/>
            <w:shd w:val="clear" w:color="auto" w:fill="auto"/>
            <w:vAlign w:val="center"/>
          </w:tcPr>
          <w:p w:rsidR="00382E89" w:rsidRPr="008B53A9" w:rsidRDefault="00382E89" w:rsidP="00DD63AD">
            <w:pPr>
              <w:pStyle w:val="Tabulka"/>
              <w:rPr>
                <w:rFonts w:cs="Calibri"/>
                <w:lang w:val="cs-CZ" w:eastAsia="cs-CZ"/>
              </w:rPr>
            </w:pPr>
          </w:p>
        </w:tc>
        <w:tc>
          <w:tcPr>
            <w:tcW w:w="1771" w:type="dxa"/>
            <w:shd w:val="clear" w:color="auto" w:fill="auto"/>
            <w:vAlign w:val="center"/>
          </w:tcPr>
          <w:p w:rsidR="00382E89" w:rsidRPr="008B53A9" w:rsidRDefault="00382E89" w:rsidP="00E84B36">
            <w:pPr>
              <w:pStyle w:val="Tabulka"/>
              <w:jc w:val="right"/>
              <w:rPr>
                <w:rFonts w:cs="Calibri"/>
                <w:lang w:val="cs-CZ" w:eastAsia="cs-CZ"/>
              </w:rPr>
            </w:pPr>
          </w:p>
        </w:tc>
        <w:tc>
          <w:tcPr>
            <w:tcW w:w="639" w:type="dxa"/>
            <w:shd w:val="clear" w:color="auto" w:fill="auto"/>
            <w:vAlign w:val="center"/>
          </w:tcPr>
          <w:p w:rsidR="00382E89" w:rsidRPr="008B53A9" w:rsidRDefault="00382E89" w:rsidP="00DD63AD">
            <w:pPr>
              <w:pStyle w:val="Tabulka"/>
              <w:rPr>
                <w:rFonts w:cs="Calibri"/>
                <w:lang w:val="cs-CZ" w:eastAsia="cs-CZ"/>
              </w:rPr>
            </w:pPr>
            <w:r w:rsidRPr="008B53A9">
              <w:rPr>
                <w:rFonts w:cs="Calibri"/>
                <w:lang w:val="cs-CZ" w:eastAsia="cs-CZ"/>
              </w:rPr>
              <w:t>03</w:t>
            </w:r>
          </w:p>
        </w:tc>
        <w:tc>
          <w:tcPr>
            <w:tcW w:w="1692" w:type="dxa"/>
            <w:shd w:val="clear" w:color="auto" w:fill="auto"/>
            <w:vAlign w:val="center"/>
          </w:tcPr>
          <w:p w:rsidR="00382E89" w:rsidRPr="008B53A9" w:rsidRDefault="00382E89" w:rsidP="00E84B36">
            <w:pPr>
              <w:pStyle w:val="Tabulka"/>
              <w:jc w:val="right"/>
              <w:rPr>
                <w:rFonts w:cs="Calibri"/>
                <w:lang w:val="cs-CZ" w:eastAsia="cs-CZ"/>
              </w:rPr>
            </w:pPr>
            <w:r w:rsidRPr="008B53A9">
              <w:rPr>
                <w:rFonts w:cs="Calibri"/>
                <w:lang w:val="cs-CZ" w:eastAsia="cs-CZ"/>
              </w:rPr>
              <w:t>185 914 397</w:t>
            </w:r>
          </w:p>
        </w:tc>
        <w:tc>
          <w:tcPr>
            <w:tcW w:w="576" w:type="dxa"/>
            <w:shd w:val="clear" w:color="auto" w:fill="auto"/>
            <w:vAlign w:val="center"/>
          </w:tcPr>
          <w:p w:rsidR="00382E89" w:rsidRPr="008B53A9" w:rsidRDefault="00382E89" w:rsidP="00DD63AD">
            <w:pPr>
              <w:pStyle w:val="Tabulka"/>
              <w:rPr>
                <w:rFonts w:cs="Calibri"/>
                <w:lang w:val="cs-CZ" w:eastAsia="cs-CZ"/>
              </w:rPr>
            </w:pPr>
          </w:p>
        </w:tc>
        <w:tc>
          <w:tcPr>
            <w:tcW w:w="1756" w:type="dxa"/>
            <w:shd w:val="clear" w:color="auto" w:fill="auto"/>
            <w:vAlign w:val="center"/>
          </w:tcPr>
          <w:p w:rsidR="00382E89" w:rsidRPr="008B53A9" w:rsidRDefault="00382E89" w:rsidP="00E84B36">
            <w:pPr>
              <w:pStyle w:val="Tabulka"/>
              <w:jc w:val="right"/>
              <w:rPr>
                <w:rFonts w:cs="Calibri"/>
                <w:lang w:val="cs-CZ" w:eastAsia="cs-CZ"/>
              </w:rPr>
            </w:pPr>
          </w:p>
        </w:tc>
      </w:tr>
      <w:tr w:rsidR="00382E89" w:rsidRPr="008B53A9">
        <w:tc>
          <w:tcPr>
            <w:tcW w:w="624" w:type="dxa"/>
            <w:shd w:val="clear" w:color="auto" w:fill="auto"/>
            <w:vAlign w:val="center"/>
          </w:tcPr>
          <w:p w:rsidR="00382E89" w:rsidRPr="008B53A9" w:rsidRDefault="00382E89" w:rsidP="00DD63AD">
            <w:pPr>
              <w:pStyle w:val="Tabulka"/>
              <w:rPr>
                <w:rFonts w:cs="Calibri"/>
                <w:lang w:val="cs-CZ" w:eastAsia="cs-CZ"/>
              </w:rPr>
            </w:pPr>
            <w:r w:rsidRPr="008B53A9">
              <w:rPr>
                <w:rFonts w:cs="Calibri"/>
                <w:lang w:val="cs-CZ" w:eastAsia="cs-CZ"/>
              </w:rPr>
              <w:t>082</w:t>
            </w:r>
          </w:p>
        </w:tc>
        <w:tc>
          <w:tcPr>
            <w:tcW w:w="1707" w:type="dxa"/>
            <w:shd w:val="clear" w:color="auto" w:fill="auto"/>
            <w:vAlign w:val="center"/>
          </w:tcPr>
          <w:p w:rsidR="00382E89" w:rsidRPr="008B53A9" w:rsidRDefault="00382E89" w:rsidP="00E84B36">
            <w:pPr>
              <w:pStyle w:val="Tabulka"/>
              <w:jc w:val="right"/>
              <w:rPr>
                <w:rFonts w:cs="Calibri"/>
                <w:lang w:val="cs-CZ" w:eastAsia="cs-CZ"/>
              </w:rPr>
            </w:pPr>
            <w:r w:rsidRPr="008B53A9">
              <w:rPr>
                <w:rFonts w:cs="Calibri"/>
                <w:lang w:val="cs-CZ" w:eastAsia="cs-CZ"/>
              </w:rPr>
              <w:t>125 030 939</w:t>
            </w:r>
          </w:p>
        </w:tc>
        <w:tc>
          <w:tcPr>
            <w:tcW w:w="561" w:type="dxa"/>
            <w:shd w:val="clear" w:color="auto" w:fill="auto"/>
            <w:vAlign w:val="center"/>
          </w:tcPr>
          <w:p w:rsidR="00382E89" w:rsidRPr="008B53A9" w:rsidRDefault="00382E89" w:rsidP="00DD63AD">
            <w:pPr>
              <w:pStyle w:val="Tabulka"/>
              <w:rPr>
                <w:rFonts w:cs="Calibri"/>
                <w:lang w:val="cs-CZ" w:eastAsia="cs-CZ"/>
              </w:rPr>
            </w:pPr>
          </w:p>
        </w:tc>
        <w:tc>
          <w:tcPr>
            <w:tcW w:w="1771" w:type="dxa"/>
            <w:shd w:val="clear" w:color="auto" w:fill="auto"/>
            <w:vAlign w:val="center"/>
          </w:tcPr>
          <w:p w:rsidR="00382E89" w:rsidRPr="008B53A9" w:rsidRDefault="00382E89" w:rsidP="00E84B36">
            <w:pPr>
              <w:pStyle w:val="Tabulka"/>
              <w:jc w:val="right"/>
              <w:rPr>
                <w:rFonts w:cs="Calibri"/>
                <w:lang w:val="cs-CZ" w:eastAsia="cs-CZ"/>
              </w:rPr>
            </w:pPr>
          </w:p>
        </w:tc>
        <w:tc>
          <w:tcPr>
            <w:tcW w:w="639" w:type="dxa"/>
            <w:shd w:val="clear" w:color="auto" w:fill="auto"/>
            <w:vAlign w:val="center"/>
          </w:tcPr>
          <w:p w:rsidR="00382E89" w:rsidRPr="008B53A9" w:rsidRDefault="00382E89" w:rsidP="00DD63AD">
            <w:pPr>
              <w:pStyle w:val="Tabulka"/>
              <w:rPr>
                <w:rFonts w:cs="Calibri"/>
                <w:lang w:val="cs-CZ" w:eastAsia="cs-CZ"/>
              </w:rPr>
            </w:pPr>
          </w:p>
        </w:tc>
        <w:tc>
          <w:tcPr>
            <w:tcW w:w="1692" w:type="dxa"/>
            <w:shd w:val="clear" w:color="auto" w:fill="auto"/>
            <w:vAlign w:val="center"/>
          </w:tcPr>
          <w:p w:rsidR="00382E89" w:rsidRPr="008B53A9" w:rsidRDefault="00382E89" w:rsidP="00E84B36">
            <w:pPr>
              <w:pStyle w:val="Tabulka"/>
              <w:jc w:val="right"/>
              <w:rPr>
                <w:rFonts w:cs="Calibri"/>
                <w:lang w:val="cs-CZ" w:eastAsia="cs-CZ"/>
              </w:rPr>
            </w:pPr>
          </w:p>
        </w:tc>
        <w:tc>
          <w:tcPr>
            <w:tcW w:w="576" w:type="dxa"/>
            <w:shd w:val="clear" w:color="auto" w:fill="auto"/>
            <w:vAlign w:val="center"/>
          </w:tcPr>
          <w:p w:rsidR="00382E89" w:rsidRPr="008B53A9" w:rsidRDefault="00382E89" w:rsidP="00DD63AD">
            <w:pPr>
              <w:pStyle w:val="Tabulka"/>
              <w:rPr>
                <w:rFonts w:cs="Calibri"/>
                <w:lang w:val="cs-CZ" w:eastAsia="cs-CZ"/>
              </w:rPr>
            </w:pPr>
          </w:p>
        </w:tc>
        <w:tc>
          <w:tcPr>
            <w:tcW w:w="1756" w:type="dxa"/>
            <w:shd w:val="clear" w:color="auto" w:fill="auto"/>
            <w:vAlign w:val="center"/>
          </w:tcPr>
          <w:p w:rsidR="00382E89" w:rsidRPr="008B53A9" w:rsidRDefault="00382E89" w:rsidP="00E84B36">
            <w:pPr>
              <w:pStyle w:val="Tabulka"/>
              <w:jc w:val="right"/>
              <w:rPr>
                <w:rFonts w:cs="Calibri"/>
                <w:lang w:val="cs-CZ" w:eastAsia="cs-CZ"/>
              </w:rPr>
            </w:pPr>
          </w:p>
        </w:tc>
      </w:tr>
    </w:tbl>
    <w:p w:rsidR="00F47390" w:rsidRPr="008B53A9" w:rsidRDefault="00DF23DE" w:rsidP="005F43DF">
      <w:pPr>
        <w:pStyle w:val="kapitola2A0"/>
        <w:numPr>
          <w:ilvl w:val="2"/>
          <w:numId w:val="75"/>
        </w:numPr>
      </w:pPr>
      <w:bookmarkStart w:id="100" w:name="_Toc391539663"/>
      <w:r w:rsidRPr="008B53A9">
        <w:t>Přehled plánovaného využití technické pomoci, je-li to nutné, včetně opatření na posílení správní kapacity orgánů zapojených do řízení a kontroly programů a příjemců (použije-li se)</w:t>
      </w:r>
      <w:bookmarkEnd w:id="100"/>
    </w:p>
    <w:p w:rsidR="00F47390" w:rsidRPr="008B53A9" w:rsidRDefault="008F72F4" w:rsidP="009D7E8A">
      <w:pPr>
        <w:pStyle w:val="Standardntext"/>
        <w:rPr>
          <w:color w:val="FF0000"/>
        </w:rPr>
      </w:pPr>
      <w:r w:rsidRPr="008B53A9">
        <w:t>Není relevantní pro OP PIK.</w:t>
      </w:r>
      <w:r w:rsidR="00F47390" w:rsidRPr="008B53A9">
        <w:br w:type="page"/>
      </w:r>
    </w:p>
    <w:p w:rsidR="00017D76" w:rsidRPr="008B53A9" w:rsidRDefault="00E62B2C" w:rsidP="00E62B2C">
      <w:pPr>
        <w:pStyle w:val="kapitola2A"/>
      </w:pPr>
      <w:bookmarkStart w:id="101" w:name="_Toc351464413"/>
      <w:bookmarkStart w:id="102" w:name="_Toc391539664"/>
      <w:r w:rsidRPr="008B53A9">
        <w:lastRenderedPageBreak/>
        <w:t>Popis prioritních os pro technickou pomoc</w:t>
      </w:r>
      <w:bookmarkEnd w:id="102"/>
      <w:r w:rsidR="00017D76" w:rsidRPr="008B53A9">
        <w:t xml:space="preserve"> </w:t>
      </w:r>
    </w:p>
    <w:p w:rsidR="00E62B2C" w:rsidRPr="008B53A9" w:rsidRDefault="00E62B2C" w:rsidP="005F43DF">
      <w:pPr>
        <w:pStyle w:val="kapitola2B"/>
        <w:numPr>
          <w:ilvl w:val="2"/>
          <w:numId w:val="12"/>
        </w:numPr>
        <w:ind w:left="709"/>
      </w:pPr>
      <w:bookmarkStart w:id="103" w:name="_Toc391539665"/>
      <w:bookmarkEnd w:id="101"/>
      <w:r w:rsidRPr="008B53A9">
        <w:t>PRIORITNÍ OSA 5: Technická pomoc</w:t>
      </w:r>
      <w:bookmarkEnd w:id="103"/>
    </w:p>
    <w:p w:rsidR="00E62B2C" w:rsidRPr="008B53A9" w:rsidRDefault="00E62B2C" w:rsidP="005F43DF">
      <w:pPr>
        <w:pStyle w:val="kapitola2B"/>
        <w:numPr>
          <w:ilvl w:val="2"/>
          <w:numId w:val="12"/>
        </w:numPr>
        <w:ind w:left="709"/>
      </w:pPr>
      <w:bookmarkStart w:id="104" w:name="_Toc391539666"/>
      <w:r w:rsidRPr="008B53A9">
        <w:t>Odůvodnění stanovení prioritní osy, jež zahrnuje více než jednu kategorii regionů (použije-li se)</w:t>
      </w:r>
      <w:bookmarkEnd w:id="104"/>
    </w:p>
    <w:p w:rsidR="00E62B2C" w:rsidRPr="008B53A9" w:rsidRDefault="00E62B2C" w:rsidP="00E62B2C">
      <w:pPr>
        <w:pStyle w:val="Standardntext"/>
      </w:pPr>
      <w:r w:rsidRPr="008B53A9">
        <w:t>Není relevantní pro OP PIK.</w:t>
      </w:r>
    </w:p>
    <w:p w:rsidR="00E62B2C" w:rsidRPr="008B53A9" w:rsidRDefault="00E62B2C" w:rsidP="005F43DF">
      <w:pPr>
        <w:pStyle w:val="kapitola2B"/>
        <w:numPr>
          <w:ilvl w:val="2"/>
          <w:numId w:val="12"/>
        </w:numPr>
        <w:ind w:left="709"/>
      </w:pPr>
      <w:bookmarkStart w:id="105" w:name="_Toc391539667"/>
      <w:r w:rsidRPr="008B53A9">
        <w:t>Fond a kategorie regionů</w:t>
      </w:r>
      <w:bookmarkEnd w:id="105"/>
    </w:p>
    <w:p w:rsidR="00E62B2C" w:rsidRPr="008B53A9" w:rsidRDefault="00E62B2C" w:rsidP="00E62B2C">
      <w:pPr>
        <w:pStyle w:val="Standardntext"/>
      </w:pPr>
      <w:r w:rsidRPr="008B53A9">
        <w:t>Fond: Evropský fond pro regionální rozvoj</w:t>
      </w:r>
    </w:p>
    <w:p w:rsidR="00E62B2C" w:rsidRPr="008B53A9" w:rsidRDefault="00E62B2C" w:rsidP="00E62B2C">
      <w:pPr>
        <w:pStyle w:val="Standardntext"/>
      </w:pPr>
      <w:r w:rsidRPr="008B53A9">
        <w:t>Kategorie regionů: Méně rozvinuté regiony</w:t>
      </w:r>
    </w:p>
    <w:p w:rsidR="00E62B2C" w:rsidRPr="008B53A9" w:rsidRDefault="008668C8" w:rsidP="00E62B2C">
      <w:pPr>
        <w:pStyle w:val="Standardntext"/>
      </w:pPr>
      <w:r w:rsidRPr="008B53A9">
        <w:t>Základ pro výpočet</w:t>
      </w:r>
      <w:r w:rsidRPr="008B53A9">
        <w:rPr>
          <w:lang w:val="cs-CZ"/>
        </w:rPr>
        <w:t xml:space="preserve">: </w:t>
      </w:r>
      <w:r w:rsidRPr="008B53A9">
        <w:t>způsobilé veřejné výdaje</w:t>
      </w:r>
    </w:p>
    <w:p w:rsidR="005444BD" w:rsidRPr="008B53A9" w:rsidRDefault="005444BD" w:rsidP="005F43DF">
      <w:pPr>
        <w:pStyle w:val="kapitola2B"/>
        <w:numPr>
          <w:ilvl w:val="2"/>
          <w:numId w:val="12"/>
        </w:numPr>
        <w:ind w:left="709"/>
      </w:pPr>
      <w:bookmarkStart w:id="106" w:name="_Toc391539668"/>
      <w:r w:rsidRPr="008B53A9">
        <w:t>Specifické cíle a očekávané výsledky</w:t>
      </w:r>
      <w:bookmarkEnd w:id="106"/>
    </w:p>
    <w:p w:rsidR="00111415" w:rsidRPr="008B53A9" w:rsidRDefault="003218B1" w:rsidP="00396141">
      <w:pPr>
        <w:pStyle w:val="Modrnadpis"/>
      </w:pPr>
      <w:r w:rsidRPr="008B53A9">
        <w:t>SPECIFICKÝ CÍL</w:t>
      </w:r>
      <w:r w:rsidR="0064012D" w:rsidRPr="008B53A9">
        <w:t xml:space="preserve"> </w:t>
      </w:r>
      <w:r w:rsidR="00961515" w:rsidRPr="008B53A9">
        <w:t>5.</w:t>
      </w:r>
      <w:r w:rsidR="0064012D" w:rsidRPr="008B53A9">
        <w:t>1</w:t>
      </w:r>
      <w:r w:rsidRPr="008B53A9">
        <w:t xml:space="preserve">: </w:t>
      </w:r>
      <w:r w:rsidR="00111415" w:rsidRPr="008B53A9">
        <w:t>Zajištění efektivní</w:t>
      </w:r>
      <w:r w:rsidR="00346FC8" w:rsidRPr="008B53A9">
        <w:t xml:space="preserve">ho řízení a </w:t>
      </w:r>
      <w:r w:rsidR="00111415" w:rsidRPr="008B53A9">
        <w:t>administrace operačního programu</w:t>
      </w:r>
    </w:p>
    <w:p w:rsidR="00264514" w:rsidRPr="008B53A9" w:rsidRDefault="00264514" w:rsidP="00264514">
      <w:pPr>
        <w:pStyle w:val="Standardntext"/>
        <w:rPr>
          <w:bCs/>
        </w:rPr>
      </w:pPr>
      <w:r w:rsidRPr="008B53A9">
        <w:rPr>
          <w:bCs/>
        </w:rPr>
        <w:t xml:space="preserve">Předpokladem naplňování specifického cíle jsou především kvalitní lidské zdroje, </w:t>
      </w:r>
      <w:r w:rsidR="00C6562F" w:rsidRPr="008B53A9">
        <w:rPr>
          <w:bCs/>
        </w:rPr>
        <w:t xml:space="preserve">jednotně a srozumitelně zpracované </w:t>
      </w:r>
      <w:r w:rsidRPr="008B53A9">
        <w:rPr>
          <w:bCs/>
        </w:rPr>
        <w:t>manuály</w:t>
      </w:r>
      <w:r w:rsidR="00C6562F" w:rsidRPr="008B53A9">
        <w:rPr>
          <w:bCs/>
        </w:rPr>
        <w:t>, příručky</w:t>
      </w:r>
      <w:r w:rsidRPr="008B53A9">
        <w:rPr>
          <w:bCs/>
        </w:rPr>
        <w:t xml:space="preserve"> a metodiky pro postupy v implementaci a monitorování, pro provádění kontrol</w:t>
      </w:r>
      <w:r w:rsidR="00C6562F" w:rsidRPr="008B53A9">
        <w:rPr>
          <w:bCs/>
        </w:rPr>
        <w:t>,</w:t>
      </w:r>
      <w:r w:rsidR="00DE2376" w:rsidRPr="008B53A9">
        <w:rPr>
          <w:bCs/>
          <w:lang w:val="cs-CZ"/>
        </w:rPr>
        <w:t xml:space="preserve"> </w:t>
      </w:r>
      <w:r w:rsidRPr="008B53A9">
        <w:rPr>
          <w:bCs/>
        </w:rPr>
        <w:t xml:space="preserve">informační a monitorovací systémy. </w:t>
      </w:r>
      <w:r w:rsidR="00C6562F" w:rsidRPr="008B53A9">
        <w:rPr>
          <w:bCs/>
        </w:rPr>
        <w:t xml:space="preserve">Podstatou specifického cíle </w:t>
      </w:r>
      <w:r w:rsidRPr="008B53A9">
        <w:rPr>
          <w:bCs/>
        </w:rPr>
        <w:t xml:space="preserve">je zajištění administrace </w:t>
      </w:r>
      <w:r w:rsidR="004B2EFF" w:rsidRPr="008B53A9">
        <w:rPr>
          <w:bCs/>
        </w:rPr>
        <w:t xml:space="preserve">a monitorování </w:t>
      </w:r>
      <w:r w:rsidRPr="008B53A9">
        <w:rPr>
          <w:bCs/>
        </w:rPr>
        <w:t xml:space="preserve">programu spojené s efektivní implementací za účelem řádného čerpání </w:t>
      </w:r>
      <w:r w:rsidR="00C6562F" w:rsidRPr="008B53A9">
        <w:rPr>
          <w:bCs/>
        </w:rPr>
        <w:t xml:space="preserve">prostředků dle </w:t>
      </w:r>
      <w:r w:rsidRPr="008B53A9">
        <w:rPr>
          <w:bCs/>
        </w:rPr>
        <w:t xml:space="preserve">pravidel stanovených v legislativě k </w:t>
      </w:r>
      <w:r w:rsidR="00C6562F" w:rsidRPr="008B53A9">
        <w:rPr>
          <w:bCs/>
        </w:rPr>
        <w:t xml:space="preserve">ESI fondům, </w:t>
      </w:r>
      <w:r w:rsidRPr="008B53A9">
        <w:rPr>
          <w:bCs/>
        </w:rPr>
        <w:t>za současného naplňování věcných cílů</w:t>
      </w:r>
      <w:r w:rsidR="00C6562F" w:rsidRPr="008B53A9">
        <w:rPr>
          <w:bCs/>
        </w:rPr>
        <w:t xml:space="preserve"> programu</w:t>
      </w:r>
      <w:r w:rsidRPr="008B53A9">
        <w:rPr>
          <w:bCs/>
        </w:rPr>
        <w:t>.</w:t>
      </w:r>
    </w:p>
    <w:p w:rsidR="00264514" w:rsidRPr="008B53A9" w:rsidRDefault="003508A9" w:rsidP="00264514">
      <w:pPr>
        <w:pStyle w:val="Modrnadpis"/>
      </w:pPr>
      <w:r w:rsidRPr="008B53A9">
        <w:t>Výsledky, kterých chce ČR dosáhnout s podporou Unie</w:t>
      </w:r>
    </w:p>
    <w:p w:rsidR="00264514" w:rsidRPr="008B53A9" w:rsidRDefault="00264514" w:rsidP="005F43DF">
      <w:pPr>
        <w:pStyle w:val="Standardntext"/>
        <w:numPr>
          <w:ilvl w:val="0"/>
          <w:numId w:val="64"/>
        </w:numPr>
        <w:textAlignment w:val="auto"/>
      </w:pPr>
      <w:r w:rsidRPr="008B53A9">
        <w:t>Optimální nastavení administrativní kapacity zajistí efektivní řízení programu (zaměstnanci implementační struktury, systém hodnocení projektů).</w:t>
      </w:r>
    </w:p>
    <w:p w:rsidR="00264514" w:rsidRPr="008B53A9" w:rsidRDefault="00264514" w:rsidP="005F43DF">
      <w:pPr>
        <w:pStyle w:val="Standardntext"/>
        <w:numPr>
          <w:ilvl w:val="0"/>
          <w:numId w:val="64"/>
        </w:numPr>
        <w:textAlignment w:val="auto"/>
      </w:pPr>
      <w:r w:rsidRPr="008B53A9">
        <w:t>Optimální zajištění pracovních podmínek povede ke snížení fluktuace zaměstnanců implementační struktury.</w:t>
      </w:r>
    </w:p>
    <w:p w:rsidR="00264514" w:rsidRPr="008B53A9" w:rsidRDefault="00264514" w:rsidP="005F43DF">
      <w:pPr>
        <w:pStyle w:val="Standardntext"/>
        <w:numPr>
          <w:ilvl w:val="0"/>
          <w:numId w:val="64"/>
        </w:numPr>
        <w:textAlignment w:val="auto"/>
      </w:pPr>
      <w:r w:rsidRPr="008B53A9">
        <w:t>Vyšší úroveň vzdělávání a školení zajistí odpovídající kvalitu lidských zdrojů.</w:t>
      </w:r>
    </w:p>
    <w:p w:rsidR="00264514" w:rsidRPr="008B53A9" w:rsidRDefault="00264514" w:rsidP="005F43DF">
      <w:pPr>
        <w:pStyle w:val="Standardntext"/>
        <w:numPr>
          <w:ilvl w:val="0"/>
          <w:numId w:val="64"/>
        </w:numPr>
        <w:textAlignment w:val="auto"/>
      </w:pPr>
      <w:r w:rsidRPr="008B53A9">
        <w:t>Zpracování jasných a přehledných metodik zajistí eliminaci častých změn, různých výkladů a z nich plynoucích pochybení.</w:t>
      </w:r>
    </w:p>
    <w:p w:rsidR="000F6567" w:rsidRPr="008B53A9" w:rsidRDefault="00264514" w:rsidP="005F43DF">
      <w:pPr>
        <w:pStyle w:val="Standardntext"/>
        <w:numPr>
          <w:ilvl w:val="0"/>
          <w:numId w:val="64"/>
        </w:numPr>
        <w:textAlignment w:val="auto"/>
      </w:pPr>
      <w:r w:rsidRPr="008B53A9">
        <w:t>Efektivní využití a přenos informací pro řádnou administraci programu (ověřené postupy a příklady dobré praxe získané v průběhu implementace OP Podnikání a inovace 2007-2013</w:t>
      </w:r>
      <w:r w:rsidR="000F6567" w:rsidRPr="008B53A9">
        <w:t>).</w:t>
      </w:r>
    </w:p>
    <w:p w:rsidR="00264514" w:rsidRPr="008B53A9" w:rsidRDefault="000F6567" w:rsidP="005F43DF">
      <w:pPr>
        <w:pStyle w:val="Standardntext"/>
        <w:numPr>
          <w:ilvl w:val="0"/>
          <w:numId w:val="64"/>
        </w:numPr>
        <w:textAlignment w:val="auto"/>
      </w:pPr>
      <w:r w:rsidRPr="008B53A9">
        <w:t>Činnost a jednání M</w:t>
      </w:r>
      <w:r w:rsidR="00264514" w:rsidRPr="008B53A9">
        <w:t>onitorovacího výboru</w:t>
      </w:r>
      <w:r w:rsidRPr="008B53A9">
        <w:t xml:space="preserve"> OP PIK, </w:t>
      </w:r>
      <w:r w:rsidR="00264514" w:rsidRPr="008B53A9">
        <w:t>pracovní</w:t>
      </w:r>
      <w:r w:rsidRPr="008B53A9">
        <w:t xml:space="preserve">ch </w:t>
      </w:r>
      <w:r w:rsidR="00264514" w:rsidRPr="008B53A9">
        <w:t>skupin.</w:t>
      </w:r>
    </w:p>
    <w:p w:rsidR="00264514" w:rsidRPr="008B53A9" w:rsidRDefault="00264514" w:rsidP="005F43DF">
      <w:pPr>
        <w:pStyle w:val="Standardntext"/>
        <w:numPr>
          <w:ilvl w:val="0"/>
          <w:numId w:val="64"/>
        </w:numPr>
        <w:textAlignment w:val="auto"/>
      </w:pPr>
      <w:r w:rsidRPr="008B53A9">
        <w:t>Efektivní nastavení kontrolního a monitorovacího systému.</w:t>
      </w:r>
    </w:p>
    <w:p w:rsidR="00111415" w:rsidRPr="008B53A9" w:rsidRDefault="003218B1" w:rsidP="00396141">
      <w:pPr>
        <w:pStyle w:val="Modrnadpis"/>
      </w:pPr>
      <w:r w:rsidRPr="008B53A9">
        <w:t>SPECIFICKÝ CÍL</w:t>
      </w:r>
      <w:r w:rsidR="0064012D" w:rsidRPr="008B53A9">
        <w:t xml:space="preserve"> </w:t>
      </w:r>
      <w:r w:rsidR="00961515" w:rsidRPr="008B53A9">
        <w:t>5.</w:t>
      </w:r>
      <w:r w:rsidR="0064012D" w:rsidRPr="008B53A9">
        <w:t>2</w:t>
      </w:r>
      <w:r w:rsidRPr="008B53A9">
        <w:t xml:space="preserve">: </w:t>
      </w:r>
      <w:r w:rsidR="00111415" w:rsidRPr="008B53A9">
        <w:t>Zajištění informovanosti, publicity a absorpční kapacity operačního programu</w:t>
      </w:r>
    </w:p>
    <w:p w:rsidR="00264514" w:rsidRPr="008B53A9" w:rsidRDefault="00264514" w:rsidP="00264514">
      <w:pPr>
        <w:pStyle w:val="Standardntext"/>
      </w:pPr>
      <w:r w:rsidRPr="008B53A9">
        <w:t xml:space="preserve">Předpokladem naplňování specifického cíle je stanovení přesně zacílené komunikační strategie programu, informačních vazeb a kanálů směrem k veřejnosti a cílovým skupinám. </w:t>
      </w:r>
      <w:r w:rsidR="00C6562F" w:rsidRPr="008B53A9">
        <w:t xml:space="preserve">Podstatou </w:t>
      </w:r>
      <w:r w:rsidR="00C6562F" w:rsidRPr="008B53A9">
        <w:lastRenderedPageBreak/>
        <w:t xml:space="preserve">specifického cíle </w:t>
      </w:r>
      <w:r w:rsidRPr="008B53A9">
        <w:t xml:space="preserve">je tak zajistit efektivní fungování a naplňování komunikační strategie </w:t>
      </w:r>
      <w:r w:rsidR="00D54845" w:rsidRPr="008B53A9">
        <w:t xml:space="preserve">operačního programu </w:t>
      </w:r>
      <w:r w:rsidRPr="008B53A9">
        <w:t xml:space="preserve">vedoucí k posílení </w:t>
      </w:r>
      <w:r w:rsidR="00D54845" w:rsidRPr="008B53A9">
        <w:t xml:space="preserve">jeho </w:t>
      </w:r>
      <w:r w:rsidRPr="008B53A9">
        <w:t xml:space="preserve">absorpční kapacity </w:t>
      </w:r>
      <w:r w:rsidR="00D54845" w:rsidRPr="008B53A9">
        <w:t xml:space="preserve">a </w:t>
      </w:r>
      <w:r w:rsidRPr="008B53A9">
        <w:t>tedy řádnému a efektivnímu čerpání finanční alokace dle pravidel stanovených v legislativě k E</w:t>
      </w:r>
      <w:r w:rsidR="00C6562F" w:rsidRPr="008B53A9">
        <w:t xml:space="preserve">SI fondům, </w:t>
      </w:r>
      <w:r w:rsidRPr="008B53A9">
        <w:t>za současného naplňování věcných cílů</w:t>
      </w:r>
      <w:r w:rsidR="00C6562F" w:rsidRPr="008B53A9">
        <w:t xml:space="preserve"> programu</w:t>
      </w:r>
      <w:r w:rsidRPr="008B53A9">
        <w:t>.</w:t>
      </w:r>
    </w:p>
    <w:p w:rsidR="00264514" w:rsidRPr="008B53A9" w:rsidRDefault="003508A9" w:rsidP="00264514">
      <w:pPr>
        <w:pStyle w:val="Modrnadpis"/>
      </w:pPr>
      <w:r w:rsidRPr="008B53A9">
        <w:t>Výsledky, kterých chce ČR dosáhnout s podporou Unie</w:t>
      </w:r>
    </w:p>
    <w:p w:rsidR="00D54845" w:rsidRPr="008B53A9" w:rsidRDefault="002E176F" w:rsidP="005F43DF">
      <w:pPr>
        <w:pStyle w:val="Standardntext"/>
        <w:numPr>
          <w:ilvl w:val="0"/>
          <w:numId w:val="65"/>
        </w:numPr>
        <w:textAlignment w:val="auto"/>
      </w:pPr>
      <w:r w:rsidRPr="008B53A9">
        <w:t>P</w:t>
      </w:r>
      <w:r w:rsidR="00D54845" w:rsidRPr="008B53A9">
        <w:t>osílení a zajištění absorpční kapacity programu.</w:t>
      </w:r>
    </w:p>
    <w:p w:rsidR="00264514" w:rsidRPr="008B53A9" w:rsidRDefault="00264514" w:rsidP="005F43DF">
      <w:pPr>
        <w:pStyle w:val="Standardntext"/>
        <w:numPr>
          <w:ilvl w:val="0"/>
          <w:numId w:val="65"/>
        </w:numPr>
        <w:textAlignment w:val="auto"/>
      </w:pPr>
      <w:r w:rsidRPr="008B53A9">
        <w:t>Vyšší míra povědomí široké veřejnosti o programu.</w:t>
      </w:r>
    </w:p>
    <w:p w:rsidR="00264514" w:rsidRPr="008B53A9" w:rsidRDefault="00264514" w:rsidP="005F43DF">
      <w:pPr>
        <w:pStyle w:val="Standardntext"/>
        <w:numPr>
          <w:ilvl w:val="0"/>
          <w:numId w:val="65"/>
        </w:numPr>
        <w:textAlignment w:val="auto"/>
      </w:pPr>
      <w:r w:rsidRPr="008B53A9">
        <w:t>Vyšší míra úspěšnosti projektových žádostí.</w:t>
      </w:r>
    </w:p>
    <w:p w:rsidR="00264514" w:rsidRPr="008B53A9" w:rsidRDefault="00264514" w:rsidP="005F43DF">
      <w:pPr>
        <w:pStyle w:val="Standardntext"/>
        <w:numPr>
          <w:ilvl w:val="0"/>
          <w:numId w:val="65"/>
        </w:numPr>
        <w:textAlignment w:val="auto"/>
      </w:pPr>
      <w:r w:rsidRPr="008B53A9">
        <w:t>Zajištění optimálního čerpání finančních prostředků programu prostřednictvím kvalitních projektů a efektivního využití výsledků evaluačních studií (včetně opatření na snížení administrativní zátěže).</w:t>
      </w:r>
    </w:p>
    <w:p w:rsidR="00264514" w:rsidRPr="008B53A9" w:rsidRDefault="00264514" w:rsidP="005F43DF">
      <w:pPr>
        <w:pStyle w:val="Standardntext"/>
        <w:numPr>
          <w:ilvl w:val="0"/>
          <w:numId w:val="65"/>
        </w:numPr>
        <w:textAlignment w:val="auto"/>
      </w:pPr>
      <w:r w:rsidRPr="008B53A9">
        <w:t>Zpracování jasných a přehledných manuálů, příruček a dalších informačních materiálů pro žadatele zajistí eliminaci častých změn, různých výkladů a z nich plynoucích pochybení.</w:t>
      </w:r>
    </w:p>
    <w:p w:rsidR="00CF5E63" w:rsidRPr="008B53A9" w:rsidRDefault="00DD2263" w:rsidP="005F43DF">
      <w:pPr>
        <w:pStyle w:val="kapitola2B"/>
        <w:keepNext w:val="0"/>
        <w:keepLines w:val="0"/>
        <w:numPr>
          <w:ilvl w:val="2"/>
          <w:numId w:val="12"/>
        </w:numPr>
        <w:ind w:left="709"/>
      </w:pPr>
      <w:bookmarkStart w:id="107" w:name="_Toc391539669"/>
      <w:r w:rsidRPr="008B53A9">
        <w:t>Ukazatele výsledků</w:t>
      </w:r>
      <w:bookmarkEnd w:id="107"/>
    </w:p>
    <w:p w:rsidR="004B6609" w:rsidRPr="008B53A9" w:rsidRDefault="004B6609" w:rsidP="00EA2881">
      <w:pPr>
        <w:pStyle w:val="Modrnadpis"/>
        <w:keepNext w:val="0"/>
        <w:keepLines w:val="0"/>
      </w:pPr>
      <w:r w:rsidRPr="008B53A9">
        <w:t>SPECIFICKÝ CÍL 5.1: Zajištění efektivního řízení a administrace operačního programu</w:t>
      </w:r>
    </w:p>
    <w:p w:rsidR="00771C05" w:rsidRPr="008B53A9" w:rsidRDefault="00771C05" w:rsidP="00EA2881">
      <w:pPr>
        <w:pStyle w:val="Titulek"/>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12</w:t>
      </w:r>
      <w:r w:rsidR="00C3289B" w:rsidRPr="008B53A9">
        <w:rPr>
          <w:noProof/>
        </w:rPr>
        <w:fldChar w:fldCharType="end"/>
      </w:r>
      <w:r w:rsidR="004B6609" w:rsidRPr="008B53A9">
        <w:rPr>
          <w:noProof/>
        </w:rPr>
        <w:t>a</w:t>
      </w:r>
      <w:r w:rsidRPr="008B53A9">
        <w:t xml:space="preserve">: </w:t>
      </w:r>
      <w:r w:rsidR="00DD2263" w:rsidRPr="008B53A9">
        <w:t>Programově specifické ukazatele výsledků</w:t>
      </w:r>
    </w:p>
    <w:tbl>
      <w:tblPr>
        <w:tblW w:w="0" w:type="auto"/>
        <w:tblCellMar>
          <w:left w:w="57" w:type="dxa"/>
          <w:right w:w="57" w:type="dxa"/>
        </w:tblCellMar>
        <w:tblLook w:val="01E0" w:firstRow="1" w:lastRow="1" w:firstColumn="1" w:lastColumn="1" w:noHBand="0" w:noVBand="0"/>
      </w:tblPr>
      <w:tblGrid>
        <w:gridCol w:w="908"/>
        <w:gridCol w:w="2410"/>
        <w:gridCol w:w="992"/>
        <w:gridCol w:w="1112"/>
        <w:gridCol w:w="872"/>
        <w:gridCol w:w="993"/>
        <w:gridCol w:w="850"/>
        <w:gridCol w:w="1189"/>
      </w:tblGrid>
      <w:tr w:rsidR="00AF574A" w:rsidRPr="008B53A9">
        <w:trPr>
          <w:trHeight w:hRule="exact" w:val="1029"/>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574A" w:rsidRPr="008B53A9" w:rsidRDefault="00AF574A" w:rsidP="00EA2881">
            <w:pPr>
              <w:pStyle w:val="Tabulka"/>
              <w:rPr>
                <w:rFonts w:cs="Calibri"/>
                <w:lang w:val="cs-CZ" w:eastAsia="cs-CZ"/>
              </w:rPr>
            </w:pPr>
            <w:r w:rsidRPr="008B53A9">
              <w:rPr>
                <w:rFonts w:cs="Calibri"/>
                <w:b/>
                <w:bCs/>
                <w:lang w:val="cs-CZ" w:eastAsia="cs-CZ"/>
              </w:rPr>
              <w:t>ID</w:t>
            </w:r>
          </w:p>
        </w:tc>
        <w:tc>
          <w:tcPr>
            <w:tcW w:w="241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574A" w:rsidRPr="008B53A9" w:rsidRDefault="00DD2263" w:rsidP="00EA2881">
            <w:pPr>
              <w:pStyle w:val="Tabulka"/>
              <w:rPr>
                <w:rFonts w:cs="Calibri"/>
                <w:lang w:val="cs-CZ" w:eastAsia="cs-CZ"/>
              </w:rPr>
            </w:pPr>
            <w:r w:rsidRPr="008B53A9">
              <w:rPr>
                <w:rFonts w:cs="Calibri"/>
                <w:b/>
                <w:bCs/>
                <w:lang w:val="cs-CZ" w:eastAsia="cs-CZ"/>
              </w:rPr>
              <w:t>Ukazatel</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574A" w:rsidRPr="008B53A9" w:rsidRDefault="00AF574A" w:rsidP="00720FD1">
            <w:pPr>
              <w:pStyle w:val="Tabulka"/>
              <w:rPr>
                <w:rFonts w:cs="Calibri"/>
                <w:lang w:val="cs-CZ" w:eastAsia="cs-CZ"/>
              </w:rPr>
            </w:pPr>
            <w:r w:rsidRPr="008B53A9">
              <w:rPr>
                <w:rFonts w:cs="Calibri"/>
                <w:b/>
                <w:bCs/>
                <w:lang w:val="cs-CZ" w:eastAsia="cs-CZ"/>
              </w:rPr>
              <w:t>Měrná</w:t>
            </w:r>
            <w:r w:rsidR="00720FD1" w:rsidRPr="008B53A9">
              <w:rPr>
                <w:rFonts w:cs="Calibri"/>
                <w:b/>
                <w:bCs/>
                <w:lang w:val="cs-CZ" w:eastAsia="cs-CZ"/>
              </w:rPr>
              <w:t xml:space="preserve"> </w:t>
            </w:r>
            <w:r w:rsidRPr="008B53A9">
              <w:rPr>
                <w:rFonts w:cs="Calibri"/>
                <w:b/>
                <w:bCs/>
                <w:lang w:val="cs-CZ" w:eastAsia="cs-CZ"/>
              </w:rPr>
              <w:t>jednotka</w:t>
            </w:r>
          </w:p>
        </w:tc>
        <w:tc>
          <w:tcPr>
            <w:tcW w:w="111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574A" w:rsidRPr="008B53A9" w:rsidRDefault="004B0854" w:rsidP="00EA2881">
            <w:pPr>
              <w:pStyle w:val="Tabulka"/>
              <w:rPr>
                <w:rFonts w:cs="Calibri"/>
                <w:lang w:val="cs-CZ" w:eastAsia="cs-CZ"/>
              </w:rPr>
            </w:pPr>
            <w:r w:rsidRPr="008B53A9">
              <w:rPr>
                <w:rFonts w:cs="Calibri"/>
                <w:b/>
                <w:bCs/>
                <w:lang w:val="cs-CZ" w:eastAsia="cs-CZ"/>
              </w:rPr>
              <w:t>Výchozí hodnota</w:t>
            </w:r>
          </w:p>
        </w:tc>
        <w:tc>
          <w:tcPr>
            <w:tcW w:w="87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574A" w:rsidRPr="008B53A9" w:rsidRDefault="004B0854" w:rsidP="004B0854">
            <w:pPr>
              <w:pStyle w:val="Tabulka"/>
              <w:rPr>
                <w:rFonts w:cs="Calibri"/>
                <w:lang w:val="cs-CZ" w:eastAsia="cs-CZ"/>
              </w:rPr>
            </w:pPr>
            <w:r w:rsidRPr="008B53A9">
              <w:rPr>
                <w:rFonts w:cs="Calibri"/>
                <w:b/>
                <w:bCs/>
                <w:lang w:val="cs-CZ" w:eastAsia="cs-CZ"/>
              </w:rPr>
              <w:t xml:space="preserve">Výchozí </w:t>
            </w:r>
            <w:r w:rsidR="00AF574A" w:rsidRPr="008B53A9">
              <w:rPr>
                <w:rFonts w:cs="Calibri"/>
                <w:b/>
                <w:bCs/>
                <w:lang w:val="cs-CZ" w:eastAsia="cs-CZ"/>
              </w:rPr>
              <w:t>rok</w:t>
            </w:r>
          </w:p>
        </w:tc>
        <w:tc>
          <w:tcPr>
            <w:tcW w:w="99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574A" w:rsidRPr="008B53A9" w:rsidRDefault="009E5CFE" w:rsidP="00EA2881">
            <w:pPr>
              <w:pStyle w:val="Tabulka"/>
              <w:rPr>
                <w:rFonts w:cs="Calibri"/>
                <w:lang w:val="cs-CZ" w:eastAsia="cs-CZ"/>
              </w:rPr>
            </w:pPr>
            <w:r w:rsidRPr="008B53A9">
              <w:rPr>
                <w:rFonts w:cs="Calibri"/>
                <w:b/>
                <w:bCs/>
                <w:lang w:val="cs-CZ" w:eastAsia="cs-CZ"/>
              </w:rPr>
              <w:t>Cílová hodnota (2023)</w:t>
            </w:r>
          </w:p>
        </w:tc>
        <w:tc>
          <w:tcPr>
            <w:tcW w:w="850"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574A" w:rsidRPr="008B53A9" w:rsidRDefault="00AF574A" w:rsidP="00EA2881">
            <w:pPr>
              <w:pStyle w:val="Tabulka"/>
              <w:rPr>
                <w:rFonts w:cs="Calibri"/>
                <w:lang w:val="cs-CZ" w:eastAsia="cs-CZ"/>
              </w:rPr>
            </w:pPr>
            <w:r w:rsidRPr="008B53A9">
              <w:rPr>
                <w:rFonts w:cs="Calibri"/>
                <w:b/>
                <w:bCs/>
                <w:lang w:val="cs-CZ" w:eastAsia="cs-CZ"/>
              </w:rPr>
              <w:t>Zdroj údajů</w:t>
            </w:r>
          </w:p>
        </w:tc>
        <w:tc>
          <w:tcPr>
            <w:tcW w:w="1189"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AF574A" w:rsidRPr="008B53A9" w:rsidRDefault="00DD2263" w:rsidP="00EA2881">
            <w:pPr>
              <w:pStyle w:val="Tabulka"/>
              <w:rPr>
                <w:rFonts w:cs="Calibri"/>
                <w:lang w:val="cs-CZ" w:eastAsia="cs-CZ"/>
              </w:rPr>
            </w:pPr>
            <w:r w:rsidRPr="008B53A9">
              <w:rPr>
                <w:rFonts w:cs="Calibri"/>
                <w:b/>
                <w:bCs/>
                <w:lang w:val="cs-CZ" w:eastAsia="cs-CZ"/>
              </w:rPr>
              <w:t>Četnost podávání zpráv</w:t>
            </w:r>
          </w:p>
        </w:tc>
      </w:tr>
      <w:tr w:rsidR="009F0C3A" w:rsidRPr="008B53A9">
        <w:trPr>
          <w:trHeight w:hRule="exact" w:val="884"/>
        </w:trPr>
        <w:tc>
          <w:tcPr>
            <w:tcW w:w="908" w:type="dxa"/>
            <w:tcBorders>
              <w:top w:val="single" w:sz="4" w:space="0" w:color="000000"/>
              <w:left w:val="single" w:sz="4" w:space="0" w:color="000000"/>
              <w:bottom w:val="single" w:sz="4" w:space="0" w:color="000000"/>
              <w:right w:val="single" w:sz="4" w:space="0" w:color="000000"/>
            </w:tcBorders>
            <w:vAlign w:val="center"/>
          </w:tcPr>
          <w:p w:rsidR="009F0C3A" w:rsidRPr="008B53A9" w:rsidRDefault="00843120" w:rsidP="00EA2881">
            <w:pPr>
              <w:pStyle w:val="Tabulka"/>
              <w:rPr>
                <w:rFonts w:cs="Calibri"/>
                <w:lang w:val="cs-CZ" w:eastAsia="cs-CZ"/>
              </w:rPr>
            </w:pPr>
            <w:r w:rsidRPr="008B53A9">
              <w:rPr>
                <w:rFonts w:cs="Calibri"/>
                <w:lang w:val="cs-CZ" w:eastAsia="cs-CZ"/>
              </w:rPr>
              <w:t>82510</w:t>
            </w:r>
          </w:p>
        </w:tc>
        <w:tc>
          <w:tcPr>
            <w:tcW w:w="2410" w:type="dxa"/>
            <w:tcBorders>
              <w:top w:val="single" w:sz="4" w:space="0" w:color="000000"/>
              <w:left w:val="single" w:sz="4" w:space="0" w:color="000000"/>
              <w:bottom w:val="single" w:sz="4" w:space="0" w:color="000000"/>
              <w:right w:val="single" w:sz="4" w:space="0" w:color="000000"/>
            </w:tcBorders>
            <w:vAlign w:val="center"/>
          </w:tcPr>
          <w:p w:rsidR="009F0C3A" w:rsidRPr="008B53A9" w:rsidRDefault="005F561C" w:rsidP="00EA2881">
            <w:pPr>
              <w:pStyle w:val="Tabulka"/>
              <w:jc w:val="left"/>
              <w:rPr>
                <w:rFonts w:cs="Calibri"/>
                <w:lang w:val="cs-CZ" w:eastAsia="cs-CZ"/>
              </w:rPr>
            </w:pPr>
            <w:r w:rsidRPr="008B53A9">
              <w:rPr>
                <w:rFonts w:cs="Calibri"/>
                <w:lang w:val="cs-CZ" w:eastAsia="cs-CZ"/>
              </w:rPr>
              <w:t>Míra stabilizace zaměstnanců implementační struktury</w:t>
            </w:r>
          </w:p>
        </w:tc>
        <w:tc>
          <w:tcPr>
            <w:tcW w:w="992" w:type="dxa"/>
            <w:tcBorders>
              <w:top w:val="single" w:sz="4" w:space="0" w:color="000000"/>
              <w:left w:val="single" w:sz="4" w:space="0" w:color="000000"/>
              <w:bottom w:val="single" w:sz="4" w:space="0" w:color="000000"/>
              <w:right w:val="single" w:sz="4" w:space="0" w:color="000000"/>
            </w:tcBorders>
            <w:vAlign w:val="center"/>
          </w:tcPr>
          <w:p w:rsidR="009F0C3A" w:rsidRPr="008B53A9" w:rsidRDefault="009F0C3A" w:rsidP="00EA2881">
            <w:pPr>
              <w:pStyle w:val="Tabulka"/>
              <w:rPr>
                <w:rFonts w:cs="Calibri"/>
                <w:lang w:val="cs-CZ" w:eastAsia="cs-CZ"/>
              </w:rPr>
            </w:pPr>
            <w:r w:rsidRPr="008B53A9">
              <w:rPr>
                <w:rFonts w:cs="Calibri"/>
                <w:lang w:val="cs-CZ" w:eastAsia="cs-CZ"/>
              </w:rPr>
              <w:t>%</w:t>
            </w:r>
          </w:p>
        </w:tc>
        <w:tc>
          <w:tcPr>
            <w:tcW w:w="1112" w:type="dxa"/>
            <w:tcBorders>
              <w:top w:val="single" w:sz="4" w:space="0" w:color="000000"/>
              <w:left w:val="single" w:sz="4" w:space="0" w:color="000000"/>
              <w:bottom w:val="single" w:sz="4" w:space="0" w:color="000000"/>
              <w:right w:val="single" w:sz="4" w:space="0" w:color="000000"/>
            </w:tcBorders>
            <w:vAlign w:val="center"/>
          </w:tcPr>
          <w:p w:rsidR="009F0C3A" w:rsidRPr="008B53A9" w:rsidRDefault="00EF17A8" w:rsidP="00EA2881">
            <w:pPr>
              <w:pStyle w:val="Tabulka"/>
              <w:rPr>
                <w:rFonts w:cs="Calibri"/>
                <w:lang w:val="cs-CZ" w:eastAsia="cs-CZ"/>
              </w:rPr>
            </w:pPr>
            <w:r w:rsidRPr="008B53A9">
              <w:rPr>
                <w:rFonts w:cs="Calibri"/>
                <w:lang w:val="cs-CZ" w:eastAsia="cs-CZ"/>
              </w:rPr>
              <w:t>53</w:t>
            </w:r>
          </w:p>
        </w:tc>
        <w:tc>
          <w:tcPr>
            <w:tcW w:w="872" w:type="dxa"/>
            <w:tcBorders>
              <w:top w:val="single" w:sz="4" w:space="0" w:color="000000"/>
              <w:left w:val="single" w:sz="4" w:space="0" w:color="000000"/>
              <w:bottom w:val="single" w:sz="4" w:space="0" w:color="000000"/>
              <w:right w:val="single" w:sz="4" w:space="0" w:color="000000"/>
            </w:tcBorders>
            <w:vAlign w:val="center"/>
          </w:tcPr>
          <w:p w:rsidR="009F0C3A" w:rsidRPr="008B53A9" w:rsidRDefault="00EC7290" w:rsidP="00EA2881">
            <w:pPr>
              <w:pStyle w:val="Tabulka"/>
              <w:rPr>
                <w:rFonts w:cs="Calibri"/>
                <w:lang w:val="cs-CZ" w:eastAsia="cs-CZ"/>
              </w:rPr>
            </w:pPr>
            <w:r w:rsidRPr="008B53A9">
              <w:rPr>
                <w:rFonts w:cs="Calibri"/>
                <w:lang w:val="cs-CZ" w:eastAsia="cs-CZ"/>
              </w:rPr>
              <w:t>2014</w:t>
            </w:r>
          </w:p>
        </w:tc>
        <w:tc>
          <w:tcPr>
            <w:tcW w:w="993" w:type="dxa"/>
            <w:tcBorders>
              <w:top w:val="single" w:sz="4" w:space="0" w:color="000000"/>
              <w:left w:val="single" w:sz="4" w:space="0" w:color="000000"/>
              <w:bottom w:val="single" w:sz="4" w:space="0" w:color="000000"/>
              <w:right w:val="single" w:sz="4" w:space="0" w:color="000000"/>
            </w:tcBorders>
            <w:vAlign w:val="center"/>
          </w:tcPr>
          <w:p w:rsidR="009F0C3A" w:rsidRPr="008B53A9" w:rsidRDefault="00EF17A8" w:rsidP="00EA2881">
            <w:pPr>
              <w:pStyle w:val="Tabulka"/>
              <w:rPr>
                <w:rFonts w:cs="Calibri"/>
                <w:lang w:val="cs-CZ" w:eastAsia="cs-CZ"/>
              </w:rPr>
            </w:pPr>
            <w:r w:rsidRPr="008B53A9">
              <w:rPr>
                <w:rFonts w:cs="Calibri"/>
                <w:lang w:val="cs-CZ" w:eastAsia="cs-CZ"/>
              </w:rPr>
              <w:t>65</w:t>
            </w:r>
          </w:p>
        </w:tc>
        <w:tc>
          <w:tcPr>
            <w:tcW w:w="850" w:type="dxa"/>
            <w:tcBorders>
              <w:top w:val="single" w:sz="4" w:space="0" w:color="000000"/>
              <w:left w:val="single" w:sz="4" w:space="0" w:color="000000"/>
              <w:bottom w:val="single" w:sz="4" w:space="0" w:color="000000"/>
              <w:right w:val="single" w:sz="4" w:space="0" w:color="000000"/>
            </w:tcBorders>
            <w:vAlign w:val="center"/>
          </w:tcPr>
          <w:p w:rsidR="009F0C3A" w:rsidRPr="008B53A9" w:rsidRDefault="005F561C" w:rsidP="00EA2881">
            <w:pPr>
              <w:pStyle w:val="Tabulka"/>
              <w:rPr>
                <w:rFonts w:cs="Calibri"/>
                <w:lang w:val="cs-CZ" w:eastAsia="cs-CZ"/>
              </w:rPr>
            </w:pPr>
            <w:r w:rsidRPr="008B53A9">
              <w:rPr>
                <w:rFonts w:cs="Calibri"/>
                <w:lang w:val="cs-CZ" w:eastAsia="cs-CZ"/>
              </w:rPr>
              <w:t>ŘO</w:t>
            </w:r>
          </w:p>
        </w:tc>
        <w:tc>
          <w:tcPr>
            <w:tcW w:w="1189" w:type="dxa"/>
            <w:tcBorders>
              <w:top w:val="single" w:sz="4" w:space="0" w:color="000000"/>
              <w:left w:val="single" w:sz="4" w:space="0" w:color="000000"/>
              <w:bottom w:val="single" w:sz="4" w:space="0" w:color="000000"/>
              <w:right w:val="single" w:sz="4" w:space="0" w:color="000000"/>
            </w:tcBorders>
            <w:vAlign w:val="center"/>
          </w:tcPr>
          <w:p w:rsidR="009F0C3A" w:rsidRPr="008B53A9" w:rsidRDefault="00B00B34" w:rsidP="00EA2881">
            <w:pPr>
              <w:pStyle w:val="Tabulka"/>
              <w:rPr>
                <w:rFonts w:cs="Calibri"/>
                <w:lang w:val="cs-CZ" w:eastAsia="cs-CZ"/>
              </w:rPr>
            </w:pPr>
            <w:r w:rsidRPr="008B53A9">
              <w:rPr>
                <w:rFonts w:cs="Calibri"/>
                <w:lang w:val="cs-CZ" w:eastAsia="cs-CZ"/>
              </w:rPr>
              <w:t>čtvrtletně</w:t>
            </w:r>
          </w:p>
        </w:tc>
      </w:tr>
    </w:tbl>
    <w:p w:rsidR="004B6609" w:rsidRPr="008B53A9" w:rsidRDefault="004B6609" w:rsidP="00DD2263">
      <w:pPr>
        <w:pStyle w:val="Modrnadpis"/>
      </w:pPr>
      <w:r w:rsidRPr="008B53A9">
        <w:t>SPECIFICKÝ CÍL 5.2: Zajištění informovanosti, publicity a absorpční kapacity operačního programu</w:t>
      </w:r>
    </w:p>
    <w:p w:rsidR="004B6609" w:rsidRPr="008B53A9" w:rsidRDefault="004B6609" w:rsidP="00DD2263">
      <w:pPr>
        <w:pStyle w:val="Titulek"/>
        <w:keepNext/>
        <w:keepLines/>
      </w:pPr>
      <w:r w:rsidRPr="008B53A9">
        <w:t xml:space="preserve">Tabulka </w:t>
      </w:r>
      <w:r w:rsidR="00C3289B" w:rsidRPr="008B53A9">
        <w:fldChar w:fldCharType="begin"/>
      </w:r>
      <w:r w:rsidR="00C3289B" w:rsidRPr="008B53A9">
        <w:instrText xml:space="preserve"> SEQ Tabulka \* ARABIC \r 12 </w:instrText>
      </w:r>
      <w:r w:rsidR="00C3289B" w:rsidRPr="008B53A9">
        <w:fldChar w:fldCharType="separate"/>
      </w:r>
      <w:r w:rsidR="00E54216" w:rsidRPr="008B53A9">
        <w:rPr>
          <w:noProof/>
        </w:rPr>
        <w:t>12</w:t>
      </w:r>
      <w:r w:rsidR="00C3289B" w:rsidRPr="008B53A9">
        <w:rPr>
          <w:noProof/>
        </w:rPr>
        <w:fldChar w:fldCharType="end"/>
      </w:r>
      <w:r w:rsidRPr="008B53A9">
        <w:rPr>
          <w:noProof/>
        </w:rPr>
        <w:t>b</w:t>
      </w:r>
      <w:r w:rsidRPr="008B53A9">
        <w:t xml:space="preserve">: </w:t>
      </w:r>
      <w:r w:rsidR="00DD2263" w:rsidRPr="008B53A9">
        <w:t>Programově specifické ukazatele výsledků</w:t>
      </w:r>
    </w:p>
    <w:tbl>
      <w:tblPr>
        <w:tblW w:w="0" w:type="auto"/>
        <w:tblCellMar>
          <w:left w:w="57" w:type="dxa"/>
          <w:right w:w="57" w:type="dxa"/>
        </w:tblCellMar>
        <w:tblLook w:val="01E0" w:firstRow="1" w:lastRow="1" w:firstColumn="1" w:lastColumn="1" w:noHBand="0" w:noVBand="0"/>
      </w:tblPr>
      <w:tblGrid>
        <w:gridCol w:w="908"/>
        <w:gridCol w:w="2268"/>
        <w:gridCol w:w="992"/>
        <w:gridCol w:w="971"/>
        <w:gridCol w:w="872"/>
        <w:gridCol w:w="992"/>
        <w:gridCol w:w="1276"/>
        <w:gridCol w:w="1047"/>
      </w:tblGrid>
      <w:tr w:rsidR="004B6609" w:rsidRPr="008B53A9">
        <w:trPr>
          <w:trHeight w:hRule="exact" w:val="1029"/>
        </w:trPr>
        <w:tc>
          <w:tcPr>
            <w:tcW w:w="90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B6609" w:rsidRPr="008B53A9" w:rsidRDefault="004B6609" w:rsidP="00DD2263">
            <w:pPr>
              <w:pStyle w:val="Tabulka"/>
              <w:keepNext/>
              <w:keepLines/>
              <w:rPr>
                <w:rFonts w:cs="Calibri"/>
                <w:lang w:val="cs-CZ" w:eastAsia="cs-CZ"/>
              </w:rPr>
            </w:pPr>
            <w:r w:rsidRPr="008B53A9">
              <w:rPr>
                <w:rFonts w:cs="Calibri"/>
                <w:b/>
                <w:bCs/>
                <w:lang w:val="cs-CZ" w:eastAsia="cs-CZ"/>
              </w:rPr>
              <w:t>ID</w:t>
            </w:r>
          </w:p>
        </w:tc>
        <w:tc>
          <w:tcPr>
            <w:tcW w:w="226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B6609" w:rsidRPr="008B53A9" w:rsidRDefault="00DD2263" w:rsidP="00DD2263">
            <w:pPr>
              <w:pStyle w:val="Tabulka"/>
              <w:keepNext/>
              <w:keepLines/>
              <w:rPr>
                <w:rFonts w:cs="Calibri"/>
                <w:lang w:val="cs-CZ" w:eastAsia="cs-CZ"/>
              </w:rPr>
            </w:pPr>
            <w:r w:rsidRPr="008B53A9">
              <w:rPr>
                <w:rFonts w:cs="Calibri"/>
                <w:b/>
                <w:bCs/>
                <w:lang w:val="cs-CZ" w:eastAsia="cs-CZ"/>
              </w:rPr>
              <w:t>Ukazatel</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B6609" w:rsidRPr="008B53A9" w:rsidRDefault="004B6609" w:rsidP="00720FD1">
            <w:pPr>
              <w:pStyle w:val="Tabulka"/>
              <w:keepNext/>
              <w:keepLines/>
              <w:rPr>
                <w:rFonts w:cs="Calibri"/>
                <w:lang w:val="cs-CZ" w:eastAsia="cs-CZ"/>
              </w:rPr>
            </w:pPr>
            <w:r w:rsidRPr="008B53A9">
              <w:rPr>
                <w:rFonts w:cs="Calibri"/>
                <w:b/>
                <w:bCs/>
                <w:lang w:val="cs-CZ" w:eastAsia="cs-CZ"/>
              </w:rPr>
              <w:t>Měrná</w:t>
            </w:r>
            <w:r w:rsidR="00720FD1" w:rsidRPr="008B53A9">
              <w:rPr>
                <w:rFonts w:cs="Calibri"/>
                <w:b/>
                <w:bCs/>
                <w:lang w:val="cs-CZ" w:eastAsia="cs-CZ"/>
              </w:rPr>
              <w:t xml:space="preserve"> </w:t>
            </w:r>
            <w:r w:rsidRPr="008B53A9">
              <w:rPr>
                <w:rFonts w:cs="Calibri"/>
                <w:b/>
                <w:bCs/>
                <w:lang w:val="cs-CZ" w:eastAsia="cs-CZ"/>
              </w:rPr>
              <w:t>jednotka</w:t>
            </w:r>
          </w:p>
        </w:tc>
        <w:tc>
          <w:tcPr>
            <w:tcW w:w="971"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B6609" w:rsidRPr="008B53A9" w:rsidRDefault="004B0854" w:rsidP="00DD2263">
            <w:pPr>
              <w:pStyle w:val="Tabulka"/>
              <w:keepNext/>
              <w:keepLines/>
              <w:rPr>
                <w:rFonts w:cs="Calibri"/>
                <w:lang w:val="cs-CZ" w:eastAsia="cs-CZ"/>
              </w:rPr>
            </w:pPr>
            <w:r w:rsidRPr="008B53A9">
              <w:rPr>
                <w:rFonts w:cs="Calibri"/>
                <w:b/>
                <w:bCs/>
                <w:lang w:val="cs-CZ" w:eastAsia="cs-CZ"/>
              </w:rPr>
              <w:t>Výchozí hodnota</w:t>
            </w:r>
          </w:p>
        </w:tc>
        <w:tc>
          <w:tcPr>
            <w:tcW w:w="87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B6609" w:rsidRPr="008B53A9" w:rsidRDefault="004B0854" w:rsidP="004B0854">
            <w:pPr>
              <w:pStyle w:val="Tabulka"/>
              <w:keepNext/>
              <w:keepLines/>
              <w:rPr>
                <w:rFonts w:cs="Calibri"/>
                <w:lang w:val="cs-CZ" w:eastAsia="cs-CZ"/>
              </w:rPr>
            </w:pPr>
            <w:r w:rsidRPr="008B53A9">
              <w:rPr>
                <w:rFonts w:cs="Calibri"/>
                <w:b/>
                <w:bCs/>
                <w:lang w:val="cs-CZ" w:eastAsia="cs-CZ"/>
              </w:rPr>
              <w:t xml:space="preserve">Výchozí </w:t>
            </w:r>
            <w:r w:rsidR="004B6609" w:rsidRPr="008B53A9">
              <w:rPr>
                <w:rFonts w:cs="Calibri"/>
                <w:b/>
                <w:bCs/>
                <w:lang w:val="cs-CZ" w:eastAsia="cs-CZ"/>
              </w:rPr>
              <w:t>rok</w:t>
            </w:r>
          </w:p>
        </w:tc>
        <w:tc>
          <w:tcPr>
            <w:tcW w:w="992"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B6609" w:rsidRPr="008B53A9" w:rsidRDefault="004B6609" w:rsidP="00DD2263">
            <w:pPr>
              <w:pStyle w:val="Tabulka"/>
              <w:keepNext/>
              <w:keepLines/>
              <w:rPr>
                <w:rFonts w:cs="Calibri"/>
                <w:lang w:val="cs-CZ" w:eastAsia="cs-CZ"/>
              </w:rPr>
            </w:pPr>
            <w:r w:rsidRPr="008B53A9">
              <w:rPr>
                <w:rFonts w:cs="Calibri"/>
                <w:b/>
                <w:bCs/>
                <w:lang w:val="cs-CZ" w:eastAsia="cs-CZ"/>
              </w:rPr>
              <w:t>Cílová hodnota (2023)</w:t>
            </w:r>
          </w:p>
        </w:tc>
        <w:tc>
          <w:tcPr>
            <w:tcW w:w="1276"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B6609" w:rsidRPr="008B53A9" w:rsidRDefault="004B6609" w:rsidP="00DD2263">
            <w:pPr>
              <w:pStyle w:val="Tabulka"/>
              <w:keepNext/>
              <w:keepLines/>
              <w:rPr>
                <w:rFonts w:cs="Calibri"/>
                <w:lang w:val="cs-CZ" w:eastAsia="cs-CZ"/>
              </w:rPr>
            </w:pPr>
            <w:r w:rsidRPr="008B53A9">
              <w:rPr>
                <w:rFonts w:cs="Calibri"/>
                <w:b/>
                <w:bCs/>
                <w:lang w:val="cs-CZ" w:eastAsia="cs-CZ"/>
              </w:rPr>
              <w:t>Zdroj údajů</w:t>
            </w:r>
          </w:p>
        </w:tc>
        <w:tc>
          <w:tcPr>
            <w:tcW w:w="104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4B6609" w:rsidRPr="008B53A9" w:rsidRDefault="00DD2263" w:rsidP="00DD2263">
            <w:pPr>
              <w:pStyle w:val="Tabulka"/>
              <w:keepNext/>
              <w:keepLines/>
              <w:rPr>
                <w:rFonts w:cs="Calibri"/>
                <w:lang w:val="cs-CZ" w:eastAsia="cs-CZ"/>
              </w:rPr>
            </w:pPr>
            <w:r w:rsidRPr="008B53A9">
              <w:rPr>
                <w:rFonts w:cs="Calibri"/>
                <w:b/>
                <w:bCs/>
                <w:lang w:val="cs-CZ" w:eastAsia="cs-CZ"/>
              </w:rPr>
              <w:t>Četnost podávání zpráv</w:t>
            </w:r>
          </w:p>
        </w:tc>
      </w:tr>
      <w:tr w:rsidR="004B6609" w:rsidRPr="008B53A9">
        <w:trPr>
          <w:trHeight w:hRule="exact" w:val="756"/>
        </w:trPr>
        <w:tc>
          <w:tcPr>
            <w:tcW w:w="908" w:type="dxa"/>
            <w:tcBorders>
              <w:top w:val="single" w:sz="4" w:space="0" w:color="000000"/>
              <w:left w:val="single" w:sz="4" w:space="0" w:color="000000"/>
              <w:bottom w:val="single" w:sz="4" w:space="0" w:color="000000"/>
              <w:right w:val="single" w:sz="4" w:space="0" w:color="000000"/>
            </w:tcBorders>
            <w:vAlign w:val="center"/>
          </w:tcPr>
          <w:p w:rsidR="004B6609" w:rsidRPr="008B53A9" w:rsidRDefault="00843120" w:rsidP="00EA2881">
            <w:pPr>
              <w:pStyle w:val="Tabulka"/>
              <w:rPr>
                <w:rFonts w:cs="Calibri"/>
                <w:lang w:val="cs-CZ" w:eastAsia="cs-CZ"/>
              </w:rPr>
            </w:pPr>
            <w:r w:rsidRPr="008B53A9">
              <w:rPr>
                <w:rFonts w:cs="Calibri"/>
                <w:lang w:val="cs-CZ" w:eastAsia="cs-CZ"/>
              </w:rPr>
              <w:t>80130</w:t>
            </w:r>
          </w:p>
        </w:tc>
        <w:tc>
          <w:tcPr>
            <w:tcW w:w="2268" w:type="dxa"/>
            <w:tcBorders>
              <w:top w:val="single" w:sz="4" w:space="0" w:color="000000"/>
              <w:left w:val="single" w:sz="4" w:space="0" w:color="000000"/>
              <w:bottom w:val="single" w:sz="4" w:space="0" w:color="000000"/>
              <w:right w:val="single" w:sz="4" w:space="0" w:color="000000"/>
            </w:tcBorders>
            <w:vAlign w:val="center"/>
          </w:tcPr>
          <w:p w:rsidR="004B6609" w:rsidRPr="008B53A9" w:rsidRDefault="004B6609" w:rsidP="00EA2881">
            <w:pPr>
              <w:pStyle w:val="Tabulka"/>
              <w:jc w:val="left"/>
              <w:rPr>
                <w:rFonts w:cs="Calibri"/>
                <w:lang w:val="cs-CZ" w:eastAsia="cs-CZ"/>
              </w:rPr>
            </w:pPr>
            <w:r w:rsidRPr="008B53A9">
              <w:rPr>
                <w:rFonts w:cs="Calibri"/>
                <w:lang w:val="cs-CZ" w:eastAsia="cs-CZ"/>
              </w:rPr>
              <w:t>Míra povědomí široké veřejnosti o fondech EU</w:t>
            </w:r>
          </w:p>
        </w:tc>
        <w:tc>
          <w:tcPr>
            <w:tcW w:w="992" w:type="dxa"/>
            <w:tcBorders>
              <w:top w:val="single" w:sz="4" w:space="0" w:color="000000"/>
              <w:left w:val="single" w:sz="4" w:space="0" w:color="000000"/>
              <w:bottom w:val="single" w:sz="4" w:space="0" w:color="000000"/>
              <w:right w:val="single" w:sz="4" w:space="0" w:color="000000"/>
            </w:tcBorders>
            <w:vAlign w:val="center"/>
          </w:tcPr>
          <w:p w:rsidR="004B6609" w:rsidRPr="008B53A9" w:rsidRDefault="004B6609" w:rsidP="00EA2881">
            <w:pPr>
              <w:pStyle w:val="Tabulka"/>
              <w:rPr>
                <w:rFonts w:cs="Calibri"/>
                <w:lang w:val="cs-CZ" w:eastAsia="cs-CZ"/>
              </w:rPr>
            </w:pPr>
            <w:r w:rsidRPr="008B53A9">
              <w:rPr>
                <w:rFonts w:cs="Calibri"/>
                <w:lang w:val="cs-CZ" w:eastAsia="cs-CZ"/>
              </w:rPr>
              <w:t>%</w:t>
            </w:r>
          </w:p>
        </w:tc>
        <w:tc>
          <w:tcPr>
            <w:tcW w:w="971" w:type="dxa"/>
            <w:tcBorders>
              <w:top w:val="single" w:sz="4" w:space="0" w:color="000000"/>
              <w:left w:val="single" w:sz="4" w:space="0" w:color="000000"/>
              <w:bottom w:val="single" w:sz="4" w:space="0" w:color="000000"/>
              <w:right w:val="single" w:sz="4" w:space="0" w:color="000000"/>
            </w:tcBorders>
            <w:vAlign w:val="center"/>
          </w:tcPr>
          <w:p w:rsidR="004B6609" w:rsidRPr="008B53A9" w:rsidRDefault="00FD265B" w:rsidP="00EA2881">
            <w:pPr>
              <w:pStyle w:val="Tabulka"/>
              <w:rPr>
                <w:rFonts w:cs="Calibri"/>
                <w:lang w:val="cs-CZ" w:eastAsia="cs-CZ"/>
              </w:rPr>
            </w:pPr>
            <w:r w:rsidRPr="008B53A9">
              <w:rPr>
                <w:rFonts w:cs="Calibri"/>
                <w:lang w:val="cs-CZ" w:eastAsia="cs-CZ"/>
              </w:rPr>
              <w:t>83</w:t>
            </w:r>
          </w:p>
        </w:tc>
        <w:tc>
          <w:tcPr>
            <w:tcW w:w="872" w:type="dxa"/>
            <w:tcBorders>
              <w:top w:val="single" w:sz="4" w:space="0" w:color="000000"/>
              <w:left w:val="single" w:sz="4" w:space="0" w:color="000000"/>
              <w:bottom w:val="single" w:sz="4" w:space="0" w:color="000000"/>
              <w:right w:val="single" w:sz="4" w:space="0" w:color="000000"/>
            </w:tcBorders>
            <w:vAlign w:val="center"/>
          </w:tcPr>
          <w:p w:rsidR="004B6609" w:rsidRPr="008B53A9" w:rsidRDefault="000D4CE0" w:rsidP="00EA2881">
            <w:pPr>
              <w:pStyle w:val="Tabulka"/>
              <w:rPr>
                <w:rFonts w:cs="Calibri"/>
                <w:lang w:val="cs-CZ" w:eastAsia="cs-CZ"/>
              </w:rPr>
            </w:pPr>
            <w:r w:rsidRPr="008B53A9">
              <w:rPr>
                <w:rFonts w:cs="Calibri"/>
                <w:lang w:val="cs-CZ" w:eastAsia="cs-CZ"/>
              </w:rPr>
              <w:t>2014</w:t>
            </w:r>
          </w:p>
        </w:tc>
        <w:tc>
          <w:tcPr>
            <w:tcW w:w="992" w:type="dxa"/>
            <w:tcBorders>
              <w:top w:val="single" w:sz="4" w:space="0" w:color="000000"/>
              <w:left w:val="single" w:sz="4" w:space="0" w:color="000000"/>
              <w:bottom w:val="single" w:sz="4" w:space="0" w:color="000000"/>
              <w:right w:val="single" w:sz="4" w:space="0" w:color="000000"/>
            </w:tcBorders>
            <w:vAlign w:val="center"/>
          </w:tcPr>
          <w:p w:rsidR="004B6609" w:rsidRPr="008B53A9" w:rsidRDefault="00FD265B" w:rsidP="00EA2881">
            <w:pPr>
              <w:pStyle w:val="Tabulka"/>
              <w:rPr>
                <w:rFonts w:cs="Calibri"/>
                <w:lang w:val="cs-CZ" w:eastAsia="cs-CZ"/>
              </w:rPr>
            </w:pPr>
            <w:r w:rsidRPr="008B53A9">
              <w:rPr>
                <w:rFonts w:cs="Calibri"/>
                <w:lang w:val="cs-CZ" w:eastAsia="cs-CZ"/>
              </w:rPr>
              <w:t>85</w:t>
            </w:r>
          </w:p>
        </w:tc>
        <w:tc>
          <w:tcPr>
            <w:tcW w:w="1276" w:type="dxa"/>
            <w:tcBorders>
              <w:top w:val="single" w:sz="4" w:space="0" w:color="000000"/>
              <w:left w:val="single" w:sz="4" w:space="0" w:color="000000"/>
              <w:bottom w:val="single" w:sz="4" w:space="0" w:color="000000"/>
              <w:right w:val="single" w:sz="4" w:space="0" w:color="000000"/>
            </w:tcBorders>
            <w:vAlign w:val="center"/>
          </w:tcPr>
          <w:p w:rsidR="004B6609" w:rsidRPr="008B53A9" w:rsidRDefault="0009521C" w:rsidP="00EA2881">
            <w:pPr>
              <w:pStyle w:val="Tabulka"/>
              <w:rPr>
                <w:rFonts w:cs="Calibri"/>
                <w:lang w:val="cs-CZ" w:eastAsia="cs-CZ"/>
              </w:rPr>
            </w:pPr>
            <w:r w:rsidRPr="008B53A9">
              <w:rPr>
                <w:rFonts w:cs="Calibri"/>
                <w:lang w:val="cs-CZ" w:eastAsia="cs-CZ"/>
              </w:rPr>
              <w:t>Dotazníkové šetření</w:t>
            </w:r>
          </w:p>
        </w:tc>
        <w:tc>
          <w:tcPr>
            <w:tcW w:w="1047" w:type="dxa"/>
            <w:tcBorders>
              <w:top w:val="single" w:sz="4" w:space="0" w:color="000000"/>
              <w:left w:val="single" w:sz="4" w:space="0" w:color="000000"/>
              <w:bottom w:val="single" w:sz="4" w:space="0" w:color="000000"/>
              <w:right w:val="single" w:sz="4" w:space="0" w:color="000000"/>
            </w:tcBorders>
            <w:vAlign w:val="center"/>
          </w:tcPr>
          <w:p w:rsidR="004B6609" w:rsidRPr="008B53A9" w:rsidRDefault="00D748D0" w:rsidP="00EA2881">
            <w:pPr>
              <w:pStyle w:val="Tabulka"/>
              <w:rPr>
                <w:rFonts w:cs="Calibri"/>
                <w:lang w:val="cs-CZ" w:eastAsia="cs-CZ"/>
              </w:rPr>
            </w:pPr>
            <w:r w:rsidRPr="008B53A9">
              <w:rPr>
                <w:rFonts w:cs="Calibri"/>
                <w:lang w:val="cs-CZ" w:eastAsia="cs-CZ"/>
              </w:rPr>
              <w:t>ročně</w:t>
            </w:r>
          </w:p>
        </w:tc>
      </w:tr>
    </w:tbl>
    <w:p w:rsidR="00CF5E63" w:rsidRPr="008B53A9" w:rsidRDefault="00DD2263" w:rsidP="005F43DF">
      <w:pPr>
        <w:pStyle w:val="kapitola2B"/>
        <w:numPr>
          <w:ilvl w:val="2"/>
          <w:numId w:val="12"/>
        </w:numPr>
        <w:ind w:left="709"/>
      </w:pPr>
      <w:bookmarkStart w:id="108" w:name="_Toc391539670"/>
      <w:r w:rsidRPr="008B53A9">
        <w:lastRenderedPageBreak/>
        <w:t>Opatření, která mají být podpořena, a jejich očekávaný přínos ke specifickým cílům</w:t>
      </w:r>
      <w:bookmarkEnd w:id="108"/>
    </w:p>
    <w:p w:rsidR="00C969F4" w:rsidRPr="008B53A9" w:rsidRDefault="00DD2263" w:rsidP="005F43DF">
      <w:pPr>
        <w:pStyle w:val="Nadpis5"/>
        <w:numPr>
          <w:ilvl w:val="4"/>
          <w:numId w:val="13"/>
        </w:numPr>
        <w:rPr>
          <w:lang w:val="cs-CZ"/>
        </w:rPr>
      </w:pPr>
      <w:r w:rsidRPr="008B53A9">
        <w:t>Popis opatření, která mají bý</w:t>
      </w:r>
      <w:r w:rsidR="008C1E31" w:rsidRPr="008B53A9">
        <w:t>t</w:t>
      </w:r>
      <w:r w:rsidRPr="008B53A9">
        <w:t xml:space="preserve"> podpořena, a jejich očekávaný přínos ke specifickým cílům</w:t>
      </w:r>
    </w:p>
    <w:p w:rsidR="000E7F90" w:rsidRPr="008B53A9" w:rsidRDefault="000E7F90" w:rsidP="000E7F90">
      <w:pPr>
        <w:pStyle w:val="Modrnadpis"/>
        <w:rPr>
          <w:rFonts w:cs="Calibri"/>
          <w:szCs w:val="24"/>
        </w:rPr>
      </w:pPr>
      <w:r w:rsidRPr="008B53A9">
        <w:t>SPECIFICKÝ CÍL 5.1: Zajištění efektivního řízení a administrace operačního programu</w:t>
      </w:r>
    </w:p>
    <w:p w:rsidR="000E7F90" w:rsidRPr="008B53A9" w:rsidRDefault="000E7F90" w:rsidP="000E7F90">
      <w:pPr>
        <w:pStyle w:val="Standardntext"/>
        <w:rPr>
          <w:b/>
        </w:rPr>
      </w:pPr>
      <w:r w:rsidRPr="008B53A9">
        <w:rPr>
          <w:b/>
        </w:rPr>
        <w:t xml:space="preserve">Podporovanými aktivitami budou: </w:t>
      </w:r>
    </w:p>
    <w:p w:rsidR="000E7F90" w:rsidRPr="008B53A9" w:rsidRDefault="000E7F90" w:rsidP="000E7F90">
      <w:pPr>
        <w:pStyle w:val="Standardntext"/>
        <w:numPr>
          <w:ilvl w:val="0"/>
          <w:numId w:val="66"/>
        </w:numPr>
      </w:pPr>
      <w:r w:rsidRPr="008B53A9">
        <w:t xml:space="preserve">Příprava, řízení, administrace, monitorování programu (činnosti bezprostředně související s implementací programu), tj.: </w:t>
      </w:r>
    </w:p>
    <w:p w:rsidR="000E7F90" w:rsidRPr="008B53A9" w:rsidRDefault="000E7F90" w:rsidP="000E7F90">
      <w:pPr>
        <w:pStyle w:val="Standardntext"/>
        <w:numPr>
          <w:ilvl w:val="1"/>
          <w:numId w:val="66"/>
        </w:numPr>
      </w:pPr>
      <w:r w:rsidRPr="008B53A9">
        <w:t>veřejnosprávní kontroly na místě</w:t>
      </w:r>
    </w:p>
    <w:p w:rsidR="000E7F90" w:rsidRPr="008B53A9" w:rsidRDefault="000E7F90" w:rsidP="000E7F90">
      <w:pPr>
        <w:pStyle w:val="Standardntext"/>
        <w:numPr>
          <w:ilvl w:val="1"/>
          <w:numId w:val="66"/>
        </w:numPr>
      </w:pPr>
      <w:r w:rsidRPr="008B53A9">
        <w:t>technické a provozní zajištění funkcí řídicího orgánu programu, zprostředkujících subjektů</w:t>
      </w:r>
    </w:p>
    <w:p w:rsidR="000E7F90" w:rsidRPr="008B53A9" w:rsidRDefault="000E7F90" w:rsidP="000E7F90">
      <w:pPr>
        <w:pStyle w:val="Standardntext"/>
        <w:numPr>
          <w:ilvl w:val="1"/>
          <w:numId w:val="66"/>
        </w:numPr>
      </w:pPr>
      <w:r w:rsidRPr="008B53A9">
        <w:t>odměňování zaměstnanců (včetně zákonných odvodů), kteří se podílejí na přípravě, výběru, hodnocení a monitorování programu a kontrolách</w:t>
      </w:r>
    </w:p>
    <w:p w:rsidR="000E7F90" w:rsidRPr="008B53A9" w:rsidRDefault="000E7F90" w:rsidP="000E7F90">
      <w:pPr>
        <w:pStyle w:val="Standardntext"/>
        <w:numPr>
          <w:ilvl w:val="1"/>
          <w:numId w:val="66"/>
        </w:numPr>
      </w:pPr>
      <w:r w:rsidRPr="008B53A9">
        <w:t>školení, semináře, workshopy a vzdělávání pracovníků implementačních orgánů</w:t>
      </w:r>
    </w:p>
    <w:p w:rsidR="000E7F90" w:rsidRPr="008B53A9" w:rsidRDefault="000E7F90" w:rsidP="000E7F90">
      <w:pPr>
        <w:pStyle w:val="Standardntext"/>
        <w:numPr>
          <w:ilvl w:val="1"/>
          <w:numId w:val="66"/>
        </w:numPr>
      </w:pPr>
      <w:r w:rsidRPr="008B53A9">
        <w:t>zasedání hodnotitelských komisí, včetně nákladů na účast a činnost externích odborníků</w:t>
      </w:r>
    </w:p>
    <w:p w:rsidR="000E7F90" w:rsidRPr="008B53A9" w:rsidRDefault="000E7F90" w:rsidP="000E7F90">
      <w:pPr>
        <w:pStyle w:val="Standardntext"/>
        <w:numPr>
          <w:ilvl w:val="1"/>
          <w:numId w:val="66"/>
        </w:numPr>
      </w:pPr>
      <w:r w:rsidRPr="008B53A9">
        <w:t>činnost monitorovacího výboru programu</w:t>
      </w:r>
    </w:p>
    <w:p w:rsidR="000E7F90" w:rsidRPr="008B53A9" w:rsidRDefault="000E7F90" w:rsidP="000E7F90">
      <w:pPr>
        <w:pStyle w:val="Standardntext"/>
        <w:numPr>
          <w:ilvl w:val="1"/>
          <w:numId w:val="66"/>
        </w:numPr>
      </w:pPr>
      <w:r w:rsidRPr="008B53A9">
        <w:t>zpracování odborných externích posudků, analýz a metodik pro posouzení správnosti nastavení a funkčnosti procesních systémů implementace</w:t>
      </w:r>
    </w:p>
    <w:p w:rsidR="000E7F90" w:rsidRPr="008B53A9" w:rsidRDefault="000E7F90" w:rsidP="000E7F90">
      <w:pPr>
        <w:pStyle w:val="Standardntext"/>
        <w:numPr>
          <w:ilvl w:val="1"/>
          <w:numId w:val="66"/>
        </w:numPr>
      </w:pPr>
      <w:r w:rsidRPr="008B53A9">
        <w:t>zpracování dat z jednotného monitorovacího systému pro další manažerská rozhodnutí Řídícího orgánu</w:t>
      </w:r>
    </w:p>
    <w:p w:rsidR="000E7F90" w:rsidRPr="008B53A9" w:rsidRDefault="000E7F90" w:rsidP="000E7F90">
      <w:pPr>
        <w:pStyle w:val="Standardntext"/>
        <w:numPr>
          <w:ilvl w:val="0"/>
          <w:numId w:val="29"/>
        </w:numPr>
      </w:pPr>
      <w:r w:rsidRPr="008B53A9">
        <w:t>přenos dobrých zkušeností do přípravy programovacího období 2021+</w:t>
      </w:r>
    </w:p>
    <w:p w:rsidR="000E7F90" w:rsidRPr="008B53A9" w:rsidRDefault="000E7F90" w:rsidP="000E7F90">
      <w:pPr>
        <w:pStyle w:val="Standardntext"/>
        <w:numPr>
          <w:ilvl w:val="0"/>
          <w:numId w:val="29"/>
        </w:numPr>
      </w:pPr>
      <w:r w:rsidRPr="008B53A9">
        <w:rPr>
          <w:iCs/>
        </w:rPr>
        <w:t>realizace nezbytných opatření v souvislosti s implementací specifického cíle 4.1 zejména s ohledem na mapování infrastruktury</w:t>
      </w:r>
    </w:p>
    <w:p w:rsidR="000E7F90" w:rsidRPr="008B53A9" w:rsidRDefault="000E7F90" w:rsidP="00DE2376">
      <w:pPr>
        <w:pStyle w:val="Standardntext"/>
        <w:keepNext/>
        <w:keepLines/>
      </w:pPr>
      <w:r w:rsidRPr="008B53A9">
        <w:rPr>
          <w:u w:val="single"/>
        </w:rPr>
        <w:t xml:space="preserve">Vybrané oblasti specifického cíle v kontextu vyhodnocení zkušeností z implementace OPPI </w:t>
      </w:r>
      <w:r w:rsidRPr="008B53A9">
        <w:t xml:space="preserve">(dále také příloha č. 1): </w:t>
      </w:r>
    </w:p>
    <w:p w:rsidR="000E7F90" w:rsidRPr="008B53A9" w:rsidRDefault="000E7F90" w:rsidP="00DE2376">
      <w:pPr>
        <w:pStyle w:val="Standardntext"/>
        <w:keepNext/>
        <w:keepLines/>
      </w:pPr>
      <w:r w:rsidRPr="008B53A9">
        <w:t xml:space="preserve">(i) Stabilizace zaměstnanců, snížení fluktuace: Zajištění stálé zaměstnanecké sestavy řídícího orgánu, proškolování pracovníků, zajištění dostatečné administrativní kapacity řídícího orgánu a zprostředkujících subjektů. </w:t>
      </w:r>
    </w:p>
    <w:p w:rsidR="000E7F90" w:rsidRPr="008B53A9" w:rsidRDefault="000E7F90" w:rsidP="000E7F90">
      <w:pPr>
        <w:pStyle w:val="Standardntext"/>
      </w:pPr>
      <w:r w:rsidRPr="008B53A9">
        <w:t xml:space="preserve">(ii) Veřejné zakázky a outsourcing služeb: Nebudou outsourcovány “citlivé” služby (externí spolupráce na výkonu kontrol, právní poradenství), řídící orgán si je ponechá ve své kompetenci. Je potřeba zohlednit skutečnost, že řídící orgán nemá administrativní a odbornou kapacitu, aby od outsourcování některých služeb mohl plně odstoupit. Zadávány budou pouze vysoce specializované zakázky v oblastech, které není schopen řídící orgán pokrýt vlastní administrativou. V oblasti publicity budou zakázky zadávány dle finančních limitů v souladu se zákonem o veřejných zakázkách. Kontrolní činnost nebude outsourcována. </w:t>
      </w:r>
    </w:p>
    <w:p w:rsidR="000E7F90" w:rsidRPr="008B53A9" w:rsidRDefault="000E7F90" w:rsidP="000E7F90">
      <w:pPr>
        <w:pStyle w:val="Standardntext"/>
      </w:pPr>
      <w:r w:rsidRPr="008B53A9">
        <w:t xml:space="preserve">(iii) Bude účelné zavést a udržovat ze strany řídícího orgánu manažerskou nadstavbu (manažerský informační systém) k jednotnému monitorovacímu systému. Ta umožní mít s </w:t>
      </w:r>
      <w:r w:rsidRPr="008B53A9">
        <w:lastRenderedPageBreak/>
        <w:t xml:space="preserve">ohledem na specifika podpor příjemcům v programu dostatečnou informační základnu pro manažerská rozhodnutí ovlivňující jeho implementaci. </w:t>
      </w:r>
    </w:p>
    <w:p w:rsidR="000E7F90" w:rsidRPr="008B53A9" w:rsidRDefault="000E7F90" w:rsidP="000E7F90">
      <w:pPr>
        <w:pStyle w:val="Standardntext"/>
      </w:pPr>
      <w:r w:rsidRPr="008B53A9">
        <w:t>(iv) Řízení a administrace programu, zejména opatření v oblasti elektronické administrace projektů (</w:t>
      </w:r>
      <w:r w:rsidRPr="008B53A9">
        <w:rPr>
          <w:szCs w:val="22"/>
        </w:rPr>
        <w:t>systém elektronického podávání žádostí s cílem jednodušších administrativních úkonů u řídícího orgánu a žadatelů a příjemců), optimalizace administrativních procesů, plánování a vyhlašování výzev.</w:t>
      </w:r>
    </w:p>
    <w:p w:rsidR="000E7F90" w:rsidRPr="008B53A9" w:rsidRDefault="000E7F90" w:rsidP="000E7F90">
      <w:pPr>
        <w:pStyle w:val="Modrnadpis"/>
      </w:pPr>
      <w:r w:rsidRPr="008B53A9">
        <w:t>SPECIFICKÝ CÍL 5.2: Zajištění informovanosti, publicity a absorpční kapacity operačního programu</w:t>
      </w:r>
    </w:p>
    <w:p w:rsidR="000E7F90" w:rsidRPr="008B53A9" w:rsidRDefault="000E7F90" w:rsidP="000E7F90">
      <w:pPr>
        <w:pStyle w:val="Standardntext"/>
        <w:rPr>
          <w:b/>
        </w:rPr>
      </w:pPr>
      <w:r w:rsidRPr="008B53A9">
        <w:rPr>
          <w:b/>
        </w:rPr>
        <w:t xml:space="preserve">Podporovanými aktivitami budou: </w:t>
      </w:r>
    </w:p>
    <w:p w:rsidR="000E7F90" w:rsidRPr="008B53A9" w:rsidRDefault="000E7F90" w:rsidP="000E7F90">
      <w:pPr>
        <w:pStyle w:val="Standardntext"/>
        <w:numPr>
          <w:ilvl w:val="0"/>
          <w:numId w:val="29"/>
        </w:numPr>
      </w:pPr>
      <w:r w:rsidRPr="008B53A9">
        <w:t>Informování veřejnosti a komunikace s veřejností</w:t>
      </w:r>
    </w:p>
    <w:p w:rsidR="000E7F90" w:rsidRPr="008B53A9" w:rsidRDefault="000E7F90" w:rsidP="000E7F90">
      <w:pPr>
        <w:pStyle w:val="Standardntext"/>
        <w:numPr>
          <w:ilvl w:val="0"/>
          <w:numId w:val="29"/>
        </w:numPr>
      </w:pPr>
      <w:r w:rsidRPr="008B53A9">
        <w:t>vypracování výzkumných studií a šetření zaměřených na další rozvoj programu</w:t>
      </w:r>
    </w:p>
    <w:p w:rsidR="000E7F90" w:rsidRPr="008B53A9" w:rsidRDefault="000E7F90" w:rsidP="000E7F90">
      <w:pPr>
        <w:pStyle w:val="Standardntext"/>
        <w:numPr>
          <w:ilvl w:val="0"/>
          <w:numId w:val="29"/>
        </w:numPr>
      </w:pPr>
      <w:r w:rsidRPr="008B53A9">
        <w:t>propagace programu na veřejnosti, semináře, informační akce, komunikace, publicita</w:t>
      </w:r>
    </w:p>
    <w:p w:rsidR="000E7F90" w:rsidRPr="008B53A9" w:rsidRDefault="000E7F90" w:rsidP="000E7F90">
      <w:pPr>
        <w:pStyle w:val="Standardntext"/>
        <w:numPr>
          <w:ilvl w:val="0"/>
          <w:numId w:val="29"/>
        </w:numPr>
      </w:pPr>
      <w:r w:rsidRPr="008B53A9">
        <w:t>výměna zkušeností, best practises, networking</w:t>
      </w:r>
    </w:p>
    <w:p w:rsidR="000E7F90" w:rsidRPr="008B53A9" w:rsidRDefault="000E7F90" w:rsidP="000E7F90">
      <w:pPr>
        <w:pStyle w:val="Standardntext"/>
        <w:numPr>
          <w:ilvl w:val="0"/>
          <w:numId w:val="29"/>
        </w:numPr>
      </w:pPr>
      <w:r w:rsidRPr="008B53A9">
        <w:t>vypracování evaluačních projektů dle čl. 54-57 obecného nařízení, realizace Evaluačního plánu programu, podpůrných studií a analýz</w:t>
      </w:r>
    </w:p>
    <w:p w:rsidR="000E7F90" w:rsidRPr="008B53A9" w:rsidRDefault="000E7F90" w:rsidP="000E7F90">
      <w:pPr>
        <w:pStyle w:val="Standardntext"/>
        <w:numPr>
          <w:ilvl w:val="0"/>
          <w:numId w:val="29"/>
        </w:numPr>
      </w:pPr>
      <w:r w:rsidRPr="008B53A9">
        <w:t>opatření ke snižování administrativní zátěže žadatelů, příjemců a subjektů implementační struktury, poradenství žadatelům o podporu vedoucí ke zvyšování absorpční kapacity programu</w:t>
      </w:r>
    </w:p>
    <w:p w:rsidR="000E7F90" w:rsidRPr="008B53A9" w:rsidRDefault="000E7F90" w:rsidP="000E7F90">
      <w:pPr>
        <w:pStyle w:val="Standardntext"/>
        <w:numPr>
          <w:ilvl w:val="0"/>
          <w:numId w:val="29"/>
        </w:numPr>
      </w:pPr>
      <w:r w:rsidRPr="008B53A9">
        <w:t>konzultační služby a poradenství žadatelům o podporu a potenciálním příjemcům při přípravě projektů</w:t>
      </w:r>
    </w:p>
    <w:p w:rsidR="000E7F90" w:rsidRPr="008B53A9" w:rsidRDefault="000E7F90" w:rsidP="000E7F90">
      <w:pPr>
        <w:pStyle w:val="Standardntext"/>
        <w:numPr>
          <w:ilvl w:val="0"/>
          <w:numId w:val="29"/>
        </w:numPr>
      </w:pPr>
      <w:r w:rsidRPr="008B53A9">
        <w:t>pilotní projekty a hodnocení</w:t>
      </w:r>
    </w:p>
    <w:p w:rsidR="000E7F90" w:rsidRPr="008B53A9" w:rsidRDefault="000E7F90" w:rsidP="000E7F90">
      <w:pPr>
        <w:pStyle w:val="Standardntext"/>
        <w:numPr>
          <w:ilvl w:val="0"/>
          <w:numId w:val="29"/>
        </w:numPr>
      </w:pPr>
      <w:r w:rsidRPr="008B53A9">
        <w:t>dokončení implementace programového období 2007-2013, včetně ex-post evaluace OPPI</w:t>
      </w:r>
    </w:p>
    <w:p w:rsidR="000E7F90" w:rsidRPr="008B53A9" w:rsidRDefault="000E7F90" w:rsidP="000E7F90">
      <w:pPr>
        <w:pStyle w:val="Standardntext"/>
        <w:numPr>
          <w:ilvl w:val="0"/>
          <w:numId w:val="29"/>
        </w:numPr>
      </w:pPr>
      <w:r w:rsidRPr="008B53A9">
        <w:t>příprava programových dokumentů pro programovací období 2021+, vč. ex-ante hodnocení a hodnocení SEA</w:t>
      </w:r>
    </w:p>
    <w:p w:rsidR="000E7F90" w:rsidRPr="008B53A9" w:rsidRDefault="000E7F90" w:rsidP="000E7F90">
      <w:pPr>
        <w:pStyle w:val="Standardntext"/>
      </w:pPr>
      <w:r w:rsidRPr="008B53A9">
        <w:rPr>
          <w:u w:val="single"/>
        </w:rPr>
        <w:t xml:space="preserve">Vybrané oblasti specifického cíle v kontextu vyhodnocení zkušeností z implementace OPPI (dále také </w:t>
      </w:r>
      <w:r w:rsidRPr="008B53A9">
        <w:t>příloha č. 1):</w:t>
      </w:r>
    </w:p>
    <w:p w:rsidR="000E7F90" w:rsidRPr="008B53A9" w:rsidRDefault="000E7F90" w:rsidP="000E7F90">
      <w:pPr>
        <w:pStyle w:val="Standardntext"/>
      </w:pPr>
      <w:r w:rsidRPr="008B53A9">
        <w:t xml:space="preserve">(i) Informovanost veřejnosti o programu: Zkvalitnit medializaci a cílení informačních a komunikačních kampaní. Nerealizovat příliš obecné a rozsáhlé kampaně, nýbrž kampaně cílit přímo na potenciální žadatele a příjemce, a to prostřednictvím přímých kontaktů. K publicitě programu patří informace o úspěšných projektech, informace o administraci projektů, úspěšnosti podaných žádostí. V omezené míře bude přistupováno k placené inzerci v tisku a médiích. V návaznosti na centrální OPTP bude technická pomoc OP PIK spoluvytvářet Společnou komunikační strategii.  </w:t>
      </w:r>
    </w:p>
    <w:p w:rsidR="000E7F90" w:rsidRPr="008B53A9" w:rsidRDefault="000E7F90" w:rsidP="000E7F90">
      <w:pPr>
        <w:pStyle w:val="Standardntext"/>
      </w:pPr>
      <w:r w:rsidRPr="008B53A9">
        <w:t>(ii) Protikorupční opatření: Veřejnost má mnohdy negativní povědomí o fondech EU a dosažených výsledcích, neboť si často tuto problematiku spojuje s podvody a korupcí. Česká republika přijala Strategii pro boj s podvody a korupcí a pro její naplnění byl připraven Akční plán. Řídící orgán OP PIK se bude řídit touto strategií, resp. Akčním plánem.</w:t>
      </w:r>
    </w:p>
    <w:p w:rsidR="000E7F90" w:rsidRPr="008B53A9" w:rsidRDefault="000E7F90" w:rsidP="008B53A9">
      <w:pPr>
        <w:pStyle w:val="Standardntext"/>
        <w:keepNext/>
        <w:keepLines/>
        <w:rPr>
          <w:b/>
        </w:rPr>
      </w:pPr>
      <w:r w:rsidRPr="008B53A9">
        <w:rPr>
          <w:b/>
        </w:rPr>
        <w:lastRenderedPageBreak/>
        <w:t xml:space="preserve">Vazby mezi OPTP a OP PIK:  </w:t>
      </w:r>
    </w:p>
    <w:p w:rsidR="000E7F90" w:rsidRPr="008B53A9" w:rsidRDefault="000E7F90" w:rsidP="008B53A9">
      <w:pPr>
        <w:pStyle w:val="Standardntext"/>
        <w:keepNext/>
        <w:keepLines/>
      </w:pPr>
      <w:r w:rsidRPr="008B53A9">
        <w:t>V návaznosti na OPTP bude OP PIK spoluvytvářet Společnou komunikační strategii. Komunikační aktivity nebudou roztříštěné, ale cílené efektivně dle charakteru cílové skupiny. Z OPTP bude řízen jednotný metodický přístup. Mzdové prostředky pracovníků implementační struktury OP PIK budou hrazeny z technické pomoci programu, stejně jako část vzdělávání. Obecné vzdělávání zaměstnanců implementujících ESI fondy bude hrazeno i z OPTP. Publicita bude jak společná (hrazená z OPTP, společná strategie, obecné a rozsáhlejší komunikační kampaně), tak specifická pro OP PIK hrazená z technické pomoci OP PIK. Publicita OP PIK, návrhy ročních komunikačních plánů budou schvalovány ze strany ŘO OPTP. Koordinace implementace technické pomoci programu s OPTP probíhá prostřednictvím PS pro informovanost a publicitu.</w:t>
      </w:r>
    </w:p>
    <w:p w:rsidR="000E7F90" w:rsidRPr="008B53A9" w:rsidRDefault="000E7F90" w:rsidP="000E7F90">
      <w:pPr>
        <w:spacing w:after="120"/>
        <w:jc w:val="both"/>
        <w:rPr>
          <w:rFonts w:cs="Calibri"/>
          <w:sz w:val="24"/>
          <w:szCs w:val="24"/>
        </w:rPr>
      </w:pPr>
      <w:r w:rsidRPr="008B53A9">
        <w:rPr>
          <w:rFonts w:cs="Calibri"/>
          <w:b/>
          <w:sz w:val="24"/>
          <w:szCs w:val="24"/>
        </w:rPr>
        <w:t xml:space="preserve">Příjemci podpory </w:t>
      </w:r>
      <w:r w:rsidRPr="008B53A9">
        <w:rPr>
          <w:rFonts w:cs="Calibri"/>
          <w:sz w:val="24"/>
          <w:szCs w:val="24"/>
        </w:rPr>
        <w:t xml:space="preserve">v rámci této prioritní osy budou Řídicí orgán OP PIK – Ministerstvo průmyslu a obchodu, a jeho zprostředkující subjekty, Agentura pro podporu podnikání a investic CzechInvest a Technologická agentura České republiky (TAČR). Služeb TAČR coby zprostředkujícího subjektu pro příslušné vyčleněné intervence bude využito a tato činnost TAČR bude financována z prostředků technické pomoci operačního programu za předpokladu paritního spolufinancování projektů ze zdrojů této agentury pocházejících z národních prostředků; a dále v návaznosti na společný postup s Řídícím orgánem OP VVV (MŠMT) ve vazbě na řešení synergií mezi oběma operačními programy. </w:t>
      </w:r>
    </w:p>
    <w:p w:rsidR="000E7F90" w:rsidRPr="008B53A9" w:rsidRDefault="000E7F90" w:rsidP="000E7F90">
      <w:pPr>
        <w:spacing w:after="120"/>
        <w:jc w:val="both"/>
        <w:rPr>
          <w:rFonts w:cs="Calibri"/>
          <w:b/>
          <w:sz w:val="24"/>
          <w:szCs w:val="24"/>
        </w:rPr>
      </w:pPr>
      <w:r w:rsidRPr="008B53A9">
        <w:rPr>
          <w:rFonts w:cs="Calibri"/>
          <w:b/>
          <w:sz w:val="24"/>
          <w:szCs w:val="24"/>
        </w:rPr>
        <w:t>Monitoring technické pomoci:</w:t>
      </w:r>
    </w:p>
    <w:p w:rsidR="000E7F90" w:rsidRPr="008B53A9" w:rsidRDefault="000E7F90" w:rsidP="000E7F90">
      <w:pPr>
        <w:spacing w:after="120"/>
        <w:jc w:val="both"/>
        <w:rPr>
          <w:rFonts w:cs="Calibri"/>
          <w:sz w:val="24"/>
          <w:szCs w:val="24"/>
        </w:rPr>
      </w:pPr>
      <w:r w:rsidRPr="008B53A9">
        <w:rPr>
          <w:rFonts w:cs="Calibri"/>
          <w:sz w:val="24"/>
          <w:szCs w:val="24"/>
        </w:rPr>
        <w:t>Závazně bude sledován indikátor výstupu pro plnění aktivit školení žadatelů OP PIK, stejně jako implementační struktury, seminářů, workshopů, konferencí pro odbornou veřejnost a podobné aktivity, a dále indikátor sledující zrealizované analytické studie a evaluace. Tyto aktivity mají přispět ke zvýšení absorpční kapacity programu s pevnou vazbou na zvýšení míry povědomí veřejnosti o fondech EU. Tím je plněn výsledkový indikátor navržený MMR-NOK a zakomponovaný do textu programu, sledovaný centrálně na úrovni MMR-NOK. Ve vztahu k interním potřebám programu pak plnění výstupových indikátorů programu směřuje na vyšší míru stabilizace zaměstnanců implementační struktury (indikátor výsledku).</w:t>
      </w:r>
    </w:p>
    <w:p w:rsidR="00CF5E63" w:rsidRPr="008B53A9" w:rsidRDefault="00DD2263" w:rsidP="005F43DF">
      <w:pPr>
        <w:pStyle w:val="Nadpis5"/>
        <w:numPr>
          <w:ilvl w:val="4"/>
          <w:numId w:val="13"/>
        </w:numPr>
      </w:pPr>
      <w:r w:rsidRPr="008B53A9">
        <w:t>Ukazatele výstupů, které by podle očekávání měly přispět k dosažení výsledků</w:t>
      </w:r>
    </w:p>
    <w:p w:rsidR="005359A1" w:rsidRPr="008B53A9" w:rsidRDefault="005359A1" w:rsidP="00720FD1">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13</w:t>
      </w:r>
      <w:r w:rsidR="00C3289B" w:rsidRPr="008B53A9">
        <w:rPr>
          <w:noProof/>
        </w:rPr>
        <w:fldChar w:fldCharType="end"/>
      </w:r>
      <w:r w:rsidRPr="008B53A9">
        <w:t xml:space="preserve">: </w:t>
      </w:r>
      <w:r w:rsidR="00DD2263" w:rsidRPr="008B53A9">
        <w:t>Ukazatele výstupu</w:t>
      </w:r>
    </w:p>
    <w:tbl>
      <w:tblPr>
        <w:tblW w:w="0" w:type="auto"/>
        <w:tblCellMar>
          <w:left w:w="57" w:type="dxa"/>
          <w:right w:w="57" w:type="dxa"/>
        </w:tblCellMar>
        <w:tblLook w:val="01E0" w:firstRow="1" w:lastRow="1" w:firstColumn="1" w:lastColumn="1" w:noHBand="0" w:noVBand="0"/>
      </w:tblPr>
      <w:tblGrid>
        <w:gridCol w:w="907"/>
        <w:gridCol w:w="4518"/>
        <w:gridCol w:w="1153"/>
        <w:gridCol w:w="1984"/>
        <w:gridCol w:w="764"/>
      </w:tblGrid>
      <w:tr w:rsidR="005359A1" w:rsidRPr="008B53A9">
        <w:trPr>
          <w:trHeight w:hRule="exact" w:val="808"/>
        </w:trPr>
        <w:tc>
          <w:tcPr>
            <w:tcW w:w="907"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5359A1" w:rsidRPr="008B53A9" w:rsidRDefault="005359A1" w:rsidP="00720FD1">
            <w:pPr>
              <w:pStyle w:val="Tabulka"/>
              <w:keepNext/>
              <w:keepLines/>
              <w:rPr>
                <w:rFonts w:cs="Calibri"/>
                <w:lang w:val="cs-CZ" w:eastAsia="cs-CZ"/>
              </w:rPr>
            </w:pPr>
            <w:r w:rsidRPr="008B53A9">
              <w:rPr>
                <w:rFonts w:cs="Calibri"/>
                <w:b/>
                <w:bCs/>
                <w:lang w:val="cs-CZ" w:eastAsia="cs-CZ"/>
              </w:rPr>
              <w:t>ID</w:t>
            </w:r>
          </w:p>
        </w:tc>
        <w:tc>
          <w:tcPr>
            <w:tcW w:w="4518"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5359A1" w:rsidRPr="008B53A9" w:rsidRDefault="00DD2263" w:rsidP="00720FD1">
            <w:pPr>
              <w:pStyle w:val="Tabulka"/>
              <w:keepNext/>
              <w:keepLines/>
              <w:rPr>
                <w:rFonts w:cs="Calibri"/>
                <w:lang w:val="cs-CZ" w:eastAsia="cs-CZ"/>
              </w:rPr>
            </w:pPr>
            <w:r w:rsidRPr="008B53A9">
              <w:rPr>
                <w:rFonts w:cs="Calibri"/>
                <w:b/>
                <w:bCs/>
                <w:lang w:val="cs-CZ" w:eastAsia="cs-CZ"/>
              </w:rPr>
              <w:t>Ukazatel</w:t>
            </w:r>
          </w:p>
        </w:tc>
        <w:tc>
          <w:tcPr>
            <w:tcW w:w="1153"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5359A1" w:rsidRPr="008B53A9" w:rsidRDefault="005359A1" w:rsidP="00720FD1">
            <w:pPr>
              <w:pStyle w:val="Tabulka"/>
              <w:keepNext/>
              <w:keepLines/>
              <w:rPr>
                <w:rFonts w:cs="Calibri"/>
                <w:lang w:val="cs-CZ" w:eastAsia="cs-CZ"/>
              </w:rPr>
            </w:pPr>
            <w:r w:rsidRPr="008B53A9">
              <w:rPr>
                <w:rFonts w:cs="Calibri"/>
                <w:b/>
                <w:bCs/>
                <w:lang w:val="cs-CZ" w:eastAsia="cs-CZ"/>
              </w:rPr>
              <w:t>Měrná</w:t>
            </w:r>
            <w:r w:rsidR="00720FD1" w:rsidRPr="008B53A9">
              <w:rPr>
                <w:rFonts w:cs="Calibri"/>
                <w:b/>
                <w:bCs/>
                <w:lang w:val="cs-CZ" w:eastAsia="cs-CZ"/>
              </w:rPr>
              <w:t xml:space="preserve"> </w:t>
            </w:r>
            <w:r w:rsidRPr="008B53A9">
              <w:rPr>
                <w:rFonts w:cs="Calibri"/>
                <w:b/>
                <w:bCs/>
                <w:lang w:val="cs-CZ" w:eastAsia="cs-CZ"/>
              </w:rPr>
              <w:t>jednotka</w:t>
            </w:r>
          </w:p>
        </w:tc>
        <w:tc>
          <w:tcPr>
            <w:tcW w:w="198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5359A1" w:rsidRPr="008B53A9" w:rsidRDefault="009E5CFE" w:rsidP="00720FD1">
            <w:pPr>
              <w:pStyle w:val="Tabulka"/>
              <w:keepNext/>
              <w:keepLines/>
              <w:rPr>
                <w:rFonts w:cs="Calibri"/>
                <w:lang w:val="cs-CZ" w:eastAsia="cs-CZ"/>
              </w:rPr>
            </w:pPr>
            <w:r w:rsidRPr="008B53A9">
              <w:rPr>
                <w:rFonts w:cs="Calibri"/>
                <w:b/>
                <w:bCs/>
                <w:lang w:val="cs-CZ" w:eastAsia="cs-CZ"/>
              </w:rPr>
              <w:t>Cílová hodnota (2023)</w:t>
            </w:r>
            <w:r w:rsidR="005359A1" w:rsidRPr="008B53A9">
              <w:rPr>
                <w:rFonts w:cs="Calibri"/>
                <w:b/>
                <w:bCs/>
                <w:lang w:val="cs-CZ" w:eastAsia="cs-CZ"/>
              </w:rPr>
              <w:t xml:space="preserve"> (</w:t>
            </w:r>
            <w:r w:rsidR="00DD2263" w:rsidRPr="008B53A9">
              <w:rPr>
                <w:rFonts w:cs="Calibri"/>
                <w:b/>
                <w:bCs/>
                <w:lang w:val="cs-CZ" w:eastAsia="cs-CZ"/>
              </w:rPr>
              <w:t>nepovinné</w:t>
            </w:r>
            <w:r w:rsidR="005359A1" w:rsidRPr="008B53A9">
              <w:rPr>
                <w:rFonts w:cs="Calibri"/>
                <w:b/>
                <w:bCs/>
                <w:lang w:val="cs-CZ" w:eastAsia="cs-CZ"/>
              </w:rPr>
              <w:t>)</w:t>
            </w:r>
          </w:p>
        </w:tc>
        <w:tc>
          <w:tcPr>
            <w:tcW w:w="764" w:type="dxa"/>
            <w:tcBorders>
              <w:top w:val="single" w:sz="4" w:space="0" w:color="000000"/>
              <w:left w:val="single" w:sz="4" w:space="0" w:color="000000"/>
              <w:bottom w:val="single" w:sz="4" w:space="0" w:color="000000"/>
              <w:right w:val="single" w:sz="4" w:space="0" w:color="000000"/>
            </w:tcBorders>
            <w:shd w:val="clear" w:color="auto" w:fill="B8CCE4"/>
            <w:vAlign w:val="center"/>
          </w:tcPr>
          <w:p w:rsidR="005359A1" w:rsidRPr="008B53A9" w:rsidRDefault="005359A1" w:rsidP="00720FD1">
            <w:pPr>
              <w:pStyle w:val="Tabulka"/>
              <w:keepNext/>
              <w:keepLines/>
              <w:rPr>
                <w:rFonts w:cs="Calibri"/>
                <w:lang w:val="cs-CZ" w:eastAsia="cs-CZ"/>
              </w:rPr>
            </w:pPr>
            <w:r w:rsidRPr="008B53A9">
              <w:rPr>
                <w:rFonts w:cs="Calibri"/>
                <w:b/>
                <w:bCs/>
                <w:lang w:val="cs-CZ" w:eastAsia="cs-CZ"/>
              </w:rPr>
              <w:t xml:space="preserve">Zdroj </w:t>
            </w:r>
            <w:r w:rsidR="00DD2263" w:rsidRPr="008B53A9">
              <w:rPr>
                <w:rFonts w:cs="Calibri"/>
                <w:b/>
                <w:bCs/>
                <w:lang w:val="cs-CZ" w:eastAsia="cs-CZ"/>
              </w:rPr>
              <w:t>údajů</w:t>
            </w:r>
          </w:p>
        </w:tc>
      </w:tr>
      <w:tr w:rsidR="005359A1" w:rsidRPr="008B53A9">
        <w:trPr>
          <w:trHeight w:hRule="exact" w:val="945"/>
        </w:trPr>
        <w:tc>
          <w:tcPr>
            <w:tcW w:w="907"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65318C" w:rsidP="00720FD1">
            <w:pPr>
              <w:pStyle w:val="Tabulka"/>
              <w:keepNext/>
              <w:keepLines/>
              <w:rPr>
                <w:rFonts w:cs="Calibri"/>
                <w:lang w:val="cs-CZ" w:eastAsia="cs-CZ"/>
              </w:rPr>
            </w:pPr>
            <w:r w:rsidRPr="008B53A9">
              <w:rPr>
                <w:rFonts w:cs="Calibri"/>
                <w:lang w:val="cs-CZ" w:eastAsia="cs-CZ"/>
              </w:rPr>
              <w:t>82000</w:t>
            </w:r>
          </w:p>
        </w:tc>
        <w:tc>
          <w:tcPr>
            <w:tcW w:w="4518"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946A81" w:rsidP="00720FD1">
            <w:pPr>
              <w:pStyle w:val="Tabulka"/>
              <w:keepNext/>
              <w:keepLines/>
              <w:jc w:val="left"/>
              <w:rPr>
                <w:rFonts w:cs="Calibri"/>
                <w:lang w:val="cs-CZ" w:eastAsia="cs-CZ"/>
              </w:rPr>
            </w:pPr>
            <w:r w:rsidRPr="008B53A9">
              <w:rPr>
                <w:rFonts w:cs="Calibri"/>
                <w:lang w:val="cs-CZ" w:eastAsia="cs-CZ"/>
              </w:rPr>
              <w:t>Počet uskutečněných školení, seminářů, workshopů, konferencí a ostatní podobné aktivity</w:t>
            </w:r>
          </w:p>
        </w:tc>
        <w:tc>
          <w:tcPr>
            <w:tcW w:w="1153"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6B31B5" w:rsidP="00720FD1">
            <w:pPr>
              <w:pStyle w:val="Tabulka"/>
              <w:keepNext/>
              <w:keepLines/>
              <w:rPr>
                <w:rFonts w:cs="Calibri"/>
                <w:lang w:val="cs-CZ" w:eastAsia="cs-CZ"/>
              </w:rPr>
            </w:pPr>
            <w:r w:rsidRPr="008B53A9">
              <w:rPr>
                <w:rFonts w:cs="Calibri"/>
                <w:lang w:val="cs-CZ" w:eastAsia="cs-CZ"/>
              </w:rPr>
              <w:t>Aktivity</w:t>
            </w:r>
          </w:p>
        </w:tc>
        <w:tc>
          <w:tcPr>
            <w:tcW w:w="1984"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DA2ECC" w:rsidP="00720FD1">
            <w:pPr>
              <w:pStyle w:val="Tabulka"/>
              <w:keepNext/>
              <w:keepLines/>
              <w:rPr>
                <w:rFonts w:cs="Calibri"/>
                <w:lang w:val="cs-CZ" w:eastAsia="cs-CZ"/>
              </w:rPr>
            </w:pPr>
            <w:r w:rsidRPr="008B53A9">
              <w:rPr>
                <w:rFonts w:cs="Calibri"/>
                <w:lang w:val="cs-CZ" w:eastAsia="cs-CZ"/>
              </w:rPr>
              <w:t>970</w:t>
            </w:r>
          </w:p>
        </w:tc>
        <w:tc>
          <w:tcPr>
            <w:tcW w:w="764"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CB5255" w:rsidP="00720FD1">
            <w:pPr>
              <w:pStyle w:val="Tabulka"/>
              <w:keepNext/>
              <w:keepLines/>
              <w:rPr>
                <w:rFonts w:cs="Calibri"/>
                <w:lang w:val="cs-CZ" w:eastAsia="cs-CZ"/>
              </w:rPr>
            </w:pPr>
            <w:r w:rsidRPr="008B53A9">
              <w:rPr>
                <w:rFonts w:cs="Calibri"/>
                <w:lang w:val="cs-CZ" w:eastAsia="cs-CZ"/>
              </w:rPr>
              <w:t xml:space="preserve">Ž/P </w:t>
            </w:r>
          </w:p>
        </w:tc>
      </w:tr>
      <w:tr w:rsidR="005359A1" w:rsidRPr="008B53A9">
        <w:trPr>
          <w:trHeight w:hRule="exact" w:val="918"/>
        </w:trPr>
        <w:tc>
          <w:tcPr>
            <w:tcW w:w="907"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65318C" w:rsidP="004E6DD3">
            <w:pPr>
              <w:pStyle w:val="Tabulka"/>
              <w:rPr>
                <w:rFonts w:cs="Calibri"/>
                <w:lang w:val="cs-CZ" w:eastAsia="cs-CZ"/>
              </w:rPr>
            </w:pPr>
            <w:r w:rsidRPr="008B53A9">
              <w:rPr>
                <w:rFonts w:cs="Calibri"/>
                <w:lang w:val="cs-CZ" w:eastAsia="cs-CZ"/>
              </w:rPr>
              <w:t>80500</w:t>
            </w:r>
          </w:p>
        </w:tc>
        <w:tc>
          <w:tcPr>
            <w:tcW w:w="4518"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946A81" w:rsidP="004E6DD3">
            <w:pPr>
              <w:pStyle w:val="Tabulka"/>
              <w:jc w:val="left"/>
              <w:rPr>
                <w:rFonts w:cs="Calibri"/>
                <w:lang w:val="cs-CZ" w:eastAsia="cs-CZ"/>
              </w:rPr>
            </w:pPr>
            <w:r w:rsidRPr="008B53A9">
              <w:rPr>
                <w:rFonts w:cs="Calibri"/>
                <w:lang w:val="cs-CZ" w:eastAsia="cs-CZ"/>
              </w:rPr>
              <w:t xml:space="preserve">Počet napsaných a zveřejněných analytických </w:t>
            </w:r>
            <w:r w:rsidR="00EC248D" w:rsidRPr="008B53A9">
              <w:rPr>
                <w:rFonts w:cs="Calibri"/>
                <w:lang w:val="cs-CZ" w:eastAsia="cs-CZ"/>
              </w:rPr>
              <w:t xml:space="preserve">a strategických </w:t>
            </w:r>
            <w:r w:rsidRPr="008B53A9">
              <w:rPr>
                <w:rFonts w:cs="Calibri"/>
                <w:lang w:val="cs-CZ" w:eastAsia="cs-CZ"/>
              </w:rPr>
              <w:t>dokumentů (vč. evaluačních)</w:t>
            </w:r>
          </w:p>
        </w:tc>
        <w:tc>
          <w:tcPr>
            <w:tcW w:w="1153"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6B31B5" w:rsidP="004E6DD3">
            <w:pPr>
              <w:pStyle w:val="Tabulka"/>
              <w:rPr>
                <w:rFonts w:cs="Calibri"/>
                <w:lang w:val="cs-CZ" w:eastAsia="cs-CZ"/>
              </w:rPr>
            </w:pPr>
            <w:r w:rsidRPr="008B53A9">
              <w:rPr>
                <w:rFonts w:cs="Calibri"/>
                <w:lang w:val="cs-CZ" w:eastAsia="cs-CZ"/>
              </w:rPr>
              <w:t>Dokumenty</w:t>
            </w:r>
          </w:p>
        </w:tc>
        <w:tc>
          <w:tcPr>
            <w:tcW w:w="1984"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DA2ECC" w:rsidP="004E6DD3">
            <w:pPr>
              <w:pStyle w:val="Tabulka"/>
              <w:rPr>
                <w:rFonts w:cs="Calibri"/>
                <w:lang w:val="cs-CZ" w:eastAsia="cs-CZ"/>
              </w:rPr>
            </w:pPr>
            <w:r w:rsidRPr="008B53A9">
              <w:rPr>
                <w:rFonts w:cs="Calibri"/>
                <w:lang w:val="cs-CZ" w:eastAsia="cs-CZ"/>
              </w:rPr>
              <w:t>30</w:t>
            </w:r>
          </w:p>
        </w:tc>
        <w:tc>
          <w:tcPr>
            <w:tcW w:w="764" w:type="dxa"/>
            <w:tcBorders>
              <w:top w:val="single" w:sz="4" w:space="0" w:color="000000"/>
              <w:left w:val="single" w:sz="4" w:space="0" w:color="000000"/>
              <w:bottom w:val="single" w:sz="4" w:space="0" w:color="000000"/>
              <w:right w:val="single" w:sz="4" w:space="0" w:color="000000"/>
            </w:tcBorders>
            <w:vAlign w:val="center"/>
          </w:tcPr>
          <w:p w:rsidR="005359A1" w:rsidRPr="008B53A9" w:rsidRDefault="00CB5255" w:rsidP="004E6DD3">
            <w:pPr>
              <w:pStyle w:val="Tabulka"/>
              <w:rPr>
                <w:rFonts w:cs="Calibri"/>
                <w:lang w:val="cs-CZ" w:eastAsia="cs-CZ"/>
              </w:rPr>
            </w:pPr>
            <w:r w:rsidRPr="008B53A9">
              <w:rPr>
                <w:rFonts w:cs="Calibri"/>
                <w:lang w:val="cs-CZ" w:eastAsia="cs-CZ"/>
              </w:rPr>
              <w:t>Ž/P</w:t>
            </w:r>
          </w:p>
        </w:tc>
      </w:tr>
    </w:tbl>
    <w:p w:rsidR="00CF5E63" w:rsidRPr="008B53A9" w:rsidRDefault="00564523" w:rsidP="005F43DF">
      <w:pPr>
        <w:pStyle w:val="kapitola2B"/>
        <w:numPr>
          <w:ilvl w:val="2"/>
          <w:numId w:val="12"/>
        </w:numPr>
        <w:ind w:left="709"/>
      </w:pPr>
      <w:bookmarkStart w:id="109" w:name="_Toc391539671"/>
      <w:r w:rsidRPr="008B53A9">
        <w:lastRenderedPageBreak/>
        <w:t xml:space="preserve">Kategorie </w:t>
      </w:r>
      <w:r w:rsidR="00F2469F" w:rsidRPr="008B53A9">
        <w:t>zásahů</w:t>
      </w:r>
      <w:bookmarkEnd w:id="109"/>
    </w:p>
    <w:p w:rsidR="005359A1" w:rsidRPr="008B53A9" w:rsidRDefault="005359A1" w:rsidP="004E6DD3">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14</w:t>
      </w:r>
      <w:r w:rsidR="00C3289B" w:rsidRPr="008B53A9">
        <w:rPr>
          <w:noProof/>
        </w:rPr>
        <w:fldChar w:fldCharType="end"/>
      </w:r>
      <w:r w:rsidRPr="008B53A9">
        <w:t xml:space="preserve"> - </w:t>
      </w:r>
      <w:r w:rsidR="00C3289B" w:rsidRPr="008B53A9">
        <w:fldChar w:fldCharType="begin"/>
      </w:r>
      <w:r w:rsidR="00C3289B" w:rsidRPr="008B53A9">
        <w:instrText xml:space="preserve"> SEQ Tabulka \* ARABIC \r16 </w:instrText>
      </w:r>
      <w:r w:rsidR="00C3289B" w:rsidRPr="008B53A9">
        <w:fldChar w:fldCharType="separate"/>
      </w:r>
      <w:r w:rsidR="00E54216" w:rsidRPr="008B53A9">
        <w:rPr>
          <w:noProof/>
        </w:rPr>
        <w:t>16</w:t>
      </w:r>
      <w:r w:rsidR="00C3289B" w:rsidRPr="008B53A9">
        <w:rPr>
          <w:noProof/>
        </w:rPr>
        <w:fldChar w:fldCharType="end"/>
      </w:r>
      <w:r w:rsidRPr="008B53A9">
        <w:t xml:space="preserve">: Kategorie </w:t>
      </w:r>
      <w:r w:rsidR="00F2469F" w:rsidRPr="008B53A9">
        <w:t>zásahů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906"/>
        <w:gridCol w:w="2128"/>
        <w:gridCol w:w="851"/>
        <w:gridCol w:w="2270"/>
        <w:gridCol w:w="849"/>
        <w:gridCol w:w="2322"/>
      </w:tblGrid>
      <w:tr w:rsidR="00BA5EF7" w:rsidRPr="008B53A9">
        <w:tc>
          <w:tcPr>
            <w:tcW w:w="5000" w:type="pct"/>
            <w:gridSpan w:val="6"/>
            <w:shd w:val="clear" w:color="auto" w:fill="B8CCE4"/>
            <w:vAlign w:val="center"/>
          </w:tcPr>
          <w:p w:rsidR="009F18F5" w:rsidRPr="008B53A9" w:rsidRDefault="009F18F5" w:rsidP="009F18F5">
            <w:pPr>
              <w:pStyle w:val="Tabulka"/>
              <w:keepNext/>
              <w:keepLines/>
              <w:rPr>
                <w:rFonts w:cs="Calibri"/>
                <w:b/>
                <w:lang w:val="cs-CZ" w:eastAsia="cs-CZ"/>
              </w:rPr>
            </w:pPr>
            <w:r w:rsidRPr="008B53A9">
              <w:rPr>
                <w:rFonts w:cs="Calibri"/>
                <w:b/>
                <w:lang w:val="cs-CZ" w:eastAsia="cs-CZ"/>
              </w:rPr>
              <w:t xml:space="preserve">Fond: </w:t>
            </w:r>
            <w:r w:rsidRPr="008B53A9">
              <w:rPr>
                <w:rFonts w:cs="Calibri"/>
                <w:lang w:val="cs-CZ" w:eastAsia="cs-CZ"/>
              </w:rPr>
              <w:t>EFRR</w:t>
            </w:r>
          </w:p>
          <w:p w:rsidR="00BA5EF7" w:rsidRPr="008B53A9" w:rsidRDefault="009F18F5" w:rsidP="009F18F5">
            <w:pPr>
              <w:pStyle w:val="Tabulka"/>
              <w:keepNext/>
              <w:keepLines/>
              <w:rPr>
                <w:rFonts w:cs="Calibri"/>
                <w:i/>
                <w:lang w:val="cs-CZ" w:eastAsia="cs-CZ"/>
              </w:rPr>
            </w:pPr>
            <w:r w:rsidRPr="008B53A9">
              <w:rPr>
                <w:rFonts w:cs="Calibri"/>
                <w:b/>
                <w:lang w:val="cs-CZ" w:eastAsia="cs-CZ"/>
              </w:rPr>
              <w:t xml:space="preserve">Kategorie regionů: </w:t>
            </w:r>
            <w:r w:rsidRPr="008B53A9">
              <w:rPr>
                <w:rFonts w:cs="Calibri"/>
                <w:lang w:val="cs-CZ" w:eastAsia="cs-CZ"/>
              </w:rPr>
              <w:t>Méně rozvinuté regiony</w:t>
            </w:r>
          </w:p>
        </w:tc>
      </w:tr>
      <w:tr w:rsidR="005359A1" w:rsidRPr="008B53A9">
        <w:tc>
          <w:tcPr>
            <w:tcW w:w="1627" w:type="pct"/>
            <w:gridSpan w:val="2"/>
            <w:shd w:val="clear" w:color="auto" w:fill="B8CCE4"/>
            <w:vAlign w:val="center"/>
          </w:tcPr>
          <w:p w:rsidR="005359A1" w:rsidRPr="008B53A9" w:rsidRDefault="005359A1" w:rsidP="004E6DD3">
            <w:pPr>
              <w:pStyle w:val="Tabulka"/>
              <w:keepNext/>
              <w:keepLines/>
              <w:rPr>
                <w:rFonts w:cs="Calibri"/>
                <w:lang w:val="cs-CZ" w:eastAsia="cs-CZ"/>
              </w:rPr>
            </w:pPr>
            <w:r w:rsidRPr="008B53A9">
              <w:rPr>
                <w:rFonts w:cs="Calibri"/>
                <w:lang w:val="cs-CZ" w:eastAsia="cs-CZ"/>
              </w:rPr>
              <w:t>Tabulka č. 14:</w:t>
            </w:r>
          </w:p>
          <w:p w:rsidR="005359A1" w:rsidRPr="008B53A9" w:rsidRDefault="005359A1" w:rsidP="004E6DD3">
            <w:pPr>
              <w:pStyle w:val="Tabulka"/>
              <w:keepNext/>
              <w:keepLines/>
              <w:rPr>
                <w:rFonts w:cs="Calibri"/>
                <w:lang w:val="cs-CZ" w:eastAsia="cs-CZ"/>
              </w:rPr>
            </w:pPr>
            <w:r w:rsidRPr="008B53A9">
              <w:rPr>
                <w:rFonts w:cs="Calibri"/>
                <w:lang w:val="cs-CZ" w:eastAsia="cs-CZ"/>
              </w:rPr>
              <w:t>Dimenze 1</w:t>
            </w:r>
          </w:p>
          <w:p w:rsidR="005359A1" w:rsidRPr="008B53A9" w:rsidRDefault="00DF23DE" w:rsidP="004E6DD3">
            <w:pPr>
              <w:pStyle w:val="Tabulka"/>
              <w:keepNext/>
              <w:keepLines/>
              <w:rPr>
                <w:rFonts w:cs="Calibri"/>
                <w:lang w:val="cs-CZ" w:eastAsia="cs-CZ"/>
              </w:rPr>
            </w:pPr>
            <w:r w:rsidRPr="008B53A9">
              <w:rPr>
                <w:rFonts w:cs="Calibri"/>
                <w:lang w:val="cs-CZ" w:eastAsia="cs-CZ"/>
              </w:rPr>
              <w:t>Oblast zásahů</w:t>
            </w:r>
          </w:p>
        </w:tc>
        <w:tc>
          <w:tcPr>
            <w:tcW w:w="1673" w:type="pct"/>
            <w:gridSpan w:val="2"/>
            <w:shd w:val="clear" w:color="auto" w:fill="B8CCE4"/>
            <w:vAlign w:val="center"/>
          </w:tcPr>
          <w:p w:rsidR="005359A1" w:rsidRPr="008B53A9" w:rsidRDefault="005359A1" w:rsidP="004E6DD3">
            <w:pPr>
              <w:pStyle w:val="Tabulka"/>
              <w:keepNext/>
              <w:keepLines/>
              <w:rPr>
                <w:rFonts w:cs="Calibri"/>
                <w:lang w:val="cs-CZ" w:eastAsia="cs-CZ"/>
              </w:rPr>
            </w:pPr>
            <w:r w:rsidRPr="008B53A9">
              <w:rPr>
                <w:rFonts w:cs="Calibri"/>
                <w:lang w:val="cs-CZ" w:eastAsia="cs-CZ"/>
              </w:rPr>
              <w:t>Tabulka č. 15:</w:t>
            </w:r>
          </w:p>
          <w:p w:rsidR="005359A1" w:rsidRPr="008B53A9" w:rsidRDefault="005359A1" w:rsidP="004E6DD3">
            <w:pPr>
              <w:pStyle w:val="Tabulka"/>
              <w:keepNext/>
              <w:keepLines/>
              <w:rPr>
                <w:rFonts w:cs="Calibri"/>
                <w:lang w:val="cs-CZ" w:eastAsia="cs-CZ"/>
              </w:rPr>
            </w:pPr>
            <w:r w:rsidRPr="008B53A9">
              <w:rPr>
                <w:rFonts w:cs="Calibri"/>
                <w:lang w:val="cs-CZ" w:eastAsia="cs-CZ"/>
              </w:rPr>
              <w:t>Dimenze 2</w:t>
            </w:r>
          </w:p>
          <w:p w:rsidR="005359A1" w:rsidRPr="008B53A9" w:rsidRDefault="005359A1" w:rsidP="00DF23DE">
            <w:pPr>
              <w:pStyle w:val="Tabulka"/>
              <w:keepNext/>
              <w:keepLines/>
              <w:rPr>
                <w:rFonts w:cs="Calibri"/>
                <w:lang w:val="cs-CZ" w:eastAsia="cs-CZ"/>
              </w:rPr>
            </w:pPr>
            <w:r w:rsidRPr="008B53A9">
              <w:rPr>
                <w:rFonts w:cs="Calibri"/>
                <w:lang w:val="cs-CZ" w:eastAsia="cs-CZ"/>
              </w:rPr>
              <w:t>Forma finan</w:t>
            </w:r>
            <w:r w:rsidR="00DF23DE" w:rsidRPr="008B53A9">
              <w:rPr>
                <w:rFonts w:cs="Calibri"/>
                <w:lang w:val="cs-CZ" w:eastAsia="cs-CZ"/>
              </w:rPr>
              <w:t>čních prostředků</w:t>
            </w:r>
          </w:p>
        </w:tc>
        <w:tc>
          <w:tcPr>
            <w:tcW w:w="1700" w:type="pct"/>
            <w:gridSpan w:val="2"/>
            <w:shd w:val="clear" w:color="auto" w:fill="B8CCE4"/>
            <w:vAlign w:val="center"/>
          </w:tcPr>
          <w:p w:rsidR="005359A1" w:rsidRPr="008B53A9" w:rsidRDefault="005359A1" w:rsidP="004E6DD3">
            <w:pPr>
              <w:pStyle w:val="Tabulka"/>
              <w:keepNext/>
              <w:keepLines/>
              <w:rPr>
                <w:rFonts w:cs="Calibri"/>
                <w:lang w:val="cs-CZ" w:eastAsia="cs-CZ"/>
              </w:rPr>
            </w:pPr>
            <w:r w:rsidRPr="008B53A9">
              <w:rPr>
                <w:rFonts w:cs="Calibri"/>
                <w:lang w:val="cs-CZ" w:eastAsia="cs-CZ"/>
              </w:rPr>
              <w:t>Tabulka č. 16:</w:t>
            </w:r>
          </w:p>
          <w:p w:rsidR="005359A1" w:rsidRPr="008B53A9" w:rsidRDefault="005359A1" w:rsidP="004E6DD3">
            <w:pPr>
              <w:pStyle w:val="Tabulka"/>
              <w:keepNext/>
              <w:keepLines/>
              <w:rPr>
                <w:rFonts w:cs="Calibri"/>
                <w:lang w:val="cs-CZ" w:eastAsia="cs-CZ"/>
              </w:rPr>
            </w:pPr>
            <w:r w:rsidRPr="008B53A9">
              <w:rPr>
                <w:rFonts w:cs="Calibri"/>
                <w:lang w:val="cs-CZ" w:eastAsia="cs-CZ"/>
              </w:rPr>
              <w:t>Dimenze 3</w:t>
            </w:r>
          </w:p>
          <w:p w:rsidR="005359A1" w:rsidRPr="008B53A9" w:rsidRDefault="00DF23DE" w:rsidP="004E6DD3">
            <w:pPr>
              <w:pStyle w:val="Tabulka"/>
              <w:keepNext/>
              <w:keepLines/>
              <w:rPr>
                <w:rFonts w:cs="Calibri"/>
                <w:lang w:val="cs-CZ" w:eastAsia="cs-CZ"/>
              </w:rPr>
            </w:pPr>
            <w:r w:rsidRPr="008B53A9">
              <w:rPr>
                <w:rFonts w:cs="Calibri"/>
                <w:lang w:val="cs-CZ" w:eastAsia="cs-CZ"/>
              </w:rPr>
              <w:t>Typ ú</w:t>
            </w:r>
            <w:r w:rsidR="005359A1" w:rsidRPr="008B53A9">
              <w:rPr>
                <w:rFonts w:cs="Calibri"/>
                <w:lang w:val="cs-CZ" w:eastAsia="cs-CZ"/>
              </w:rPr>
              <w:t>zemí</w:t>
            </w:r>
          </w:p>
        </w:tc>
      </w:tr>
      <w:tr w:rsidR="00C00E7A" w:rsidRPr="008B53A9">
        <w:tc>
          <w:tcPr>
            <w:tcW w:w="486" w:type="pct"/>
            <w:shd w:val="clear" w:color="auto" w:fill="DBE5F1"/>
            <w:vAlign w:val="center"/>
          </w:tcPr>
          <w:p w:rsidR="005359A1" w:rsidRPr="008B53A9" w:rsidRDefault="005359A1" w:rsidP="004E6DD3">
            <w:pPr>
              <w:pStyle w:val="Tabulka"/>
              <w:keepNext/>
              <w:keepLines/>
              <w:rPr>
                <w:rFonts w:cs="Calibri"/>
                <w:lang w:val="cs-CZ" w:eastAsia="cs-CZ"/>
              </w:rPr>
            </w:pPr>
            <w:r w:rsidRPr="008B53A9">
              <w:rPr>
                <w:rFonts w:cs="Calibri"/>
                <w:lang w:val="cs-CZ" w:eastAsia="cs-CZ"/>
              </w:rPr>
              <w:t>Kód</w:t>
            </w:r>
          </w:p>
        </w:tc>
        <w:tc>
          <w:tcPr>
            <w:tcW w:w="1141" w:type="pct"/>
            <w:shd w:val="clear" w:color="auto" w:fill="DBE5F1"/>
            <w:vAlign w:val="center"/>
          </w:tcPr>
          <w:p w:rsidR="005359A1" w:rsidRPr="008B53A9" w:rsidRDefault="00D16DE9" w:rsidP="004E6DD3">
            <w:pPr>
              <w:pStyle w:val="Tabulka"/>
              <w:keepNext/>
              <w:keepLines/>
              <w:rPr>
                <w:rFonts w:cs="Calibri"/>
                <w:lang w:val="cs-CZ" w:eastAsia="cs-CZ"/>
              </w:rPr>
            </w:pPr>
            <w:r w:rsidRPr="008B53A9">
              <w:rPr>
                <w:rFonts w:cs="Calibri"/>
                <w:lang w:val="cs-CZ" w:eastAsia="cs-CZ"/>
              </w:rPr>
              <w:t>Částka (v EUR)</w:t>
            </w:r>
          </w:p>
        </w:tc>
        <w:tc>
          <w:tcPr>
            <w:tcW w:w="456" w:type="pct"/>
            <w:shd w:val="clear" w:color="auto" w:fill="DBE5F1"/>
            <w:vAlign w:val="center"/>
          </w:tcPr>
          <w:p w:rsidR="005359A1" w:rsidRPr="008B53A9" w:rsidRDefault="005359A1" w:rsidP="004E6DD3">
            <w:pPr>
              <w:pStyle w:val="Tabulka"/>
              <w:keepNext/>
              <w:keepLines/>
              <w:rPr>
                <w:rFonts w:cs="Calibri"/>
                <w:lang w:val="cs-CZ" w:eastAsia="cs-CZ"/>
              </w:rPr>
            </w:pPr>
            <w:r w:rsidRPr="008B53A9">
              <w:rPr>
                <w:rFonts w:cs="Calibri"/>
                <w:lang w:val="cs-CZ" w:eastAsia="cs-CZ"/>
              </w:rPr>
              <w:t>Kód</w:t>
            </w:r>
          </w:p>
        </w:tc>
        <w:tc>
          <w:tcPr>
            <w:tcW w:w="1217" w:type="pct"/>
            <w:shd w:val="clear" w:color="auto" w:fill="DBE5F1"/>
            <w:vAlign w:val="center"/>
          </w:tcPr>
          <w:p w:rsidR="005359A1" w:rsidRPr="008B53A9" w:rsidRDefault="00D16DE9" w:rsidP="004E6DD3">
            <w:pPr>
              <w:pStyle w:val="Tabulka"/>
              <w:keepNext/>
              <w:keepLines/>
              <w:rPr>
                <w:rFonts w:cs="Calibri"/>
                <w:lang w:val="cs-CZ" w:eastAsia="cs-CZ"/>
              </w:rPr>
            </w:pPr>
            <w:r w:rsidRPr="008B53A9">
              <w:rPr>
                <w:rFonts w:cs="Calibri"/>
                <w:lang w:val="cs-CZ" w:eastAsia="cs-CZ"/>
              </w:rPr>
              <w:t>Částka (v EUR)</w:t>
            </w:r>
          </w:p>
        </w:tc>
        <w:tc>
          <w:tcPr>
            <w:tcW w:w="455" w:type="pct"/>
            <w:shd w:val="clear" w:color="auto" w:fill="DBE5F1"/>
            <w:vAlign w:val="center"/>
          </w:tcPr>
          <w:p w:rsidR="005359A1" w:rsidRPr="008B53A9" w:rsidRDefault="005359A1" w:rsidP="004E6DD3">
            <w:pPr>
              <w:pStyle w:val="Tabulka"/>
              <w:keepNext/>
              <w:keepLines/>
              <w:rPr>
                <w:rFonts w:cs="Calibri"/>
                <w:lang w:val="cs-CZ" w:eastAsia="cs-CZ"/>
              </w:rPr>
            </w:pPr>
            <w:r w:rsidRPr="008B53A9">
              <w:rPr>
                <w:rFonts w:cs="Calibri"/>
                <w:lang w:val="cs-CZ" w:eastAsia="cs-CZ"/>
              </w:rPr>
              <w:t>Kód</w:t>
            </w:r>
          </w:p>
        </w:tc>
        <w:tc>
          <w:tcPr>
            <w:tcW w:w="1245" w:type="pct"/>
            <w:shd w:val="clear" w:color="auto" w:fill="DBE5F1"/>
            <w:vAlign w:val="center"/>
          </w:tcPr>
          <w:p w:rsidR="005359A1" w:rsidRPr="008B53A9" w:rsidRDefault="00D16DE9" w:rsidP="004E6DD3">
            <w:pPr>
              <w:pStyle w:val="Tabulka"/>
              <w:keepNext/>
              <w:keepLines/>
              <w:rPr>
                <w:rFonts w:cs="Calibri"/>
                <w:lang w:val="cs-CZ" w:eastAsia="cs-CZ"/>
              </w:rPr>
            </w:pPr>
            <w:r w:rsidRPr="008B53A9">
              <w:rPr>
                <w:rFonts w:cs="Calibri"/>
                <w:lang w:val="cs-CZ" w:eastAsia="cs-CZ"/>
              </w:rPr>
              <w:t>Částka (v EUR)</w:t>
            </w:r>
          </w:p>
        </w:tc>
      </w:tr>
      <w:tr w:rsidR="00462A6A" w:rsidRPr="008B53A9">
        <w:tc>
          <w:tcPr>
            <w:tcW w:w="486" w:type="pct"/>
            <w:shd w:val="clear" w:color="auto" w:fill="auto"/>
            <w:vAlign w:val="center"/>
          </w:tcPr>
          <w:p w:rsidR="00462A6A" w:rsidRPr="008B53A9" w:rsidRDefault="00462A6A" w:rsidP="00DD63AD">
            <w:pPr>
              <w:pStyle w:val="Tabulka"/>
              <w:rPr>
                <w:rFonts w:cs="Calibri"/>
                <w:lang w:val="cs-CZ" w:eastAsia="cs-CZ"/>
              </w:rPr>
            </w:pPr>
            <w:r w:rsidRPr="008B53A9">
              <w:rPr>
                <w:rFonts w:cs="Calibri"/>
                <w:lang w:val="cs-CZ" w:eastAsia="cs-CZ"/>
              </w:rPr>
              <w:t>121</w:t>
            </w:r>
          </w:p>
        </w:tc>
        <w:tc>
          <w:tcPr>
            <w:tcW w:w="1141" w:type="pct"/>
            <w:shd w:val="clear" w:color="auto" w:fill="auto"/>
            <w:vAlign w:val="center"/>
          </w:tcPr>
          <w:p w:rsidR="00462A6A" w:rsidRPr="008B53A9" w:rsidRDefault="00462A6A" w:rsidP="00720FD1">
            <w:pPr>
              <w:pStyle w:val="Tabulka"/>
              <w:jc w:val="right"/>
              <w:rPr>
                <w:rFonts w:cs="Calibri"/>
                <w:lang w:val="cs-CZ" w:eastAsia="cs-CZ"/>
              </w:rPr>
            </w:pPr>
            <w:r w:rsidRPr="008B53A9">
              <w:rPr>
                <w:rFonts w:cs="Calibri"/>
                <w:lang w:val="cs-CZ" w:eastAsia="cs-CZ"/>
              </w:rPr>
              <w:t>106 390 944</w:t>
            </w:r>
          </w:p>
        </w:tc>
        <w:tc>
          <w:tcPr>
            <w:tcW w:w="456" w:type="pct"/>
            <w:shd w:val="clear" w:color="auto" w:fill="auto"/>
            <w:vAlign w:val="center"/>
          </w:tcPr>
          <w:p w:rsidR="00462A6A" w:rsidRPr="008B53A9" w:rsidRDefault="00462A6A" w:rsidP="00DD63AD">
            <w:pPr>
              <w:pStyle w:val="Tabulka"/>
              <w:rPr>
                <w:rFonts w:cs="Calibri"/>
                <w:lang w:val="cs-CZ" w:eastAsia="cs-CZ"/>
              </w:rPr>
            </w:pPr>
            <w:r w:rsidRPr="008B53A9">
              <w:rPr>
                <w:rFonts w:cs="Calibri"/>
                <w:lang w:val="cs-CZ" w:eastAsia="cs-CZ"/>
              </w:rPr>
              <w:t>01</w:t>
            </w:r>
          </w:p>
        </w:tc>
        <w:tc>
          <w:tcPr>
            <w:tcW w:w="1217" w:type="pct"/>
            <w:shd w:val="clear" w:color="auto" w:fill="auto"/>
            <w:vAlign w:val="center"/>
          </w:tcPr>
          <w:p w:rsidR="00462A6A" w:rsidRPr="008B53A9" w:rsidRDefault="00462A6A" w:rsidP="00720FD1">
            <w:pPr>
              <w:pStyle w:val="Tabulka"/>
              <w:jc w:val="right"/>
              <w:rPr>
                <w:rFonts w:cs="Calibri"/>
                <w:lang w:val="cs-CZ" w:eastAsia="cs-CZ"/>
              </w:rPr>
            </w:pPr>
            <w:r w:rsidRPr="008B53A9">
              <w:rPr>
                <w:rFonts w:cs="Calibri"/>
                <w:lang w:val="cs-CZ" w:eastAsia="cs-CZ"/>
              </w:rPr>
              <w:t>125 165 816</w:t>
            </w:r>
          </w:p>
        </w:tc>
        <w:tc>
          <w:tcPr>
            <w:tcW w:w="455" w:type="pct"/>
            <w:shd w:val="clear" w:color="auto" w:fill="auto"/>
            <w:vAlign w:val="center"/>
          </w:tcPr>
          <w:p w:rsidR="00462A6A" w:rsidRPr="008B53A9" w:rsidRDefault="00462A6A" w:rsidP="00DD63AD">
            <w:pPr>
              <w:pStyle w:val="Tabulka"/>
              <w:rPr>
                <w:rFonts w:cs="Calibri"/>
                <w:lang w:val="cs-CZ" w:eastAsia="cs-CZ"/>
              </w:rPr>
            </w:pPr>
            <w:r w:rsidRPr="008B53A9">
              <w:rPr>
                <w:rFonts w:cs="Calibri"/>
                <w:lang w:val="cs-CZ" w:eastAsia="cs-CZ"/>
              </w:rPr>
              <w:t>01</w:t>
            </w:r>
          </w:p>
        </w:tc>
        <w:tc>
          <w:tcPr>
            <w:tcW w:w="1245" w:type="pct"/>
            <w:shd w:val="clear" w:color="auto" w:fill="auto"/>
            <w:vAlign w:val="center"/>
          </w:tcPr>
          <w:p w:rsidR="00462A6A" w:rsidRPr="008B53A9" w:rsidRDefault="00462A6A" w:rsidP="00720FD1">
            <w:pPr>
              <w:pStyle w:val="Tabulka"/>
              <w:jc w:val="right"/>
              <w:rPr>
                <w:rFonts w:cs="Calibri"/>
                <w:lang w:val="cs-CZ" w:eastAsia="cs-CZ"/>
              </w:rPr>
            </w:pPr>
            <w:r w:rsidRPr="008B53A9">
              <w:rPr>
                <w:rFonts w:cs="Calibri"/>
                <w:lang w:val="cs-CZ" w:eastAsia="cs-CZ"/>
              </w:rPr>
              <w:t>125 165 816</w:t>
            </w:r>
          </w:p>
        </w:tc>
      </w:tr>
      <w:tr w:rsidR="00462A6A" w:rsidRPr="008B53A9">
        <w:tc>
          <w:tcPr>
            <w:tcW w:w="486" w:type="pct"/>
            <w:shd w:val="clear" w:color="auto" w:fill="auto"/>
            <w:vAlign w:val="center"/>
          </w:tcPr>
          <w:p w:rsidR="00462A6A" w:rsidRPr="008B53A9" w:rsidRDefault="00462A6A" w:rsidP="00DD63AD">
            <w:pPr>
              <w:pStyle w:val="Tabulka"/>
              <w:rPr>
                <w:rFonts w:cs="Calibri"/>
                <w:lang w:val="cs-CZ" w:eastAsia="cs-CZ"/>
              </w:rPr>
            </w:pPr>
            <w:r w:rsidRPr="008B53A9">
              <w:rPr>
                <w:rFonts w:cs="Calibri"/>
                <w:lang w:val="cs-CZ" w:eastAsia="cs-CZ"/>
              </w:rPr>
              <w:t>122</w:t>
            </w:r>
          </w:p>
        </w:tc>
        <w:tc>
          <w:tcPr>
            <w:tcW w:w="1141" w:type="pct"/>
            <w:shd w:val="clear" w:color="auto" w:fill="auto"/>
            <w:vAlign w:val="center"/>
          </w:tcPr>
          <w:p w:rsidR="00462A6A" w:rsidRPr="008B53A9" w:rsidRDefault="00462A6A" w:rsidP="00720FD1">
            <w:pPr>
              <w:pStyle w:val="Tabulka"/>
              <w:jc w:val="right"/>
              <w:rPr>
                <w:rFonts w:cs="Calibri"/>
                <w:lang w:val="cs-CZ" w:eastAsia="cs-CZ"/>
              </w:rPr>
            </w:pPr>
            <w:r w:rsidRPr="008B53A9">
              <w:rPr>
                <w:rFonts w:cs="Calibri"/>
                <w:lang w:val="cs-CZ" w:eastAsia="cs-CZ"/>
              </w:rPr>
              <w:t>3 754 974</w:t>
            </w:r>
          </w:p>
        </w:tc>
        <w:tc>
          <w:tcPr>
            <w:tcW w:w="456" w:type="pct"/>
            <w:shd w:val="clear" w:color="auto" w:fill="auto"/>
            <w:vAlign w:val="center"/>
          </w:tcPr>
          <w:p w:rsidR="00462A6A" w:rsidRPr="008B53A9" w:rsidRDefault="00462A6A" w:rsidP="00DD63AD">
            <w:pPr>
              <w:pStyle w:val="Tabulka"/>
              <w:rPr>
                <w:rFonts w:cs="Calibri"/>
                <w:lang w:val="cs-CZ" w:eastAsia="cs-CZ"/>
              </w:rPr>
            </w:pPr>
          </w:p>
        </w:tc>
        <w:tc>
          <w:tcPr>
            <w:tcW w:w="1217" w:type="pct"/>
            <w:shd w:val="clear" w:color="auto" w:fill="auto"/>
            <w:vAlign w:val="center"/>
          </w:tcPr>
          <w:p w:rsidR="00462A6A" w:rsidRPr="008B53A9" w:rsidRDefault="00462A6A" w:rsidP="00720FD1">
            <w:pPr>
              <w:pStyle w:val="Tabulka"/>
              <w:jc w:val="right"/>
              <w:rPr>
                <w:rFonts w:cs="Calibri"/>
                <w:lang w:val="cs-CZ" w:eastAsia="cs-CZ"/>
              </w:rPr>
            </w:pPr>
          </w:p>
        </w:tc>
        <w:tc>
          <w:tcPr>
            <w:tcW w:w="455" w:type="pct"/>
            <w:shd w:val="clear" w:color="auto" w:fill="auto"/>
            <w:vAlign w:val="center"/>
          </w:tcPr>
          <w:p w:rsidR="00462A6A" w:rsidRPr="008B53A9" w:rsidRDefault="00462A6A" w:rsidP="00DD63AD">
            <w:pPr>
              <w:pStyle w:val="Tabulka"/>
              <w:rPr>
                <w:rFonts w:cs="Calibri"/>
                <w:lang w:val="cs-CZ" w:eastAsia="cs-CZ"/>
              </w:rPr>
            </w:pPr>
          </w:p>
        </w:tc>
        <w:tc>
          <w:tcPr>
            <w:tcW w:w="1245" w:type="pct"/>
            <w:shd w:val="clear" w:color="auto" w:fill="auto"/>
            <w:vAlign w:val="center"/>
          </w:tcPr>
          <w:p w:rsidR="00462A6A" w:rsidRPr="008B53A9" w:rsidRDefault="00462A6A" w:rsidP="00720FD1">
            <w:pPr>
              <w:pStyle w:val="Tabulka"/>
              <w:jc w:val="right"/>
              <w:rPr>
                <w:rFonts w:cs="Calibri"/>
                <w:lang w:val="cs-CZ" w:eastAsia="cs-CZ"/>
              </w:rPr>
            </w:pPr>
          </w:p>
        </w:tc>
      </w:tr>
      <w:tr w:rsidR="00462A6A" w:rsidRPr="008B53A9">
        <w:tc>
          <w:tcPr>
            <w:tcW w:w="486" w:type="pct"/>
            <w:shd w:val="clear" w:color="auto" w:fill="auto"/>
            <w:vAlign w:val="center"/>
          </w:tcPr>
          <w:p w:rsidR="00462A6A" w:rsidRPr="008B53A9" w:rsidRDefault="00462A6A" w:rsidP="00DD63AD">
            <w:pPr>
              <w:pStyle w:val="Tabulka"/>
              <w:rPr>
                <w:rFonts w:cs="Calibri"/>
                <w:lang w:val="cs-CZ" w:eastAsia="cs-CZ"/>
              </w:rPr>
            </w:pPr>
            <w:r w:rsidRPr="008B53A9">
              <w:rPr>
                <w:rFonts w:cs="Calibri"/>
                <w:lang w:val="cs-CZ" w:eastAsia="cs-CZ"/>
              </w:rPr>
              <w:t>123</w:t>
            </w:r>
          </w:p>
        </w:tc>
        <w:tc>
          <w:tcPr>
            <w:tcW w:w="1141" w:type="pct"/>
            <w:shd w:val="clear" w:color="auto" w:fill="auto"/>
            <w:vAlign w:val="center"/>
          </w:tcPr>
          <w:p w:rsidR="00462A6A" w:rsidRPr="008B53A9" w:rsidRDefault="00462A6A" w:rsidP="00720FD1">
            <w:pPr>
              <w:pStyle w:val="Tabulka"/>
              <w:jc w:val="right"/>
              <w:rPr>
                <w:rFonts w:cs="Calibri"/>
                <w:lang w:val="cs-CZ" w:eastAsia="cs-CZ"/>
              </w:rPr>
            </w:pPr>
            <w:r w:rsidRPr="008B53A9">
              <w:rPr>
                <w:rFonts w:cs="Calibri"/>
                <w:lang w:val="cs-CZ" w:eastAsia="cs-CZ"/>
              </w:rPr>
              <w:t>15 019 898</w:t>
            </w:r>
          </w:p>
        </w:tc>
        <w:tc>
          <w:tcPr>
            <w:tcW w:w="456" w:type="pct"/>
            <w:shd w:val="clear" w:color="auto" w:fill="auto"/>
            <w:vAlign w:val="center"/>
          </w:tcPr>
          <w:p w:rsidR="00462A6A" w:rsidRPr="008B53A9" w:rsidRDefault="00462A6A" w:rsidP="00DD63AD">
            <w:pPr>
              <w:pStyle w:val="Tabulka"/>
              <w:rPr>
                <w:rFonts w:cs="Calibri"/>
                <w:lang w:val="cs-CZ" w:eastAsia="cs-CZ"/>
              </w:rPr>
            </w:pPr>
          </w:p>
        </w:tc>
        <w:tc>
          <w:tcPr>
            <w:tcW w:w="1217" w:type="pct"/>
            <w:shd w:val="clear" w:color="auto" w:fill="auto"/>
            <w:vAlign w:val="center"/>
          </w:tcPr>
          <w:p w:rsidR="00462A6A" w:rsidRPr="008B53A9" w:rsidRDefault="00462A6A" w:rsidP="00720FD1">
            <w:pPr>
              <w:pStyle w:val="Tabulka"/>
              <w:jc w:val="right"/>
              <w:rPr>
                <w:rFonts w:cs="Calibri"/>
                <w:lang w:val="cs-CZ" w:eastAsia="cs-CZ"/>
              </w:rPr>
            </w:pPr>
          </w:p>
        </w:tc>
        <w:tc>
          <w:tcPr>
            <w:tcW w:w="455" w:type="pct"/>
            <w:shd w:val="clear" w:color="auto" w:fill="auto"/>
            <w:vAlign w:val="center"/>
          </w:tcPr>
          <w:p w:rsidR="00462A6A" w:rsidRPr="008B53A9" w:rsidRDefault="00462A6A" w:rsidP="00DD63AD">
            <w:pPr>
              <w:pStyle w:val="Tabulka"/>
              <w:rPr>
                <w:rFonts w:cs="Calibri"/>
                <w:lang w:val="cs-CZ" w:eastAsia="cs-CZ"/>
              </w:rPr>
            </w:pPr>
          </w:p>
        </w:tc>
        <w:tc>
          <w:tcPr>
            <w:tcW w:w="1245" w:type="pct"/>
            <w:shd w:val="clear" w:color="auto" w:fill="auto"/>
            <w:vAlign w:val="center"/>
          </w:tcPr>
          <w:p w:rsidR="00462A6A" w:rsidRPr="008B53A9" w:rsidRDefault="00462A6A" w:rsidP="00720FD1">
            <w:pPr>
              <w:pStyle w:val="Tabulka"/>
              <w:jc w:val="right"/>
              <w:rPr>
                <w:rFonts w:cs="Calibri"/>
                <w:lang w:val="cs-CZ" w:eastAsia="cs-CZ"/>
              </w:rPr>
            </w:pPr>
          </w:p>
        </w:tc>
      </w:tr>
    </w:tbl>
    <w:p w:rsidR="006C0BF1" w:rsidRPr="008B53A9" w:rsidRDefault="006C0BF1" w:rsidP="006C0BF1">
      <w:pPr>
        <w:overflowPunct/>
        <w:jc w:val="both"/>
        <w:textAlignment w:val="auto"/>
        <w:rPr>
          <w:rFonts w:ascii="Calibri" w:hAnsi="Calibri" w:cs="Calibri"/>
          <w:b/>
          <w:bCs/>
          <w:color w:val="FF0000"/>
          <w:sz w:val="28"/>
          <w:szCs w:val="28"/>
        </w:rPr>
        <w:sectPr w:rsidR="006C0BF1" w:rsidRPr="008B53A9" w:rsidSect="004126CC">
          <w:headerReference w:type="default" r:id="rId37"/>
          <w:footerReference w:type="default" r:id="rId38"/>
          <w:pgSz w:w="11906" w:h="16838"/>
          <w:pgMar w:top="1418" w:right="1276" w:bottom="1276" w:left="1418" w:header="709" w:footer="709" w:gutter="0"/>
          <w:cols w:space="708"/>
          <w:docGrid w:linePitch="272"/>
        </w:sectPr>
      </w:pPr>
      <w:r w:rsidRPr="008B53A9">
        <w:rPr>
          <w:rFonts w:ascii="Calibri" w:hAnsi="Calibri" w:cs="Calibri"/>
          <w:bCs/>
          <w:color w:val="FF0000"/>
          <w:sz w:val="24"/>
          <w:szCs w:val="24"/>
        </w:rPr>
        <w:t xml:space="preserve"> </w:t>
      </w:r>
    </w:p>
    <w:p w:rsidR="008428E3" w:rsidRPr="008B53A9" w:rsidRDefault="00DD2263" w:rsidP="008428E3">
      <w:pPr>
        <w:pStyle w:val="Nadpis1"/>
      </w:pPr>
      <w:bookmarkStart w:id="110" w:name="_Toc391539672"/>
      <w:r w:rsidRPr="008B53A9">
        <w:lastRenderedPageBreak/>
        <w:t>Plán financování</w:t>
      </w:r>
      <w:bookmarkEnd w:id="110"/>
    </w:p>
    <w:p w:rsidR="00D97F09" w:rsidRPr="008B53A9" w:rsidRDefault="00DD2263" w:rsidP="00DD2263">
      <w:pPr>
        <w:pStyle w:val="Nadpis2"/>
        <w:rPr>
          <w:rFonts w:cs="Calibri"/>
        </w:rPr>
      </w:pPr>
      <w:bookmarkStart w:id="111" w:name="_Toc391539673"/>
      <w:r w:rsidRPr="008B53A9">
        <w:rPr>
          <w:rFonts w:cs="Calibri"/>
        </w:rPr>
        <w:t>Finanční podpora z každého fondu a částky týkající se výkonnostní rezervy</w:t>
      </w:r>
      <w:bookmarkEnd w:id="111"/>
    </w:p>
    <w:p w:rsidR="003520F2" w:rsidRPr="008B53A9" w:rsidRDefault="00434475" w:rsidP="000835C2">
      <w:pPr>
        <w:pStyle w:val="Titulek"/>
        <w:rPr>
          <w:noProof/>
        </w:rPr>
      </w:pPr>
      <w:r w:rsidRPr="008B53A9">
        <w:rPr>
          <w:rFonts w:cs="Calibri"/>
          <w:szCs w:val="24"/>
        </w:rPr>
        <w:t>Tabulka</w:t>
      </w:r>
      <w:r w:rsidR="000835C2" w:rsidRPr="008B53A9">
        <w:rPr>
          <w:rFonts w:cs="Calibri"/>
          <w:szCs w:val="24"/>
        </w:rPr>
        <w:t xml:space="preserve">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17</w:t>
      </w:r>
      <w:r w:rsidR="00C3289B" w:rsidRPr="008B53A9">
        <w:rPr>
          <w:noProof/>
        </w:rPr>
        <w:fldChar w:fldCharType="end"/>
      </w:r>
    </w:p>
    <w:tbl>
      <w:tblPr>
        <w:tblW w:w="500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000" w:firstRow="0" w:lastRow="0" w:firstColumn="0" w:lastColumn="0" w:noHBand="0" w:noVBand="0"/>
      </w:tblPr>
      <w:tblGrid>
        <w:gridCol w:w="531"/>
        <w:gridCol w:w="660"/>
        <w:gridCol w:w="965"/>
        <w:gridCol w:w="742"/>
        <w:gridCol w:w="854"/>
        <w:gridCol w:w="651"/>
        <w:gridCol w:w="854"/>
        <w:gridCol w:w="651"/>
        <w:gridCol w:w="854"/>
        <w:gridCol w:w="651"/>
        <w:gridCol w:w="854"/>
        <w:gridCol w:w="651"/>
        <w:gridCol w:w="854"/>
        <w:gridCol w:w="651"/>
        <w:gridCol w:w="854"/>
        <w:gridCol w:w="651"/>
        <w:gridCol w:w="854"/>
        <w:gridCol w:w="651"/>
        <w:gridCol w:w="842"/>
      </w:tblGrid>
      <w:tr w:rsidR="00DB7B5F" w:rsidRPr="008B53A9">
        <w:trPr>
          <w:trHeight w:val="525"/>
        </w:trPr>
        <w:tc>
          <w:tcPr>
            <w:tcW w:w="186" w:type="pct"/>
            <w:vMerge w:val="restart"/>
            <w:shd w:val="clear" w:color="auto" w:fill="auto"/>
          </w:tcPr>
          <w:p w:rsidR="00DB7B5F" w:rsidRPr="008B53A9" w:rsidRDefault="00DB7B5F" w:rsidP="00DB7B5F">
            <w:pPr>
              <w:pStyle w:val="Tabulka"/>
              <w:rPr>
                <w:rFonts w:cs="Calibri"/>
                <w:b/>
                <w:sz w:val="16"/>
                <w:szCs w:val="16"/>
                <w:lang w:val="cs-CZ" w:eastAsia="cs-CZ"/>
              </w:rPr>
            </w:pPr>
          </w:p>
          <w:p w:rsidR="00DB7B5F" w:rsidRPr="008B53A9" w:rsidRDefault="00DB7B5F" w:rsidP="00DB7B5F">
            <w:pPr>
              <w:pStyle w:val="Tabulka"/>
              <w:rPr>
                <w:rFonts w:cs="Calibri"/>
                <w:b/>
                <w:sz w:val="16"/>
                <w:szCs w:val="16"/>
                <w:lang w:val="cs-CZ" w:eastAsia="cs-CZ"/>
              </w:rPr>
            </w:pPr>
          </w:p>
        </w:tc>
        <w:tc>
          <w:tcPr>
            <w:tcW w:w="231" w:type="pct"/>
            <w:vMerge w:val="restart"/>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Fond</w:t>
            </w:r>
          </w:p>
        </w:tc>
        <w:tc>
          <w:tcPr>
            <w:tcW w:w="338" w:type="pct"/>
            <w:vMerge w:val="restart"/>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 Kategorie regionu</w:t>
            </w:r>
          </w:p>
        </w:tc>
        <w:tc>
          <w:tcPr>
            <w:tcW w:w="559" w:type="pct"/>
            <w:gridSpan w:val="2"/>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2014</w:t>
            </w:r>
          </w:p>
        </w:tc>
        <w:tc>
          <w:tcPr>
            <w:tcW w:w="527" w:type="pct"/>
            <w:gridSpan w:val="2"/>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2015</w:t>
            </w:r>
          </w:p>
        </w:tc>
        <w:tc>
          <w:tcPr>
            <w:tcW w:w="527" w:type="pct"/>
            <w:gridSpan w:val="2"/>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2016</w:t>
            </w:r>
          </w:p>
        </w:tc>
        <w:tc>
          <w:tcPr>
            <w:tcW w:w="527" w:type="pct"/>
            <w:gridSpan w:val="2"/>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2017</w:t>
            </w:r>
          </w:p>
        </w:tc>
        <w:tc>
          <w:tcPr>
            <w:tcW w:w="527" w:type="pct"/>
            <w:gridSpan w:val="2"/>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2018</w:t>
            </w:r>
          </w:p>
        </w:tc>
        <w:tc>
          <w:tcPr>
            <w:tcW w:w="527" w:type="pct"/>
            <w:gridSpan w:val="2"/>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2019</w:t>
            </w:r>
          </w:p>
        </w:tc>
        <w:tc>
          <w:tcPr>
            <w:tcW w:w="527" w:type="pct"/>
            <w:gridSpan w:val="2"/>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2020</w:t>
            </w:r>
          </w:p>
        </w:tc>
        <w:tc>
          <w:tcPr>
            <w:tcW w:w="523" w:type="pct"/>
            <w:gridSpan w:val="2"/>
            <w:shd w:val="clear" w:color="auto" w:fill="B8CCE4"/>
          </w:tcPr>
          <w:p w:rsidR="00DB7B5F" w:rsidRPr="008B53A9" w:rsidRDefault="00DB7B5F" w:rsidP="00DB7B5F">
            <w:pPr>
              <w:pStyle w:val="Tabulka"/>
              <w:rPr>
                <w:rFonts w:cs="Calibri"/>
                <w:b/>
                <w:sz w:val="16"/>
                <w:szCs w:val="16"/>
                <w:lang w:val="cs-CZ" w:eastAsia="cs-CZ"/>
              </w:rPr>
            </w:pPr>
            <w:r w:rsidRPr="008B53A9">
              <w:rPr>
                <w:rFonts w:cs="Calibri"/>
                <w:b/>
                <w:sz w:val="16"/>
                <w:szCs w:val="16"/>
                <w:lang w:val="cs-CZ" w:eastAsia="cs-CZ"/>
              </w:rPr>
              <w:t>Celkem</w:t>
            </w:r>
          </w:p>
        </w:tc>
      </w:tr>
      <w:tr w:rsidR="00DB7B5F" w:rsidRPr="008B53A9">
        <w:trPr>
          <w:trHeight w:val="525"/>
        </w:trPr>
        <w:tc>
          <w:tcPr>
            <w:tcW w:w="186" w:type="pct"/>
            <w:vMerge/>
            <w:shd w:val="clear" w:color="auto" w:fill="auto"/>
          </w:tcPr>
          <w:p w:rsidR="00DB7B5F" w:rsidRPr="008B53A9" w:rsidRDefault="00DB7B5F" w:rsidP="00DB7B5F">
            <w:pPr>
              <w:pStyle w:val="Tabulka"/>
              <w:rPr>
                <w:rFonts w:cs="Calibri"/>
                <w:sz w:val="16"/>
                <w:szCs w:val="16"/>
                <w:lang w:val="cs-CZ" w:eastAsia="cs-CZ"/>
              </w:rPr>
            </w:pPr>
          </w:p>
        </w:tc>
        <w:tc>
          <w:tcPr>
            <w:tcW w:w="231" w:type="pct"/>
            <w:vMerge/>
          </w:tcPr>
          <w:p w:rsidR="00DB7B5F" w:rsidRPr="008B53A9" w:rsidRDefault="00DB7B5F" w:rsidP="00DB7B5F">
            <w:pPr>
              <w:pStyle w:val="Tabulka"/>
              <w:rPr>
                <w:rFonts w:cs="Calibri"/>
                <w:sz w:val="16"/>
                <w:szCs w:val="16"/>
                <w:lang w:val="cs-CZ" w:eastAsia="cs-CZ"/>
              </w:rPr>
            </w:pPr>
          </w:p>
        </w:tc>
        <w:tc>
          <w:tcPr>
            <w:tcW w:w="338" w:type="pct"/>
            <w:vMerge/>
            <w:shd w:val="clear" w:color="auto" w:fill="auto"/>
          </w:tcPr>
          <w:p w:rsidR="00DB7B5F" w:rsidRPr="008B53A9" w:rsidRDefault="00DB7B5F" w:rsidP="00DB7B5F">
            <w:pPr>
              <w:pStyle w:val="Tabulka"/>
              <w:rPr>
                <w:rFonts w:cs="Calibri"/>
                <w:sz w:val="16"/>
                <w:szCs w:val="16"/>
                <w:lang w:val="cs-CZ" w:eastAsia="cs-CZ"/>
              </w:rPr>
            </w:pPr>
          </w:p>
        </w:tc>
        <w:tc>
          <w:tcPr>
            <w:tcW w:w="260" w:type="pct"/>
            <w:shd w:val="clear" w:color="auto" w:fill="DBE5F1"/>
          </w:tcPr>
          <w:p w:rsidR="00DB7B5F" w:rsidRPr="008B53A9" w:rsidRDefault="00DB7B5F" w:rsidP="00DD2263">
            <w:pPr>
              <w:pStyle w:val="Tabulka"/>
              <w:rPr>
                <w:rFonts w:cs="Calibri"/>
                <w:sz w:val="16"/>
                <w:szCs w:val="16"/>
                <w:lang w:val="cs-CZ" w:eastAsia="cs-CZ"/>
              </w:rPr>
            </w:pPr>
            <w:r w:rsidRPr="008B53A9">
              <w:rPr>
                <w:rFonts w:cs="Calibri"/>
                <w:sz w:val="16"/>
                <w:szCs w:val="16"/>
                <w:lang w:val="cs-CZ" w:eastAsia="cs-CZ"/>
              </w:rPr>
              <w:t xml:space="preserve">Hlavní </w:t>
            </w:r>
            <w:r w:rsidR="00DD2263" w:rsidRPr="008B53A9">
              <w:rPr>
                <w:rFonts w:cs="Calibri"/>
                <w:sz w:val="16"/>
                <w:szCs w:val="16"/>
                <w:lang w:val="cs-CZ" w:eastAsia="cs-CZ"/>
              </w:rPr>
              <w:t>příděl</w:t>
            </w:r>
            <w:r w:rsidRPr="008B53A9">
              <w:rPr>
                <w:rStyle w:val="Znakapoznpodarou"/>
                <w:rFonts w:ascii="Arial" w:hAnsi="Arial" w:cs="Arial"/>
                <w:sz w:val="16"/>
                <w:szCs w:val="16"/>
                <w:lang w:val="cs-CZ" w:eastAsia="cs-CZ"/>
              </w:rPr>
              <w:footnoteReference w:id="81"/>
            </w:r>
          </w:p>
        </w:tc>
        <w:tc>
          <w:tcPr>
            <w:tcW w:w="299"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Výkon</w:t>
            </w:r>
            <w:r w:rsidR="00AC072C" w:rsidRPr="008B53A9">
              <w:rPr>
                <w:rFonts w:cs="Calibri"/>
                <w:sz w:val="16"/>
                <w:szCs w:val="16"/>
                <w:lang w:val="cs-CZ" w:eastAsia="cs-CZ"/>
              </w:rPr>
              <w:t>n</w:t>
            </w:r>
            <w:r w:rsidRPr="008B53A9">
              <w:rPr>
                <w:rFonts w:cs="Calibri"/>
                <w:sz w:val="16"/>
                <w:szCs w:val="16"/>
                <w:lang w:val="cs-CZ" w:eastAsia="cs-CZ"/>
              </w:rPr>
              <w:t xml:space="preserve">ostní rezerva </w:t>
            </w:r>
          </w:p>
        </w:tc>
        <w:tc>
          <w:tcPr>
            <w:tcW w:w="228"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 xml:space="preserve">Hlavní </w:t>
            </w:r>
            <w:r w:rsidR="00DD2263" w:rsidRPr="008B53A9">
              <w:rPr>
                <w:rFonts w:cs="Calibri"/>
                <w:sz w:val="16"/>
                <w:szCs w:val="16"/>
                <w:lang w:val="cs-CZ" w:eastAsia="cs-CZ"/>
              </w:rPr>
              <w:t>příděl</w:t>
            </w:r>
          </w:p>
        </w:tc>
        <w:tc>
          <w:tcPr>
            <w:tcW w:w="299"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Výkon</w:t>
            </w:r>
            <w:r w:rsidR="00AC072C" w:rsidRPr="008B53A9">
              <w:rPr>
                <w:rFonts w:cs="Calibri"/>
                <w:sz w:val="16"/>
                <w:szCs w:val="16"/>
                <w:lang w:val="cs-CZ" w:eastAsia="cs-CZ"/>
              </w:rPr>
              <w:t>n</w:t>
            </w:r>
            <w:r w:rsidRPr="008B53A9">
              <w:rPr>
                <w:rFonts w:cs="Calibri"/>
                <w:sz w:val="16"/>
                <w:szCs w:val="16"/>
                <w:lang w:val="cs-CZ" w:eastAsia="cs-CZ"/>
              </w:rPr>
              <w:t>ostní rezerva</w:t>
            </w:r>
          </w:p>
        </w:tc>
        <w:tc>
          <w:tcPr>
            <w:tcW w:w="228"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 xml:space="preserve">Hlavní </w:t>
            </w:r>
            <w:r w:rsidR="00DD2263" w:rsidRPr="008B53A9">
              <w:rPr>
                <w:rFonts w:cs="Calibri"/>
                <w:sz w:val="16"/>
                <w:szCs w:val="16"/>
                <w:lang w:val="cs-CZ" w:eastAsia="cs-CZ"/>
              </w:rPr>
              <w:t>příděl</w:t>
            </w:r>
          </w:p>
        </w:tc>
        <w:tc>
          <w:tcPr>
            <w:tcW w:w="299"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Výko</w:t>
            </w:r>
            <w:r w:rsidR="00AC072C" w:rsidRPr="008B53A9">
              <w:rPr>
                <w:rFonts w:cs="Calibri"/>
                <w:sz w:val="16"/>
                <w:szCs w:val="16"/>
                <w:lang w:val="cs-CZ" w:eastAsia="cs-CZ"/>
              </w:rPr>
              <w:t>n</w:t>
            </w:r>
            <w:r w:rsidRPr="008B53A9">
              <w:rPr>
                <w:rFonts w:cs="Calibri"/>
                <w:sz w:val="16"/>
                <w:szCs w:val="16"/>
                <w:lang w:val="cs-CZ" w:eastAsia="cs-CZ"/>
              </w:rPr>
              <w:t>nostní rezerva</w:t>
            </w:r>
          </w:p>
        </w:tc>
        <w:tc>
          <w:tcPr>
            <w:tcW w:w="228"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 xml:space="preserve">Hlavní </w:t>
            </w:r>
            <w:r w:rsidR="00DD2263" w:rsidRPr="008B53A9">
              <w:rPr>
                <w:rFonts w:cs="Calibri"/>
                <w:sz w:val="16"/>
                <w:szCs w:val="16"/>
                <w:lang w:val="cs-CZ" w:eastAsia="cs-CZ"/>
              </w:rPr>
              <w:t>příděl</w:t>
            </w:r>
          </w:p>
        </w:tc>
        <w:tc>
          <w:tcPr>
            <w:tcW w:w="299"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Výkon</w:t>
            </w:r>
            <w:r w:rsidR="00AC072C" w:rsidRPr="008B53A9">
              <w:rPr>
                <w:rFonts w:cs="Calibri"/>
                <w:sz w:val="16"/>
                <w:szCs w:val="16"/>
                <w:lang w:val="cs-CZ" w:eastAsia="cs-CZ"/>
              </w:rPr>
              <w:t>n</w:t>
            </w:r>
            <w:r w:rsidRPr="008B53A9">
              <w:rPr>
                <w:rFonts w:cs="Calibri"/>
                <w:sz w:val="16"/>
                <w:szCs w:val="16"/>
                <w:lang w:val="cs-CZ" w:eastAsia="cs-CZ"/>
              </w:rPr>
              <w:t>ostní rezerva</w:t>
            </w:r>
          </w:p>
        </w:tc>
        <w:tc>
          <w:tcPr>
            <w:tcW w:w="228"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 xml:space="preserve">Hlavní </w:t>
            </w:r>
            <w:r w:rsidR="00DD2263" w:rsidRPr="008B53A9">
              <w:rPr>
                <w:rFonts w:cs="Calibri"/>
                <w:sz w:val="16"/>
                <w:szCs w:val="16"/>
                <w:lang w:val="cs-CZ" w:eastAsia="cs-CZ"/>
              </w:rPr>
              <w:t>příděl</w:t>
            </w:r>
          </w:p>
        </w:tc>
        <w:tc>
          <w:tcPr>
            <w:tcW w:w="299"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Výkon</w:t>
            </w:r>
            <w:r w:rsidR="00AC072C" w:rsidRPr="008B53A9">
              <w:rPr>
                <w:rFonts w:cs="Calibri"/>
                <w:sz w:val="16"/>
                <w:szCs w:val="16"/>
                <w:lang w:val="cs-CZ" w:eastAsia="cs-CZ"/>
              </w:rPr>
              <w:t>n</w:t>
            </w:r>
            <w:r w:rsidRPr="008B53A9">
              <w:rPr>
                <w:rFonts w:cs="Calibri"/>
                <w:sz w:val="16"/>
                <w:szCs w:val="16"/>
                <w:lang w:val="cs-CZ" w:eastAsia="cs-CZ"/>
              </w:rPr>
              <w:t>ostní rezerva</w:t>
            </w:r>
          </w:p>
        </w:tc>
        <w:tc>
          <w:tcPr>
            <w:tcW w:w="228"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 xml:space="preserve">Hlavní </w:t>
            </w:r>
            <w:r w:rsidR="00DD2263" w:rsidRPr="008B53A9">
              <w:rPr>
                <w:rFonts w:cs="Calibri"/>
                <w:sz w:val="16"/>
                <w:szCs w:val="16"/>
                <w:lang w:val="cs-CZ" w:eastAsia="cs-CZ"/>
              </w:rPr>
              <w:t>příděl</w:t>
            </w:r>
          </w:p>
        </w:tc>
        <w:tc>
          <w:tcPr>
            <w:tcW w:w="299"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Výkon</w:t>
            </w:r>
            <w:r w:rsidR="00AC072C" w:rsidRPr="008B53A9">
              <w:rPr>
                <w:rFonts w:cs="Calibri"/>
                <w:sz w:val="16"/>
                <w:szCs w:val="16"/>
                <w:lang w:val="cs-CZ" w:eastAsia="cs-CZ"/>
              </w:rPr>
              <w:t>n</w:t>
            </w:r>
            <w:r w:rsidRPr="008B53A9">
              <w:rPr>
                <w:rFonts w:cs="Calibri"/>
                <w:sz w:val="16"/>
                <w:szCs w:val="16"/>
                <w:lang w:val="cs-CZ" w:eastAsia="cs-CZ"/>
              </w:rPr>
              <w:t>ostní rezerva</w:t>
            </w:r>
          </w:p>
        </w:tc>
        <w:tc>
          <w:tcPr>
            <w:tcW w:w="228"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 xml:space="preserve">Hlavní </w:t>
            </w:r>
            <w:r w:rsidR="00DD2263" w:rsidRPr="008B53A9">
              <w:rPr>
                <w:rFonts w:cs="Calibri"/>
                <w:sz w:val="16"/>
                <w:szCs w:val="16"/>
                <w:lang w:val="cs-CZ" w:eastAsia="cs-CZ"/>
              </w:rPr>
              <w:t>příděl</w:t>
            </w:r>
          </w:p>
        </w:tc>
        <w:tc>
          <w:tcPr>
            <w:tcW w:w="299"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Výkon</w:t>
            </w:r>
            <w:r w:rsidR="00AC072C" w:rsidRPr="008B53A9">
              <w:rPr>
                <w:rFonts w:cs="Calibri"/>
                <w:sz w:val="16"/>
                <w:szCs w:val="16"/>
                <w:lang w:val="cs-CZ" w:eastAsia="cs-CZ"/>
              </w:rPr>
              <w:t>n</w:t>
            </w:r>
            <w:r w:rsidRPr="008B53A9">
              <w:rPr>
                <w:rFonts w:cs="Calibri"/>
                <w:sz w:val="16"/>
                <w:szCs w:val="16"/>
                <w:lang w:val="cs-CZ" w:eastAsia="cs-CZ"/>
              </w:rPr>
              <w:t>ostní rezerva</w:t>
            </w:r>
          </w:p>
        </w:tc>
        <w:tc>
          <w:tcPr>
            <w:tcW w:w="228" w:type="pct"/>
            <w:shd w:val="clear" w:color="auto" w:fill="DBE5F1"/>
          </w:tcPr>
          <w:p w:rsidR="00DB7B5F" w:rsidRPr="008B53A9" w:rsidRDefault="00DB7B5F" w:rsidP="00DB7B5F">
            <w:pPr>
              <w:pStyle w:val="Tabulka"/>
              <w:rPr>
                <w:rFonts w:cs="Calibri"/>
                <w:sz w:val="16"/>
                <w:szCs w:val="16"/>
                <w:lang w:val="cs-CZ" w:eastAsia="cs-CZ"/>
              </w:rPr>
            </w:pPr>
            <w:r w:rsidRPr="008B53A9">
              <w:rPr>
                <w:rFonts w:cs="Calibri"/>
                <w:sz w:val="16"/>
                <w:szCs w:val="16"/>
                <w:lang w:val="cs-CZ" w:eastAsia="cs-CZ"/>
              </w:rPr>
              <w:t xml:space="preserve">Hlavní </w:t>
            </w:r>
            <w:r w:rsidR="00DD2263" w:rsidRPr="008B53A9">
              <w:rPr>
                <w:rFonts w:cs="Calibri"/>
                <w:sz w:val="16"/>
                <w:szCs w:val="16"/>
                <w:lang w:val="cs-CZ" w:eastAsia="cs-CZ"/>
              </w:rPr>
              <w:t>příděl</w:t>
            </w:r>
          </w:p>
        </w:tc>
        <w:tc>
          <w:tcPr>
            <w:tcW w:w="295" w:type="pct"/>
            <w:shd w:val="clear" w:color="auto" w:fill="DBE5F1"/>
          </w:tcPr>
          <w:p w:rsidR="00DB7B5F" w:rsidRPr="008B53A9" w:rsidRDefault="00DB7B5F" w:rsidP="00AC072C">
            <w:pPr>
              <w:pStyle w:val="Tabulka"/>
              <w:rPr>
                <w:rFonts w:cs="Calibri"/>
                <w:sz w:val="16"/>
                <w:szCs w:val="16"/>
                <w:lang w:val="cs-CZ" w:eastAsia="cs-CZ"/>
              </w:rPr>
            </w:pPr>
            <w:r w:rsidRPr="008B53A9">
              <w:rPr>
                <w:rFonts w:cs="Calibri"/>
                <w:sz w:val="16"/>
                <w:szCs w:val="16"/>
                <w:lang w:val="cs-CZ" w:eastAsia="cs-CZ"/>
              </w:rPr>
              <w:t>Výko</w:t>
            </w:r>
            <w:r w:rsidR="00AC072C" w:rsidRPr="008B53A9">
              <w:rPr>
                <w:rFonts w:cs="Calibri"/>
                <w:sz w:val="16"/>
                <w:szCs w:val="16"/>
                <w:lang w:val="cs-CZ" w:eastAsia="cs-CZ"/>
              </w:rPr>
              <w:t>nn</w:t>
            </w:r>
            <w:r w:rsidRPr="008B53A9">
              <w:rPr>
                <w:rFonts w:cs="Calibri"/>
                <w:sz w:val="16"/>
                <w:szCs w:val="16"/>
                <w:lang w:val="cs-CZ" w:eastAsia="cs-CZ"/>
              </w:rPr>
              <w:t>ostní rezerva</w:t>
            </w:r>
          </w:p>
        </w:tc>
      </w:tr>
      <w:tr w:rsidR="000E015D" w:rsidRPr="008B53A9">
        <w:trPr>
          <w:trHeight w:val="525"/>
        </w:trPr>
        <w:tc>
          <w:tcPr>
            <w:tcW w:w="186" w:type="pct"/>
            <w:vAlign w:val="center"/>
          </w:tcPr>
          <w:p w:rsidR="000E015D" w:rsidRPr="008B53A9" w:rsidRDefault="000E015D" w:rsidP="00052713">
            <w:pPr>
              <w:pStyle w:val="Tabulka"/>
              <w:rPr>
                <w:rFonts w:cs="Calibri"/>
                <w:sz w:val="16"/>
                <w:szCs w:val="16"/>
                <w:lang w:val="cs-CZ" w:eastAsia="cs-CZ"/>
              </w:rPr>
            </w:pPr>
            <w:r w:rsidRPr="008B53A9">
              <w:rPr>
                <w:rFonts w:cs="Calibri"/>
                <w:sz w:val="16"/>
                <w:szCs w:val="16"/>
                <w:lang w:val="cs-CZ" w:eastAsia="cs-CZ"/>
              </w:rPr>
              <w:t>(1)</w:t>
            </w:r>
          </w:p>
        </w:tc>
        <w:tc>
          <w:tcPr>
            <w:tcW w:w="231" w:type="pct"/>
            <w:tcBorders>
              <w:right w:val="single" w:sz="4" w:space="0" w:color="auto"/>
            </w:tcBorders>
            <w:vAlign w:val="center"/>
          </w:tcPr>
          <w:p w:rsidR="000E015D" w:rsidRPr="008B53A9" w:rsidRDefault="000E015D" w:rsidP="00052713">
            <w:pPr>
              <w:pStyle w:val="Tabulka"/>
              <w:jc w:val="left"/>
              <w:rPr>
                <w:rFonts w:cs="Calibri"/>
                <w:sz w:val="16"/>
                <w:szCs w:val="16"/>
                <w:lang w:val="cs-CZ" w:eastAsia="cs-CZ"/>
              </w:rPr>
            </w:pPr>
            <w:r w:rsidRPr="008B53A9">
              <w:rPr>
                <w:rFonts w:cs="Calibri"/>
                <w:sz w:val="16"/>
                <w:szCs w:val="16"/>
                <w:lang w:val="cs-CZ" w:eastAsia="cs-CZ"/>
              </w:rPr>
              <w:t>EFRR</w:t>
            </w:r>
          </w:p>
        </w:tc>
        <w:tc>
          <w:tcPr>
            <w:tcW w:w="338" w:type="pct"/>
            <w:tcBorders>
              <w:left w:val="single" w:sz="4" w:space="0" w:color="auto"/>
            </w:tcBorders>
            <w:shd w:val="clear" w:color="auto" w:fill="auto"/>
            <w:vAlign w:val="center"/>
          </w:tcPr>
          <w:p w:rsidR="000E015D" w:rsidRPr="008B53A9" w:rsidRDefault="000E015D" w:rsidP="00052713">
            <w:pPr>
              <w:pStyle w:val="Tabulka"/>
              <w:jc w:val="left"/>
              <w:rPr>
                <w:rFonts w:cs="Calibri"/>
                <w:sz w:val="16"/>
                <w:szCs w:val="16"/>
                <w:lang w:val="cs-CZ" w:eastAsia="cs-CZ"/>
              </w:rPr>
            </w:pPr>
            <w:r w:rsidRPr="008B53A9">
              <w:rPr>
                <w:rFonts w:cs="Calibri"/>
                <w:sz w:val="16"/>
                <w:szCs w:val="16"/>
                <w:lang w:val="cs-CZ" w:eastAsia="cs-CZ"/>
              </w:rPr>
              <w:t>V méně rozvinutých regionech</w:t>
            </w:r>
          </w:p>
        </w:tc>
        <w:tc>
          <w:tcPr>
            <w:tcW w:w="260"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545 702 222</w:t>
            </w:r>
          </w:p>
        </w:tc>
        <w:tc>
          <w:tcPr>
            <w:tcW w:w="299"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34 832 057</w:t>
            </w:r>
          </w:p>
        </w:tc>
        <w:tc>
          <w:tcPr>
            <w:tcW w:w="228"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556 627 290</w:t>
            </w:r>
          </w:p>
        </w:tc>
        <w:tc>
          <w:tcPr>
            <w:tcW w:w="299"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35 529 401</w:t>
            </w:r>
          </w:p>
        </w:tc>
        <w:tc>
          <w:tcPr>
            <w:tcW w:w="228"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567 769 527</w:t>
            </w:r>
          </w:p>
        </w:tc>
        <w:tc>
          <w:tcPr>
            <w:tcW w:w="299"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36 240 608</w:t>
            </w:r>
          </w:p>
        </w:tc>
        <w:tc>
          <w:tcPr>
            <w:tcW w:w="228"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579 132 441</w:t>
            </w:r>
          </w:p>
        </w:tc>
        <w:tc>
          <w:tcPr>
            <w:tcW w:w="299"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36 965 901</w:t>
            </w:r>
          </w:p>
        </w:tc>
        <w:tc>
          <w:tcPr>
            <w:tcW w:w="228"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590 722 419</w:t>
            </w:r>
          </w:p>
        </w:tc>
        <w:tc>
          <w:tcPr>
            <w:tcW w:w="299"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37 705 686</w:t>
            </w:r>
          </w:p>
        </w:tc>
        <w:tc>
          <w:tcPr>
            <w:tcW w:w="228"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602 543 958</w:t>
            </w:r>
          </w:p>
        </w:tc>
        <w:tc>
          <w:tcPr>
            <w:tcW w:w="299"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38 460 253</w:t>
            </w:r>
          </w:p>
        </w:tc>
        <w:tc>
          <w:tcPr>
            <w:tcW w:w="228"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614 601 003</w:t>
            </w:r>
          </w:p>
        </w:tc>
        <w:tc>
          <w:tcPr>
            <w:tcW w:w="299" w:type="pct"/>
            <w:shd w:val="clear" w:color="auto" w:fill="auto"/>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39 229 851</w:t>
            </w:r>
          </w:p>
        </w:tc>
        <w:tc>
          <w:tcPr>
            <w:tcW w:w="228" w:type="pct"/>
            <w:shd w:val="clear" w:color="auto" w:fill="auto"/>
            <w:vAlign w:val="center"/>
          </w:tcPr>
          <w:p w:rsidR="000E015D" w:rsidRPr="008B53A9" w:rsidRDefault="00520841" w:rsidP="00165558">
            <w:pPr>
              <w:jc w:val="right"/>
              <w:rPr>
                <w:color w:val="000000"/>
                <w:sz w:val="16"/>
                <w:szCs w:val="16"/>
              </w:rPr>
            </w:pPr>
            <w:r w:rsidRPr="008B53A9">
              <w:rPr>
                <w:color w:val="000000"/>
                <w:sz w:val="16"/>
                <w:szCs w:val="16"/>
              </w:rPr>
              <w:t>4 057 098 860</w:t>
            </w:r>
          </w:p>
        </w:tc>
        <w:tc>
          <w:tcPr>
            <w:tcW w:w="295" w:type="pct"/>
            <w:shd w:val="clear" w:color="auto" w:fill="auto"/>
            <w:vAlign w:val="center"/>
          </w:tcPr>
          <w:p w:rsidR="000E015D" w:rsidRPr="008B53A9" w:rsidRDefault="00520841" w:rsidP="00165558">
            <w:pPr>
              <w:jc w:val="right"/>
              <w:rPr>
                <w:color w:val="000000"/>
                <w:sz w:val="16"/>
                <w:szCs w:val="16"/>
              </w:rPr>
            </w:pPr>
            <w:r w:rsidRPr="008B53A9">
              <w:rPr>
                <w:color w:val="000000"/>
                <w:sz w:val="16"/>
                <w:szCs w:val="16"/>
              </w:rPr>
              <w:t>258 963 757</w:t>
            </w:r>
          </w:p>
        </w:tc>
      </w:tr>
      <w:tr w:rsidR="000E015D" w:rsidRPr="008B53A9">
        <w:trPr>
          <w:trHeight w:val="525"/>
        </w:trPr>
        <w:tc>
          <w:tcPr>
            <w:tcW w:w="186" w:type="pct"/>
            <w:shd w:val="clear" w:color="auto" w:fill="auto"/>
            <w:vAlign w:val="center"/>
          </w:tcPr>
          <w:p w:rsidR="000E015D" w:rsidRPr="008B53A9" w:rsidRDefault="000E015D" w:rsidP="00052713">
            <w:pPr>
              <w:pStyle w:val="Tabulka"/>
              <w:rPr>
                <w:rFonts w:cs="Calibri"/>
                <w:sz w:val="16"/>
                <w:szCs w:val="16"/>
                <w:lang w:val="cs-CZ" w:eastAsia="cs-CZ"/>
              </w:rPr>
            </w:pPr>
            <w:r w:rsidRPr="008B53A9">
              <w:rPr>
                <w:rFonts w:cs="Calibri"/>
                <w:sz w:val="16"/>
                <w:szCs w:val="16"/>
                <w:lang w:val="cs-CZ" w:eastAsia="cs-CZ"/>
              </w:rPr>
              <w:t>(12)</w:t>
            </w:r>
          </w:p>
        </w:tc>
        <w:tc>
          <w:tcPr>
            <w:tcW w:w="231" w:type="pct"/>
            <w:tcBorders>
              <w:right w:val="single" w:sz="4" w:space="0" w:color="auto"/>
            </w:tcBorders>
            <w:shd w:val="clear" w:color="auto" w:fill="DBE5F1"/>
            <w:vAlign w:val="center"/>
          </w:tcPr>
          <w:p w:rsidR="000E015D" w:rsidRPr="008B53A9" w:rsidRDefault="000E015D" w:rsidP="00052713">
            <w:pPr>
              <w:pStyle w:val="Tabulka"/>
              <w:jc w:val="left"/>
              <w:rPr>
                <w:rFonts w:cs="Calibri"/>
                <w:sz w:val="16"/>
                <w:szCs w:val="16"/>
                <w:lang w:val="cs-CZ" w:eastAsia="cs-CZ"/>
              </w:rPr>
            </w:pPr>
            <w:r w:rsidRPr="008B53A9">
              <w:rPr>
                <w:rFonts w:cs="Calibri"/>
                <w:sz w:val="16"/>
                <w:szCs w:val="16"/>
                <w:lang w:val="cs-CZ" w:eastAsia="cs-CZ"/>
              </w:rPr>
              <w:t>Celkem</w:t>
            </w:r>
          </w:p>
        </w:tc>
        <w:tc>
          <w:tcPr>
            <w:tcW w:w="338" w:type="pct"/>
            <w:tcBorders>
              <w:left w:val="single" w:sz="4" w:space="0" w:color="auto"/>
            </w:tcBorders>
            <w:shd w:val="clear" w:color="auto" w:fill="DBE5F1"/>
            <w:vAlign w:val="center"/>
          </w:tcPr>
          <w:p w:rsidR="000E015D" w:rsidRPr="008B53A9" w:rsidRDefault="000E015D" w:rsidP="00F0331E">
            <w:pPr>
              <w:pStyle w:val="Tabulka"/>
              <w:jc w:val="left"/>
              <w:rPr>
                <w:rFonts w:cs="Calibri"/>
                <w:sz w:val="16"/>
                <w:szCs w:val="16"/>
                <w:lang w:val="cs-CZ" w:eastAsia="cs-CZ"/>
              </w:rPr>
            </w:pPr>
          </w:p>
        </w:tc>
        <w:tc>
          <w:tcPr>
            <w:tcW w:w="260"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545 702 222</w:t>
            </w:r>
          </w:p>
        </w:tc>
        <w:tc>
          <w:tcPr>
            <w:tcW w:w="299"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34 832 057</w:t>
            </w:r>
          </w:p>
        </w:tc>
        <w:tc>
          <w:tcPr>
            <w:tcW w:w="228"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556 627 290</w:t>
            </w:r>
          </w:p>
        </w:tc>
        <w:tc>
          <w:tcPr>
            <w:tcW w:w="299"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35 529 401</w:t>
            </w:r>
          </w:p>
        </w:tc>
        <w:tc>
          <w:tcPr>
            <w:tcW w:w="228"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567 769 527</w:t>
            </w:r>
          </w:p>
        </w:tc>
        <w:tc>
          <w:tcPr>
            <w:tcW w:w="299"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36 240 608</w:t>
            </w:r>
          </w:p>
        </w:tc>
        <w:tc>
          <w:tcPr>
            <w:tcW w:w="228"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579 132 441</w:t>
            </w:r>
          </w:p>
        </w:tc>
        <w:tc>
          <w:tcPr>
            <w:tcW w:w="299"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36 965 901</w:t>
            </w:r>
          </w:p>
        </w:tc>
        <w:tc>
          <w:tcPr>
            <w:tcW w:w="228"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590 722 419</w:t>
            </w:r>
          </w:p>
        </w:tc>
        <w:tc>
          <w:tcPr>
            <w:tcW w:w="299"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37 705 686</w:t>
            </w:r>
          </w:p>
        </w:tc>
        <w:tc>
          <w:tcPr>
            <w:tcW w:w="228"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602 543 958</w:t>
            </w:r>
          </w:p>
        </w:tc>
        <w:tc>
          <w:tcPr>
            <w:tcW w:w="299"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38 460 253</w:t>
            </w:r>
          </w:p>
        </w:tc>
        <w:tc>
          <w:tcPr>
            <w:tcW w:w="228"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614 601 003</w:t>
            </w:r>
          </w:p>
        </w:tc>
        <w:tc>
          <w:tcPr>
            <w:tcW w:w="299" w:type="pct"/>
            <w:shd w:val="clear" w:color="auto" w:fill="DBE5F1"/>
            <w:vAlign w:val="center"/>
          </w:tcPr>
          <w:p w:rsidR="000E015D" w:rsidRPr="008B53A9" w:rsidRDefault="000E015D" w:rsidP="00165558">
            <w:pPr>
              <w:pStyle w:val="Tabulka"/>
              <w:jc w:val="right"/>
              <w:rPr>
                <w:rFonts w:cs="Calibri"/>
                <w:sz w:val="16"/>
                <w:szCs w:val="16"/>
                <w:lang w:val="cs-CZ" w:eastAsia="cs-CZ"/>
              </w:rPr>
            </w:pPr>
            <w:r w:rsidRPr="008B53A9">
              <w:rPr>
                <w:rFonts w:cs="Calibri"/>
                <w:sz w:val="16"/>
                <w:szCs w:val="16"/>
                <w:lang w:val="cs-CZ" w:eastAsia="cs-CZ"/>
              </w:rPr>
              <w:t>39 229 851</w:t>
            </w:r>
          </w:p>
        </w:tc>
        <w:tc>
          <w:tcPr>
            <w:tcW w:w="228" w:type="pct"/>
            <w:shd w:val="clear" w:color="auto" w:fill="DBE5F1"/>
            <w:vAlign w:val="center"/>
          </w:tcPr>
          <w:p w:rsidR="000E015D" w:rsidRPr="008B53A9" w:rsidRDefault="000E015D" w:rsidP="00165558">
            <w:pPr>
              <w:jc w:val="right"/>
              <w:rPr>
                <w:color w:val="000000"/>
                <w:sz w:val="16"/>
                <w:szCs w:val="16"/>
              </w:rPr>
            </w:pPr>
            <w:r w:rsidRPr="008B53A9">
              <w:rPr>
                <w:color w:val="000000"/>
                <w:sz w:val="16"/>
                <w:szCs w:val="16"/>
              </w:rPr>
              <w:t>4 057 098 </w:t>
            </w:r>
            <w:r w:rsidR="00520841" w:rsidRPr="008B53A9">
              <w:rPr>
                <w:color w:val="000000"/>
                <w:sz w:val="16"/>
                <w:szCs w:val="16"/>
              </w:rPr>
              <w:t>860</w:t>
            </w:r>
          </w:p>
        </w:tc>
        <w:tc>
          <w:tcPr>
            <w:tcW w:w="295" w:type="pct"/>
            <w:shd w:val="clear" w:color="auto" w:fill="DBE5F1"/>
            <w:vAlign w:val="center"/>
          </w:tcPr>
          <w:p w:rsidR="000E015D" w:rsidRPr="008B53A9" w:rsidRDefault="000E015D" w:rsidP="00165558">
            <w:pPr>
              <w:jc w:val="right"/>
              <w:rPr>
                <w:color w:val="000000"/>
                <w:sz w:val="16"/>
                <w:szCs w:val="16"/>
              </w:rPr>
            </w:pPr>
            <w:r w:rsidRPr="008B53A9">
              <w:rPr>
                <w:color w:val="000000"/>
                <w:sz w:val="16"/>
                <w:szCs w:val="16"/>
              </w:rPr>
              <w:t>258 963 </w:t>
            </w:r>
            <w:r w:rsidR="00520841" w:rsidRPr="008B53A9">
              <w:rPr>
                <w:color w:val="000000"/>
                <w:sz w:val="16"/>
                <w:szCs w:val="16"/>
              </w:rPr>
              <w:t>757</w:t>
            </w:r>
          </w:p>
        </w:tc>
      </w:tr>
    </w:tbl>
    <w:p w:rsidR="00DD5043" w:rsidRPr="008B53A9" w:rsidRDefault="00DD5043" w:rsidP="00DD5043"/>
    <w:p w:rsidR="00C46CB7" w:rsidRPr="008B53A9" w:rsidRDefault="00DD2263" w:rsidP="00DD2263">
      <w:pPr>
        <w:pStyle w:val="Nadpis2"/>
        <w:rPr>
          <w:rStyle w:val="StandardntextChar"/>
          <w:rFonts w:cs="Times New Roman"/>
          <w:sz w:val="26"/>
          <w:szCs w:val="28"/>
        </w:rPr>
      </w:pPr>
      <w:bookmarkStart w:id="112" w:name="_Toc391539674"/>
      <w:r w:rsidRPr="008B53A9">
        <w:lastRenderedPageBreak/>
        <w:t>Celková výše finanční podpory z každého fondu a vnitrostátního spolufinancování (v EUR)</w:t>
      </w:r>
      <w:bookmarkEnd w:id="112"/>
    </w:p>
    <w:p w:rsidR="00C46CB7" w:rsidRPr="008B53A9" w:rsidRDefault="00C46CB7" w:rsidP="004E6DD3">
      <w:pPr>
        <w:pStyle w:val="Titulek"/>
        <w:keepNext/>
        <w:keepLines/>
      </w:pPr>
      <w:r w:rsidRPr="008B53A9">
        <w:t>Tab</w:t>
      </w:r>
      <w:r w:rsidR="00434475" w:rsidRPr="008B53A9">
        <w:t>ulka</w:t>
      </w:r>
      <w:r w:rsidR="00157951" w:rsidRPr="008B53A9">
        <w:t xml:space="preserve">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18</w:t>
      </w:r>
      <w:r w:rsidR="00C3289B" w:rsidRPr="008B53A9">
        <w:rPr>
          <w:noProof/>
        </w:rPr>
        <w:fldChar w:fldCharType="end"/>
      </w:r>
      <w:r w:rsidR="00D93A31" w:rsidRPr="008B53A9">
        <w:rPr>
          <w:noProof/>
        </w:rPr>
        <w:t>a</w:t>
      </w:r>
      <w:r w:rsidR="00434475" w:rsidRPr="008B53A9">
        <w:t xml:space="preserve">: </w:t>
      </w:r>
      <w:r w:rsidR="00DD2263" w:rsidRPr="008B53A9">
        <w:t>Plán financování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10"/>
        <w:gridCol w:w="515"/>
        <w:gridCol w:w="790"/>
        <w:gridCol w:w="755"/>
        <w:gridCol w:w="1061"/>
        <w:gridCol w:w="903"/>
        <w:gridCol w:w="994"/>
        <w:gridCol w:w="994"/>
        <w:gridCol w:w="959"/>
        <w:gridCol w:w="1279"/>
        <w:gridCol w:w="799"/>
        <w:gridCol w:w="914"/>
        <w:gridCol w:w="893"/>
        <w:gridCol w:w="824"/>
        <w:gridCol w:w="918"/>
        <w:gridCol w:w="950"/>
      </w:tblGrid>
      <w:tr w:rsidR="00F12954" w:rsidRPr="008B53A9" w:rsidTr="00850184">
        <w:tc>
          <w:tcPr>
            <w:tcW w:w="249" w:type="pct"/>
            <w:vMerge w:val="restart"/>
            <w:shd w:val="clear" w:color="auto" w:fill="B8CCE4"/>
          </w:tcPr>
          <w:p w:rsidR="00341E86" w:rsidRPr="008B53A9" w:rsidRDefault="00341E86" w:rsidP="00142A82">
            <w:pPr>
              <w:pStyle w:val="Tabulka"/>
              <w:keepNext/>
              <w:keepLines/>
              <w:rPr>
                <w:rFonts w:cs="Calibri"/>
                <w:b/>
                <w:sz w:val="16"/>
                <w:szCs w:val="16"/>
                <w:lang w:val="cs-CZ" w:eastAsia="cs-CZ"/>
              </w:rPr>
            </w:pPr>
            <w:r w:rsidRPr="008B53A9">
              <w:rPr>
                <w:rFonts w:cs="Calibri"/>
                <w:b/>
                <w:sz w:val="16"/>
                <w:szCs w:val="16"/>
                <w:lang w:val="cs-CZ" w:eastAsia="cs-CZ"/>
              </w:rPr>
              <w:t>Priorit</w:t>
            </w:r>
            <w:r w:rsidR="00DD2263" w:rsidRPr="008B53A9">
              <w:rPr>
                <w:rFonts w:cs="Calibri"/>
                <w:b/>
                <w:sz w:val="16"/>
                <w:szCs w:val="16"/>
                <w:lang w:val="cs-CZ" w:eastAsia="cs-CZ"/>
              </w:rPr>
              <w:t>ní osa</w:t>
            </w:r>
          </w:p>
        </w:tc>
        <w:tc>
          <w:tcPr>
            <w:tcW w:w="181" w:type="pct"/>
            <w:vMerge w:val="restart"/>
            <w:shd w:val="clear" w:color="auto" w:fill="B8CCE4"/>
          </w:tcPr>
          <w:p w:rsidR="00341E86" w:rsidRPr="008B53A9" w:rsidRDefault="00341E86" w:rsidP="00142A82">
            <w:pPr>
              <w:pStyle w:val="Tabulka"/>
              <w:keepNext/>
              <w:keepLines/>
              <w:rPr>
                <w:rFonts w:cs="Calibri"/>
                <w:b/>
                <w:sz w:val="16"/>
                <w:szCs w:val="16"/>
                <w:lang w:val="cs-CZ" w:eastAsia="cs-CZ"/>
              </w:rPr>
            </w:pPr>
            <w:r w:rsidRPr="008B53A9">
              <w:rPr>
                <w:rFonts w:cs="Calibri"/>
                <w:b/>
                <w:sz w:val="16"/>
                <w:szCs w:val="16"/>
                <w:lang w:val="cs-CZ" w:eastAsia="cs-CZ"/>
              </w:rPr>
              <w:t>Fond</w:t>
            </w:r>
          </w:p>
        </w:tc>
        <w:tc>
          <w:tcPr>
            <w:tcW w:w="277" w:type="pct"/>
            <w:vMerge w:val="restart"/>
            <w:shd w:val="clear" w:color="auto" w:fill="B8CCE4"/>
          </w:tcPr>
          <w:p w:rsidR="00341E86" w:rsidRPr="008B53A9" w:rsidRDefault="00341E86" w:rsidP="00142A82">
            <w:pPr>
              <w:pStyle w:val="Tabulka"/>
              <w:keepNext/>
              <w:keepLines/>
              <w:rPr>
                <w:rFonts w:cs="Calibri"/>
                <w:b/>
                <w:sz w:val="16"/>
                <w:szCs w:val="16"/>
                <w:lang w:val="cs-CZ" w:eastAsia="cs-CZ"/>
              </w:rPr>
            </w:pPr>
            <w:r w:rsidRPr="008B53A9">
              <w:rPr>
                <w:rFonts w:cs="Calibri"/>
                <w:b/>
                <w:sz w:val="16"/>
                <w:szCs w:val="16"/>
                <w:lang w:val="cs-CZ" w:eastAsia="cs-CZ"/>
              </w:rPr>
              <w:t>Kategorie region</w:t>
            </w:r>
            <w:r w:rsidR="00DD2263" w:rsidRPr="008B53A9">
              <w:rPr>
                <w:rFonts w:cs="Calibri"/>
                <w:b/>
                <w:sz w:val="16"/>
                <w:szCs w:val="16"/>
                <w:lang w:val="cs-CZ" w:eastAsia="cs-CZ"/>
              </w:rPr>
              <w:t>ů</w:t>
            </w:r>
            <w:r w:rsidRPr="008B53A9">
              <w:rPr>
                <w:rFonts w:cs="Calibri"/>
                <w:b/>
                <w:sz w:val="16"/>
                <w:szCs w:val="16"/>
                <w:lang w:val="cs-CZ" w:eastAsia="cs-CZ"/>
              </w:rPr>
              <w:t xml:space="preserve"> </w:t>
            </w:r>
          </w:p>
        </w:tc>
        <w:tc>
          <w:tcPr>
            <w:tcW w:w="265" w:type="pct"/>
            <w:vMerge w:val="restart"/>
            <w:shd w:val="clear" w:color="auto" w:fill="B8CCE4"/>
          </w:tcPr>
          <w:p w:rsidR="00341E86" w:rsidRPr="008B53A9" w:rsidRDefault="00341E86" w:rsidP="00142A82">
            <w:pPr>
              <w:pStyle w:val="Tabulka"/>
              <w:keepNext/>
              <w:keepLines/>
              <w:rPr>
                <w:rFonts w:cs="Calibri"/>
                <w:b/>
                <w:sz w:val="16"/>
                <w:szCs w:val="16"/>
                <w:lang w:val="cs-CZ" w:eastAsia="cs-CZ"/>
              </w:rPr>
            </w:pPr>
            <w:r w:rsidRPr="008B53A9">
              <w:rPr>
                <w:rFonts w:cs="Calibri"/>
                <w:b/>
                <w:sz w:val="16"/>
                <w:szCs w:val="16"/>
                <w:lang w:val="cs-CZ" w:eastAsia="cs-CZ"/>
              </w:rPr>
              <w:t xml:space="preserve">Základ pro výpočet </w:t>
            </w:r>
            <w:r w:rsidR="00DD2263" w:rsidRPr="008B53A9">
              <w:rPr>
                <w:rFonts w:cs="Calibri"/>
                <w:b/>
                <w:sz w:val="16"/>
                <w:szCs w:val="16"/>
                <w:lang w:val="cs-CZ" w:eastAsia="cs-CZ"/>
              </w:rPr>
              <w:t>podpory</w:t>
            </w:r>
            <w:r w:rsidRPr="008B53A9">
              <w:rPr>
                <w:rFonts w:cs="Calibri"/>
                <w:b/>
                <w:sz w:val="16"/>
                <w:szCs w:val="16"/>
                <w:lang w:val="cs-CZ" w:eastAsia="cs-CZ"/>
              </w:rPr>
              <w:t xml:space="preserve"> Unie</w:t>
            </w:r>
          </w:p>
          <w:p w:rsidR="00341E86" w:rsidRPr="008B53A9" w:rsidRDefault="00341E86" w:rsidP="00142A82">
            <w:pPr>
              <w:pStyle w:val="Tabulka"/>
              <w:keepNext/>
              <w:keepLines/>
              <w:rPr>
                <w:rFonts w:cs="Calibri"/>
                <w:b/>
                <w:sz w:val="16"/>
                <w:szCs w:val="16"/>
                <w:lang w:val="cs-CZ" w:eastAsia="cs-CZ"/>
              </w:rPr>
            </w:pPr>
            <w:r w:rsidRPr="008B53A9">
              <w:rPr>
                <w:rFonts w:cs="Calibri"/>
                <w:b/>
                <w:sz w:val="16"/>
                <w:szCs w:val="16"/>
                <w:lang w:val="cs-CZ" w:eastAsia="cs-CZ"/>
              </w:rPr>
              <w:t>(</w:t>
            </w:r>
            <w:r w:rsidR="00165558" w:rsidRPr="008B53A9">
              <w:rPr>
                <w:rFonts w:cs="Calibri"/>
                <w:b/>
                <w:sz w:val="16"/>
                <w:szCs w:val="16"/>
                <w:lang w:val="cs-CZ" w:eastAsia="cs-CZ"/>
              </w:rPr>
              <w:t>c</w:t>
            </w:r>
            <w:r w:rsidRPr="008B53A9">
              <w:rPr>
                <w:rFonts w:cs="Calibri"/>
                <w:b/>
                <w:sz w:val="16"/>
                <w:szCs w:val="16"/>
                <w:lang w:val="cs-CZ" w:eastAsia="cs-CZ"/>
              </w:rPr>
              <w:t>elkové způsobilé výdaje nebo způsobilé veřejné výdaje)</w:t>
            </w:r>
          </w:p>
        </w:tc>
        <w:tc>
          <w:tcPr>
            <w:tcW w:w="372" w:type="pct"/>
            <w:vMerge w:val="restart"/>
            <w:shd w:val="clear" w:color="auto" w:fill="B8CCE4"/>
          </w:tcPr>
          <w:p w:rsidR="00341E86" w:rsidRPr="008B53A9" w:rsidRDefault="00DD2263" w:rsidP="00142A82">
            <w:pPr>
              <w:pStyle w:val="Tabulka"/>
              <w:keepNext/>
              <w:keepLines/>
              <w:rPr>
                <w:rFonts w:cs="Calibri"/>
                <w:b/>
                <w:sz w:val="16"/>
                <w:szCs w:val="16"/>
                <w:lang w:val="cs-CZ" w:eastAsia="cs-CZ"/>
              </w:rPr>
            </w:pPr>
            <w:r w:rsidRPr="008B53A9">
              <w:rPr>
                <w:rFonts w:cs="Calibri"/>
                <w:b/>
                <w:sz w:val="16"/>
                <w:szCs w:val="16"/>
                <w:lang w:val="cs-CZ" w:eastAsia="cs-CZ"/>
              </w:rPr>
              <w:t>Podpora</w:t>
            </w:r>
            <w:r w:rsidR="00341E86" w:rsidRPr="008B53A9">
              <w:rPr>
                <w:rFonts w:cs="Calibri"/>
                <w:b/>
                <w:sz w:val="16"/>
                <w:szCs w:val="16"/>
                <w:lang w:val="cs-CZ" w:eastAsia="cs-CZ"/>
              </w:rPr>
              <w:t> Unie</w:t>
            </w:r>
          </w:p>
          <w:p w:rsidR="00341E86" w:rsidRPr="008B53A9" w:rsidRDefault="00341E86" w:rsidP="00142A82">
            <w:pPr>
              <w:pStyle w:val="Tabulka"/>
              <w:keepNext/>
              <w:keepLines/>
              <w:jc w:val="left"/>
              <w:rPr>
                <w:rFonts w:cs="Calibri"/>
                <w:b/>
                <w:sz w:val="16"/>
                <w:szCs w:val="16"/>
                <w:lang w:val="cs-CZ" w:eastAsia="cs-CZ"/>
              </w:rPr>
            </w:pPr>
          </w:p>
        </w:tc>
        <w:tc>
          <w:tcPr>
            <w:tcW w:w="317" w:type="pct"/>
            <w:vMerge w:val="restart"/>
            <w:shd w:val="clear" w:color="auto" w:fill="B8CCE4"/>
          </w:tcPr>
          <w:p w:rsidR="00341E86" w:rsidRPr="008B53A9" w:rsidRDefault="00DD2263" w:rsidP="00142A82">
            <w:pPr>
              <w:pStyle w:val="Tabulka"/>
              <w:keepNext/>
              <w:keepLines/>
              <w:rPr>
                <w:rFonts w:cs="Calibri"/>
                <w:b/>
                <w:sz w:val="16"/>
                <w:szCs w:val="16"/>
                <w:lang w:val="cs-CZ" w:eastAsia="cs-CZ"/>
              </w:rPr>
            </w:pPr>
            <w:r w:rsidRPr="008B53A9">
              <w:rPr>
                <w:rFonts w:cs="Calibri"/>
                <w:b/>
                <w:sz w:val="16"/>
                <w:szCs w:val="16"/>
                <w:lang w:val="cs-CZ" w:eastAsia="cs-CZ"/>
              </w:rPr>
              <w:t>Příspěvek členského státu</w:t>
            </w:r>
          </w:p>
          <w:p w:rsidR="00341E86" w:rsidRPr="008B53A9" w:rsidRDefault="00341E86" w:rsidP="00142A82">
            <w:pPr>
              <w:pStyle w:val="Tabulka"/>
              <w:keepNext/>
              <w:keepLines/>
              <w:jc w:val="left"/>
              <w:rPr>
                <w:rFonts w:cs="Calibri"/>
                <w:b/>
                <w:sz w:val="16"/>
                <w:szCs w:val="16"/>
                <w:lang w:val="cs-CZ" w:eastAsia="cs-CZ"/>
              </w:rPr>
            </w:pPr>
          </w:p>
        </w:tc>
        <w:tc>
          <w:tcPr>
            <w:tcW w:w="697" w:type="pct"/>
            <w:gridSpan w:val="2"/>
            <w:shd w:val="clear" w:color="auto" w:fill="B8CCE4"/>
          </w:tcPr>
          <w:p w:rsidR="00341E86" w:rsidRPr="008B53A9" w:rsidRDefault="00341E86" w:rsidP="00142A82">
            <w:pPr>
              <w:pStyle w:val="Tabulka"/>
              <w:keepNext/>
              <w:keepLines/>
              <w:rPr>
                <w:rFonts w:cs="Calibri"/>
                <w:b/>
                <w:sz w:val="16"/>
                <w:szCs w:val="16"/>
                <w:lang w:val="cs-CZ" w:eastAsia="cs-CZ"/>
              </w:rPr>
            </w:pPr>
            <w:r w:rsidRPr="008B53A9">
              <w:rPr>
                <w:rFonts w:cs="Calibri"/>
                <w:b/>
                <w:sz w:val="16"/>
                <w:szCs w:val="16"/>
                <w:lang w:val="cs-CZ" w:eastAsia="cs-CZ"/>
              </w:rPr>
              <w:t>Orientační rozdě</w:t>
            </w:r>
            <w:r w:rsidR="009D787C" w:rsidRPr="008B53A9">
              <w:rPr>
                <w:rFonts w:cs="Calibri"/>
                <w:b/>
                <w:sz w:val="16"/>
                <w:szCs w:val="16"/>
                <w:lang w:val="cs-CZ" w:eastAsia="cs-CZ"/>
              </w:rPr>
              <w:t xml:space="preserve">lení </w:t>
            </w:r>
            <w:r w:rsidR="00DD2263" w:rsidRPr="008B53A9">
              <w:rPr>
                <w:rFonts w:cs="Calibri"/>
                <w:b/>
                <w:sz w:val="16"/>
                <w:szCs w:val="16"/>
                <w:lang w:val="cs-CZ" w:eastAsia="cs-CZ"/>
              </w:rPr>
              <w:t>příspěvku členského státu</w:t>
            </w:r>
          </w:p>
        </w:tc>
        <w:tc>
          <w:tcPr>
            <w:tcW w:w="336" w:type="pct"/>
            <w:vMerge w:val="restart"/>
            <w:shd w:val="clear" w:color="auto" w:fill="B8CCE4"/>
          </w:tcPr>
          <w:p w:rsidR="00341E86" w:rsidRPr="008B53A9" w:rsidRDefault="00833413" w:rsidP="00142A82">
            <w:pPr>
              <w:pStyle w:val="Tabulka"/>
              <w:keepNext/>
              <w:keepLines/>
              <w:rPr>
                <w:rFonts w:cs="Calibri"/>
                <w:b/>
                <w:sz w:val="16"/>
                <w:szCs w:val="16"/>
                <w:lang w:val="cs-CZ" w:eastAsia="cs-CZ"/>
              </w:rPr>
            </w:pPr>
            <w:r w:rsidRPr="008B53A9">
              <w:rPr>
                <w:rFonts w:cs="Calibri"/>
                <w:b/>
                <w:sz w:val="16"/>
                <w:szCs w:val="16"/>
                <w:lang w:val="cs-CZ" w:eastAsia="cs-CZ"/>
              </w:rPr>
              <w:t>Financování celkem</w:t>
            </w:r>
          </w:p>
        </w:tc>
        <w:tc>
          <w:tcPr>
            <w:tcW w:w="449" w:type="pct"/>
            <w:vMerge w:val="restart"/>
            <w:shd w:val="clear" w:color="auto" w:fill="B8CCE4"/>
          </w:tcPr>
          <w:p w:rsidR="00341E86" w:rsidRPr="008B53A9" w:rsidRDefault="00341E86" w:rsidP="00142A82">
            <w:pPr>
              <w:pStyle w:val="Tabulka"/>
              <w:keepNext/>
              <w:keepLines/>
              <w:rPr>
                <w:rFonts w:cs="Calibri"/>
                <w:b/>
                <w:sz w:val="16"/>
                <w:szCs w:val="16"/>
                <w:lang w:val="cs-CZ" w:eastAsia="cs-CZ"/>
              </w:rPr>
            </w:pPr>
            <w:r w:rsidRPr="008B53A9">
              <w:rPr>
                <w:rFonts w:cs="Calibri"/>
                <w:b/>
                <w:sz w:val="16"/>
                <w:szCs w:val="16"/>
                <w:lang w:val="cs-CZ" w:eastAsia="cs-CZ"/>
              </w:rPr>
              <w:t>Míra spolufinancování</w:t>
            </w:r>
          </w:p>
        </w:tc>
        <w:tc>
          <w:tcPr>
            <w:tcW w:w="280" w:type="pct"/>
            <w:vMerge w:val="restart"/>
            <w:shd w:val="clear" w:color="auto" w:fill="B8CCE4"/>
          </w:tcPr>
          <w:p w:rsidR="00341E86" w:rsidRPr="008B53A9" w:rsidRDefault="00341E86" w:rsidP="00142A82">
            <w:pPr>
              <w:pStyle w:val="Tabulka"/>
              <w:keepNext/>
              <w:keepLines/>
              <w:rPr>
                <w:rFonts w:cs="Calibri"/>
                <w:b/>
                <w:sz w:val="16"/>
                <w:szCs w:val="16"/>
                <w:lang w:val="cs-CZ" w:eastAsia="cs-CZ"/>
              </w:rPr>
            </w:pPr>
            <w:r w:rsidRPr="008B53A9">
              <w:rPr>
                <w:rFonts w:cs="Calibri"/>
                <w:b/>
                <w:sz w:val="16"/>
                <w:szCs w:val="16"/>
                <w:lang w:val="cs-CZ" w:eastAsia="cs-CZ"/>
              </w:rPr>
              <w:t>Pro informaci</w:t>
            </w:r>
          </w:p>
          <w:p w:rsidR="00833413" w:rsidRPr="008B53A9" w:rsidRDefault="00833413" w:rsidP="00142A82">
            <w:pPr>
              <w:pStyle w:val="Tabulka"/>
              <w:keepNext/>
              <w:keepLines/>
              <w:rPr>
                <w:rFonts w:cs="Calibri"/>
                <w:b/>
                <w:sz w:val="16"/>
                <w:szCs w:val="16"/>
                <w:lang w:val="cs-CZ" w:eastAsia="cs-CZ"/>
              </w:rPr>
            </w:pPr>
          </w:p>
          <w:p w:rsidR="00833413" w:rsidRPr="008B53A9" w:rsidRDefault="00833413" w:rsidP="00142A82">
            <w:pPr>
              <w:pStyle w:val="Tabulka"/>
              <w:keepNext/>
              <w:keepLines/>
              <w:rPr>
                <w:rFonts w:cs="Calibri"/>
                <w:b/>
                <w:sz w:val="16"/>
                <w:szCs w:val="16"/>
                <w:lang w:val="cs-CZ" w:eastAsia="cs-CZ"/>
              </w:rPr>
            </w:pPr>
            <w:r w:rsidRPr="008B53A9">
              <w:rPr>
                <w:rFonts w:cs="Calibri"/>
                <w:b/>
                <w:sz w:val="16"/>
                <w:szCs w:val="16"/>
                <w:lang w:val="cs-CZ" w:eastAsia="cs-CZ"/>
              </w:rPr>
              <w:t>Příspěvky EIB</w:t>
            </w:r>
          </w:p>
        </w:tc>
        <w:tc>
          <w:tcPr>
            <w:tcW w:w="633" w:type="pct"/>
            <w:gridSpan w:val="2"/>
            <w:shd w:val="clear" w:color="auto" w:fill="B8CCE4"/>
          </w:tcPr>
          <w:p w:rsidR="00341E86" w:rsidRPr="008B53A9" w:rsidRDefault="00833413" w:rsidP="00142A82">
            <w:pPr>
              <w:pStyle w:val="Tabulka"/>
              <w:keepNext/>
              <w:keepLines/>
              <w:rPr>
                <w:rFonts w:cs="Calibri"/>
                <w:b/>
                <w:sz w:val="16"/>
                <w:szCs w:val="16"/>
                <w:lang w:val="cs-CZ" w:eastAsia="cs-CZ"/>
              </w:rPr>
            </w:pPr>
            <w:r w:rsidRPr="008B53A9">
              <w:rPr>
                <w:rFonts w:cs="Calibri"/>
                <w:b/>
                <w:sz w:val="16"/>
                <w:szCs w:val="16"/>
                <w:lang w:val="cs-CZ" w:eastAsia="cs-CZ"/>
              </w:rPr>
              <w:t>Hlavní příděl (finanční prostředky celkem minus výkonnostní rezerva)</w:t>
            </w:r>
          </w:p>
        </w:tc>
        <w:tc>
          <w:tcPr>
            <w:tcW w:w="611" w:type="pct"/>
            <w:gridSpan w:val="2"/>
            <w:shd w:val="clear" w:color="auto" w:fill="B8CCE4"/>
          </w:tcPr>
          <w:p w:rsidR="00341E86" w:rsidRPr="008B53A9" w:rsidRDefault="00341E86" w:rsidP="00142A82">
            <w:pPr>
              <w:pStyle w:val="Tabulka"/>
              <w:keepNext/>
              <w:keepLines/>
              <w:rPr>
                <w:rFonts w:cs="Calibri"/>
                <w:b/>
                <w:sz w:val="16"/>
                <w:szCs w:val="16"/>
                <w:lang w:val="cs-CZ" w:eastAsia="cs-CZ"/>
              </w:rPr>
            </w:pPr>
            <w:r w:rsidRPr="008B53A9">
              <w:rPr>
                <w:rFonts w:cs="Calibri"/>
                <w:b/>
                <w:sz w:val="16"/>
                <w:szCs w:val="16"/>
                <w:lang w:val="cs-CZ" w:eastAsia="cs-CZ"/>
              </w:rPr>
              <w:t>Výkonnostní rezerva</w:t>
            </w:r>
          </w:p>
        </w:tc>
        <w:tc>
          <w:tcPr>
            <w:tcW w:w="333" w:type="pct"/>
            <w:vMerge w:val="restart"/>
            <w:shd w:val="clear" w:color="auto" w:fill="B8CCE4"/>
          </w:tcPr>
          <w:p w:rsidR="00341E86" w:rsidRPr="008B53A9" w:rsidRDefault="00833413" w:rsidP="00142A82">
            <w:pPr>
              <w:pStyle w:val="Tabulka"/>
              <w:keepNext/>
              <w:keepLines/>
              <w:rPr>
                <w:rFonts w:cs="Calibri"/>
                <w:b/>
                <w:sz w:val="16"/>
                <w:szCs w:val="16"/>
                <w:lang w:val="cs-CZ" w:eastAsia="cs-CZ"/>
              </w:rPr>
            </w:pPr>
            <w:r w:rsidRPr="008B53A9">
              <w:rPr>
                <w:rFonts w:cs="Calibri"/>
                <w:b/>
                <w:sz w:val="16"/>
                <w:szCs w:val="16"/>
                <w:lang w:val="cs-CZ" w:eastAsia="cs-CZ"/>
              </w:rPr>
              <w:t>Podíl výkonnostní rezervy (podpora Unie) na celkové unijní podpoře</w:t>
            </w:r>
          </w:p>
        </w:tc>
      </w:tr>
      <w:tr w:rsidR="00510783" w:rsidRPr="008B53A9" w:rsidTr="00850184">
        <w:tc>
          <w:tcPr>
            <w:tcW w:w="249" w:type="pct"/>
            <w:vMerge/>
            <w:shd w:val="clear" w:color="auto" w:fill="auto"/>
          </w:tcPr>
          <w:p w:rsidR="00341E86" w:rsidRPr="008B53A9" w:rsidRDefault="00341E86" w:rsidP="00142A82">
            <w:pPr>
              <w:keepNext/>
              <w:keepLines/>
            </w:pPr>
          </w:p>
        </w:tc>
        <w:tc>
          <w:tcPr>
            <w:tcW w:w="181" w:type="pct"/>
            <w:vMerge/>
            <w:shd w:val="clear" w:color="auto" w:fill="auto"/>
          </w:tcPr>
          <w:p w:rsidR="00341E86" w:rsidRPr="008B53A9" w:rsidRDefault="00341E86" w:rsidP="00142A82">
            <w:pPr>
              <w:keepNext/>
              <w:keepLines/>
            </w:pPr>
          </w:p>
        </w:tc>
        <w:tc>
          <w:tcPr>
            <w:tcW w:w="277" w:type="pct"/>
            <w:vMerge/>
            <w:shd w:val="clear" w:color="auto" w:fill="auto"/>
          </w:tcPr>
          <w:p w:rsidR="00341E86" w:rsidRPr="008B53A9" w:rsidRDefault="00341E86" w:rsidP="00142A82">
            <w:pPr>
              <w:keepNext/>
              <w:keepLines/>
            </w:pPr>
          </w:p>
        </w:tc>
        <w:tc>
          <w:tcPr>
            <w:tcW w:w="265" w:type="pct"/>
            <w:vMerge/>
            <w:shd w:val="clear" w:color="auto" w:fill="auto"/>
          </w:tcPr>
          <w:p w:rsidR="00341E86" w:rsidRPr="008B53A9" w:rsidRDefault="00341E86" w:rsidP="00142A82">
            <w:pPr>
              <w:keepNext/>
              <w:keepLines/>
            </w:pPr>
          </w:p>
        </w:tc>
        <w:tc>
          <w:tcPr>
            <w:tcW w:w="372" w:type="pct"/>
            <w:vMerge/>
            <w:shd w:val="clear" w:color="auto" w:fill="auto"/>
          </w:tcPr>
          <w:p w:rsidR="00341E86" w:rsidRPr="008B53A9" w:rsidRDefault="00341E86" w:rsidP="00142A82">
            <w:pPr>
              <w:pStyle w:val="Tabulka"/>
              <w:keepNext/>
              <w:keepLines/>
              <w:rPr>
                <w:rFonts w:cs="Calibri"/>
                <w:sz w:val="16"/>
                <w:szCs w:val="16"/>
                <w:lang w:val="cs-CZ" w:eastAsia="cs-CZ"/>
              </w:rPr>
            </w:pPr>
          </w:p>
        </w:tc>
        <w:tc>
          <w:tcPr>
            <w:tcW w:w="317" w:type="pct"/>
            <w:vMerge/>
            <w:shd w:val="clear" w:color="auto" w:fill="auto"/>
          </w:tcPr>
          <w:p w:rsidR="00341E86" w:rsidRPr="008B53A9" w:rsidRDefault="00341E86" w:rsidP="00142A82">
            <w:pPr>
              <w:pStyle w:val="Tabulka"/>
              <w:keepNext/>
              <w:keepLines/>
              <w:rPr>
                <w:rFonts w:cs="Calibri"/>
                <w:sz w:val="16"/>
                <w:szCs w:val="16"/>
                <w:lang w:val="cs-CZ" w:eastAsia="cs-CZ"/>
              </w:rPr>
            </w:pPr>
          </w:p>
        </w:tc>
        <w:tc>
          <w:tcPr>
            <w:tcW w:w="349" w:type="pct"/>
            <w:shd w:val="clear" w:color="auto" w:fill="DBE5F1"/>
          </w:tcPr>
          <w:p w:rsidR="00341E86" w:rsidRPr="008B53A9" w:rsidRDefault="00DD2263" w:rsidP="00142A82">
            <w:pPr>
              <w:pStyle w:val="Tabulka"/>
              <w:keepNext/>
              <w:keepLines/>
              <w:rPr>
                <w:rFonts w:cs="Calibri"/>
                <w:sz w:val="16"/>
                <w:szCs w:val="16"/>
                <w:lang w:val="cs-CZ" w:eastAsia="cs-CZ"/>
              </w:rPr>
            </w:pPr>
            <w:r w:rsidRPr="008B53A9">
              <w:rPr>
                <w:rFonts w:cs="Calibri"/>
                <w:sz w:val="16"/>
                <w:szCs w:val="16"/>
                <w:lang w:val="cs-CZ" w:eastAsia="cs-CZ"/>
              </w:rPr>
              <w:t>Financování z vnitrostátních veřejných zdrojů</w:t>
            </w:r>
          </w:p>
        </w:tc>
        <w:tc>
          <w:tcPr>
            <w:tcW w:w="349" w:type="pct"/>
            <w:shd w:val="clear" w:color="auto" w:fill="DBE5F1"/>
          </w:tcPr>
          <w:p w:rsidR="00341E86" w:rsidRPr="008B53A9" w:rsidRDefault="00833413" w:rsidP="00142A82">
            <w:pPr>
              <w:pStyle w:val="Tabulka"/>
              <w:keepNext/>
              <w:keepLines/>
              <w:rPr>
                <w:rFonts w:cs="Calibri"/>
                <w:sz w:val="16"/>
                <w:szCs w:val="16"/>
                <w:lang w:val="cs-CZ" w:eastAsia="cs-CZ"/>
              </w:rPr>
            </w:pPr>
            <w:r w:rsidRPr="008B53A9">
              <w:rPr>
                <w:rFonts w:cs="Calibri"/>
                <w:sz w:val="16"/>
                <w:szCs w:val="16"/>
                <w:lang w:val="cs-CZ" w:eastAsia="cs-CZ"/>
              </w:rPr>
              <w:t>Financování z vnitrostátních soukromých zdrojů</w:t>
            </w:r>
          </w:p>
        </w:tc>
        <w:tc>
          <w:tcPr>
            <w:tcW w:w="336" w:type="pct"/>
            <w:vMerge/>
            <w:shd w:val="clear" w:color="auto" w:fill="auto"/>
          </w:tcPr>
          <w:p w:rsidR="00341E86" w:rsidRPr="008B53A9" w:rsidRDefault="00341E86" w:rsidP="00142A82">
            <w:pPr>
              <w:pStyle w:val="Tabulka"/>
              <w:keepNext/>
              <w:keepLines/>
              <w:rPr>
                <w:rFonts w:cs="Calibri"/>
                <w:sz w:val="16"/>
                <w:szCs w:val="16"/>
                <w:lang w:val="cs-CZ" w:eastAsia="cs-CZ"/>
              </w:rPr>
            </w:pPr>
          </w:p>
        </w:tc>
        <w:tc>
          <w:tcPr>
            <w:tcW w:w="449" w:type="pct"/>
            <w:vMerge/>
            <w:shd w:val="clear" w:color="auto" w:fill="auto"/>
          </w:tcPr>
          <w:p w:rsidR="00341E86" w:rsidRPr="008B53A9" w:rsidRDefault="00341E86" w:rsidP="00142A82">
            <w:pPr>
              <w:pStyle w:val="Tabulka"/>
              <w:keepNext/>
              <w:keepLines/>
              <w:rPr>
                <w:rFonts w:cs="Calibri"/>
                <w:sz w:val="16"/>
                <w:szCs w:val="16"/>
                <w:lang w:val="cs-CZ" w:eastAsia="cs-CZ"/>
              </w:rPr>
            </w:pPr>
          </w:p>
        </w:tc>
        <w:tc>
          <w:tcPr>
            <w:tcW w:w="280" w:type="pct"/>
            <w:vMerge/>
            <w:shd w:val="clear" w:color="auto" w:fill="auto"/>
          </w:tcPr>
          <w:p w:rsidR="00341E86" w:rsidRPr="008B53A9" w:rsidRDefault="00341E86" w:rsidP="00142A82">
            <w:pPr>
              <w:pStyle w:val="Tabulka"/>
              <w:keepNext/>
              <w:keepLines/>
              <w:rPr>
                <w:rFonts w:cs="Calibri"/>
                <w:sz w:val="16"/>
                <w:szCs w:val="16"/>
                <w:lang w:val="cs-CZ" w:eastAsia="cs-CZ"/>
              </w:rPr>
            </w:pPr>
          </w:p>
        </w:tc>
        <w:tc>
          <w:tcPr>
            <w:tcW w:w="321" w:type="pct"/>
            <w:shd w:val="clear" w:color="auto" w:fill="DBE5F1"/>
          </w:tcPr>
          <w:p w:rsidR="00341E86" w:rsidRPr="008B53A9" w:rsidRDefault="00833413" w:rsidP="00142A82">
            <w:pPr>
              <w:pStyle w:val="Tabulka"/>
              <w:keepNext/>
              <w:keepLines/>
              <w:rPr>
                <w:rFonts w:cs="Calibri"/>
                <w:sz w:val="16"/>
                <w:szCs w:val="16"/>
                <w:lang w:val="cs-CZ" w:eastAsia="cs-CZ"/>
              </w:rPr>
            </w:pPr>
            <w:r w:rsidRPr="008B53A9">
              <w:rPr>
                <w:rFonts w:cs="Calibri"/>
                <w:sz w:val="16"/>
                <w:szCs w:val="16"/>
                <w:lang w:val="cs-CZ" w:eastAsia="cs-CZ"/>
              </w:rPr>
              <w:t>Podpora</w:t>
            </w:r>
            <w:r w:rsidR="00341E86" w:rsidRPr="008B53A9">
              <w:rPr>
                <w:rFonts w:cs="Calibri"/>
                <w:sz w:val="16"/>
                <w:szCs w:val="16"/>
                <w:lang w:val="cs-CZ" w:eastAsia="cs-CZ"/>
              </w:rPr>
              <w:t xml:space="preserve"> Unie</w:t>
            </w:r>
          </w:p>
          <w:p w:rsidR="00341E86" w:rsidRPr="008B53A9" w:rsidRDefault="00341E86" w:rsidP="00142A82">
            <w:pPr>
              <w:pStyle w:val="Tabulka"/>
              <w:keepNext/>
              <w:keepLines/>
              <w:rPr>
                <w:rFonts w:cs="Calibri"/>
                <w:sz w:val="16"/>
                <w:szCs w:val="16"/>
                <w:lang w:val="cs-CZ" w:eastAsia="cs-CZ"/>
              </w:rPr>
            </w:pPr>
          </w:p>
        </w:tc>
        <w:tc>
          <w:tcPr>
            <w:tcW w:w="313" w:type="pct"/>
            <w:shd w:val="clear" w:color="auto" w:fill="DBE5F1"/>
          </w:tcPr>
          <w:p w:rsidR="00341E86" w:rsidRPr="008B53A9" w:rsidRDefault="00833413" w:rsidP="00142A82">
            <w:pPr>
              <w:pStyle w:val="Tabulka"/>
              <w:keepNext/>
              <w:keepLines/>
              <w:rPr>
                <w:rFonts w:cs="Calibri"/>
                <w:sz w:val="16"/>
                <w:szCs w:val="16"/>
                <w:lang w:val="cs-CZ" w:eastAsia="cs-CZ"/>
              </w:rPr>
            </w:pPr>
            <w:r w:rsidRPr="008B53A9">
              <w:rPr>
                <w:rFonts w:cs="Calibri"/>
                <w:sz w:val="16"/>
                <w:szCs w:val="16"/>
                <w:lang w:val="cs-CZ" w:eastAsia="cs-CZ"/>
              </w:rPr>
              <w:t>Příspěvek členského státu</w:t>
            </w:r>
          </w:p>
        </w:tc>
        <w:tc>
          <w:tcPr>
            <w:tcW w:w="289" w:type="pct"/>
            <w:shd w:val="clear" w:color="auto" w:fill="DBE5F1"/>
          </w:tcPr>
          <w:p w:rsidR="00341E86" w:rsidRPr="008B53A9" w:rsidRDefault="00833413" w:rsidP="00142A82">
            <w:pPr>
              <w:pStyle w:val="Tabulka"/>
              <w:keepNext/>
              <w:keepLines/>
              <w:rPr>
                <w:rFonts w:cs="Calibri"/>
                <w:sz w:val="16"/>
                <w:szCs w:val="16"/>
                <w:lang w:val="cs-CZ" w:eastAsia="cs-CZ"/>
              </w:rPr>
            </w:pPr>
            <w:r w:rsidRPr="008B53A9">
              <w:rPr>
                <w:rFonts w:cs="Calibri"/>
                <w:sz w:val="16"/>
                <w:szCs w:val="16"/>
                <w:lang w:val="cs-CZ" w:eastAsia="cs-CZ"/>
              </w:rPr>
              <w:t>Podpora</w:t>
            </w:r>
            <w:r w:rsidR="00341E86" w:rsidRPr="008B53A9">
              <w:rPr>
                <w:rFonts w:cs="Calibri"/>
                <w:sz w:val="16"/>
                <w:szCs w:val="16"/>
                <w:lang w:val="cs-CZ" w:eastAsia="cs-CZ"/>
              </w:rPr>
              <w:t xml:space="preserve"> Unie</w:t>
            </w:r>
          </w:p>
          <w:p w:rsidR="00341E86" w:rsidRPr="008B53A9" w:rsidRDefault="00341E86" w:rsidP="00142A82">
            <w:pPr>
              <w:pStyle w:val="Tabulka"/>
              <w:keepNext/>
              <w:keepLines/>
              <w:rPr>
                <w:rFonts w:cs="Calibri"/>
                <w:sz w:val="16"/>
                <w:szCs w:val="16"/>
                <w:lang w:val="cs-CZ" w:eastAsia="cs-CZ"/>
              </w:rPr>
            </w:pPr>
          </w:p>
        </w:tc>
        <w:tc>
          <w:tcPr>
            <w:tcW w:w="322" w:type="pct"/>
            <w:shd w:val="clear" w:color="auto" w:fill="DBE5F1"/>
          </w:tcPr>
          <w:p w:rsidR="00341E86" w:rsidRPr="008B53A9" w:rsidRDefault="00833413" w:rsidP="00142A82">
            <w:pPr>
              <w:pStyle w:val="Tabulka"/>
              <w:keepNext/>
              <w:keepLines/>
              <w:rPr>
                <w:rFonts w:cs="Calibri"/>
                <w:sz w:val="16"/>
                <w:szCs w:val="16"/>
                <w:lang w:val="cs-CZ" w:eastAsia="cs-CZ"/>
              </w:rPr>
            </w:pPr>
            <w:r w:rsidRPr="008B53A9">
              <w:rPr>
                <w:rFonts w:cs="Calibri"/>
                <w:sz w:val="16"/>
                <w:szCs w:val="16"/>
                <w:lang w:val="cs-CZ" w:eastAsia="cs-CZ"/>
              </w:rPr>
              <w:t>Příspěvek členského státu</w:t>
            </w:r>
            <w:r w:rsidRPr="008B53A9">
              <w:rPr>
                <w:rStyle w:val="Znakapoznpodarou"/>
                <w:rFonts w:cs="Calibri"/>
                <w:sz w:val="16"/>
                <w:szCs w:val="16"/>
                <w:vertAlign w:val="baseline"/>
                <w:lang w:val="cs-CZ" w:eastAsia="cs-CZ"/>
              </w:rPr>
              <w:t xml:space="preserve"> </w:t>
            </w:r>
          </w:p>
        </w:tc>
        <w:tc>
          <w:tcPr>
            <w:tcW w:w="333" w:type="pct"/>
            <w:vMerge/>
            <w:shd w:val="clear" w:color="auto" w:fill="auto"/>
          </w:tcPr>
          <w:p w:rsidR="00341E86" w:rsidRPr="008B53A9" w:rsidRDefault="00341E86" w:rsidP="00142A82">
            <w:pPr>
              <w:pStyle w:val="Tabulka"/>
              <w:keepNext/>
              <w:keepLines/>
              <w:rPr>
                <w:rFonts w:cs="Calibri"/>
                <w:sz w:val="16"/>
                <w:szCs w:val="16"/>
                <w:lang w:val="cs-CZ" w:eastAsia="cs-CZ"/>
              </w:rPr>
            </w:pPr>
          </w:p>
        </w:tc>
      </w:tr>
      <w:tr w:rsidR="00510783" w:rsidRPr="008B53A9" w:rsidTr="00850184">
        <w:tc>
          <w:tcPr>
            <w:tcW w:w="249" w:type="pct"/>
            <w:shd w:val="clear" w:color="auto" w:fill="auto"/>
          </w:tcPr>
          <w:p w:rsidR="00341E86" w:rsidRPr="008B53A9" w:rsidRDefault="00341E86" w:rsidP="00EB0F2A"/>
        </w:tc>
        <w:tc>
          <w:tcPr>
            <w:tcW w:w="181" w:type="pct"/>
            <w:shd w:val="clear" w:color="auto" w:fill="auto"/>
          </w:tcPr>
          <w:p w:rsidR="00341E86" w:rsidRPr="008B53A9" w:rsidRDefault="00341E86" w:rsidP="00EB0F2A"/>
        </w:tc>
        <w:tc>
          <w:tcPr>
            <w:tcW w:w="277" w:type="pct"/>
            <w:shd w:val="clear" w:color="auto" w:fill="auto"/>
          </w:tcPr>
          <w:p w:rsidR="00341E86" w:rsidRPr="008B53A9" w:rsidRDefault="00341E86" w:rsidP="00EB0F2A"/>
        </w:tc>
        <w:tc>
          <w:tcPr>
            <w:tcW w:w="265" w:type="pct"/>
            <w:shd w:val="clear" w:color="auto" w:fill="auto"/>
          </w:tcPr>
          <w:p w:rsidR="00341E86" w:rsidRPr="008B53A9" w:rsidRDefault="00341E86" w:rsidP="00EB0F2A"/>
        </w:tc>
        <w:tc>
          <w:tcPr>
            <w:tcW w:w="372"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(a)</w:t>
            </w:r>
          </w:p>
        </w:tc>
        <w:tc>
          <w:tcPr>
            <w:tcW w:w="317"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(b) = (c) + (d))</w:t>
            </w:r>
          </w:p>
        </w:tc>
        <w:tc>
          <w:tcPr>
            <w:tcW w:w="349"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(c)</w:t>
            </w:r>
          </w:p>
        </w:tc>
        <w:tc>
          <w:tcPr>
            <w:tcW w:w="349"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(d)</w:t>
            </w:r>
          </w:p>
        </w:tc>
        <w:tc>
          <w:tcPr>
            <w:tcW w:w="336"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(e) = (a) + (b)</w:t>
            </w:r>
          </w:p>
        </w:tc>
        <w:tc>
          <w:tcPr>
            <w:tcW w:w="449"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 xml:space="preserve">(f)  = (a)/(e) </w:t>
            </w:r>
            <w:hyperlink r:id="rId39" w:anchor="E0079#E0079" w:history="1">
              <w:r w:rsidRPr="008B53A9">
                <w:rPr>
                  <w:rFonts w:cs="Calibri"/>
                  <w:sz w:val="16"/>
                  <w:szCs w:val="16"/>
                  <w:u w:val="single"/>
                  <w:lang w:val="cs-CZ" w:eastAsia="cs-CZ"/>
                </w:rPr>
                <w:t>(2)</w:t>
              </w:r>
            </w:hyperlink>
          </w:p>
        </w:tc>
        <w:tc>
          <w:tcPr>
            <w:tcW w:w="280"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(g)</w:t>
            </w:r>
          </w:p>
        </w:tc>
        <w:tc>
          <w:tcPr>
            <w:tcW w:w="321"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(h)=(a)-(j)</w:t>
            </w:r>
          </w:p>
        </w:tc>
        <w:tc>
          <w:tcPr>
            <w:tcW w:w="313"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(i) = (b) – (k)</w:t>
            </w:r>
          </w:p>
        </w:tc>
        <w:tc>
          <w:tcPr>
            <w:tcW w:w="289"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(j)</w:t>
            </w:r>
          </w:p>
        </w:tc>
        <w:tc>
          <w:tcPr>
            <w:tcW w:w="322"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(k)= (b) * ((j)/(a))</w:t>
            </w:r>
          </w:p>
        </w:tc>
        <w:tc>
          <w:tcPr>
            <w:tcW w:w="333" w:type="pct"/>
            <w:shd w:val="clear" w:color="auto" w:fill="auto"/>
          </w:tcPr>
          <w:p w:rsidR="00341E86" w:rsidRPr="008B53A9" w:rsidRDefault="00341E86" w:rsidP="00341E86">
            <w:pPr>
              <w:pStyle w:val="Tabulka"/>
              <w:rPr>
                <w:rFonts w:cs="Calibri"/>
                <w:sz w:val="16"/>
                <w:szCs w:val="16"/>
                <w:lang w:val="cs-CZ" w:eastAsia="cs-CZ"/>
              </w:rPr>
            </w:pPr>
            <w:r w:rsidRPr="008B53A9">
              <w:rPr>
                <w:rFonts w:cs="Calibri"/>
                <w:sz w:val="16"/>
                <w:szCs w:val="16"/>
                <w:lang w:val="cs-CZ" w:eastAsia="cs-CZ"/>
              </w:rPr>
              <w:t>(l) =(j)/(a) *100</w:t>
            </w:r>
          </w:p>
        </w:tc>
      </w:tr>
      <w:tr w:rsidR="00762E3C" w:rsidRPr="008B53A9" w:rsidTr="00850184">
        <w:tc>
          <w:tcPr>
            <w:tcW w:w="249"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iCs/>
                <w:sz w:val="16"/>
                <w:szCs w:val="16"/>
                <w:lang w:val="cs-CZ" w:eastAsia="cs-CZ"/>
              </w:rPr>
              <w:t>Prioritní osa 1</w:t>
            </w:r>
          </w:p>
          <w:p w:rsidR="00762E3C" w:rsidRPr="008B53A9" w:rsidRDefault="00762E3C" w:rsidP="009D787C">
            <w:pPr>
              <w:pStyle w:val="Tabulka"/>
              <w:rPr>
                <w:rFonts w:cs="Calibri"/>
                <w:sz w:val="16"/>
                <w:szCs w:val="16"/>
                <w:lang w:val="cs-CZ" w:eastAsia="cs-CZ"/>
              </w:rPr>
            </w:pPr>
          </w:p>
        </w:tc>
        <w:tc>
          <w:tcPr>
            <w:tcW w:w="181"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sz w:val="16"/>
                <w:szCs w:val="16"/>
                <w:lang w:val="cs-CZ" w:eastAsia="cs-CZ"/>
              </w:rPr>
              <w:t>EFRR</w:t>
            </w:r>
          </w:p>
        </w:tc>
        <w:tc>
          <w:tcPr>
            <w:tcW w:w="277"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sz w:val="16"/>
                <w:szCs w:val="16"/>
                <w:lang w:val="cs-CZ" w:eastAsia="cs-CZ"/>
              </w:rPr>
              <w:t>Méně rozvinuté regiony</w:t>
            </w:r>
          </w:p>
        </w:tc>
        <w:tc>
          <w:tcPr>
            <w:tcW w:w="265" w:type="pct"/>
            <w:shd w:val="clear" w:color="auto" w:fill="auto"/>
          </w:tcPr>
          <w:p w:rsidR="00762E3C" w:rsidRPr="008B53A9" w:rsidRDefault="00762E3C" w:rsidP="00142A82">
            <w:pPr>
              <w:pStyle w:val="Tabulka"/>
              <w:jc w:val="right"/>
              <w:rPr>
                <w:rFonts w:cs="Calibri"/>
                <w:sz w:val="16"/>
                <w:szCs w:val="16"/>
                <w:lang w:val="cs-CZ" w:eastAsia="cs-CZ"/>
              </w:rPr>
            </w:pPr>
            <w:r w:rsidRPr="008B53A9">
              <w:rPr>
                <w:rFonts w:cs="Calibri"/>
                <w:sz w:val="16"/>
                <w:lang w:val="cs-CZ" w:eastAsia="cs-CZ"/>
              </w:rPr>
              <w:t>1 574 093 425</w:t>
            </w:r>
          </w:p>
        </w:tc>
        <w:tc>
          <w:tcPr>
            <w:tcW w:w="372"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1 337 979 411</w:t>
            </w:r>
          </w:p>
        </w:tc>
        <w:tc>
          <w:tcPr>
            <w:tcW w:w="317"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236  114 014</w:t>
            </w:r>
          </w:p>
        </w:tc>
        <w:tc>
          <w:tcPr>
            <w:tcW w:w="3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236  114 014</w:t>
            </w:r>
          </w:p>
        </w:tc>
        <w:tc>
          <w:tcPr>
            <w:tcW w:w="349" w:type="pct"/>
            <w:shd w:val="clear" w:color="auto" w:fill="auto"/>
          </w:tcPr>
          <w:p w:rsidR="00762E3C" w:rsidRPr="008B53A9" w:rsidRDefault="00762E3C" w:rsidP="00142A82">
            <w:pPr>
              <w:pStyle w:val="Tabulka"/>
              <w:jc w:val="right"/>
              <w:rPr>
                <w:rFonts w:cs="Calibri"/>
                <w:sz w:val="16"/>
                <w:lang w:val="cs-CZ" w:eastAsia="cs-CZ"/>
              </w:rPr>
            </w:pPr>
          </w:p>
        </w:tc>
        <w:tc>
          <w:tcPr>
            <w:tcW w:w="336"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1 574 093 425</w:t>
            </w:r>
          </w:p>
        </w:tc>
        <w:tc>
          <w:tcPr>
            <w:tcW w:w="4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0,85</w:t>
            </w:r>
          </w:p>
        </w:tc>
        <w:tc>
          <w:tcPr>
            <w:tcW w:w="280" w:type="pct"/>
            <w:shd w:val="clear" w:color="auto" w:fill="auto"/>
          </w:tcPr>
          <w:p w:rsidR="00762E3C" w:rsidRPr="008B53A9" w:rsidRDefault="00762E3C" w:rsidP="00142A82">
            <w:pPr>
              <w:pStyle w:val="Tabulka"/>
              <w:jc w:val="right"/>
              <w:rPr>
                <w:rFonts w:cs="Calibri"/>
                <w:sz w:val="16"/>
                <w:lang w:val="cs-CZ" w:eastAsia="cs-CZ"/>
              </w:rPr>
            </w:pPr>
          </w:p>
        </w:tc>
        <w:tc>
          <w:tcPr>
            <w:tcW w:w="321"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1 256 362 667</w:t>
            </w:r>
          </w:p>
        </w:tc>
        <w:tc>
          <w:tcPr>
            <w:tcW w:w="313"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221 711 059</w:t>
            </w:r>
          </w:p>
        </w:tc>
        <w:tc>
          <w:tcPr>
            <w:tcW w:w="289"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81 616 744</w:t>
            </w:r>
          </w:p>
        </w:tc>
        <w:tc>
          <w:tcPr>
            <w:tcW w:w="322"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14 402 955</w:t>
            </w:r>
          </w:p>
        </w:tc>
        <w:tc>
          <w:tcPr>
            <w:tcW w:w="333" w:type="pct"/>
            <w:shd w:val="clear" w:color="auto" w:fill="auto"/>
          </w:tcPr>
          <w:p w:rsidR="00762E3C" w:rsidRPr="008B53A9" w:rsidRDefault="00762E3C" w:rsidP="00850184">
            <w:pPr>
              <w:pStyle w:val="Tabulka"/>
              <w:jc w:val="right"/>
              <w:rPr>
                <w:rFonts w:cs="Calibri"/>
                <w:sz w:val="16"/>
                <w:lang w:val="cs-CZ" w:eastAsia="cs-CZ"/>
              </w:rPr>
            </w:pPr>
            <w:r w:rsidRPr="008B53A9">
              <w:rPr>
                <w:rFonts w:cs="Calibri"/>
                <w:sz w:val="16"/>
                <w:lang w:val="cs-CZ" w:eastAsia="cs-CZ"/>
              </w:rPr>
              <w:t>6,</w:t>
            </w:r>
            <w:r w:rsidR="00850184" w:rsidRPr="008B53A9">
              <w:rPr>
                <w:rFonts w:cs="Calibri"/>
                <w:sz w:val="16"/>
                <w:lang w:val="cs-CZ" w:eastAsia="cs-CZ"/>
              </w:rPr>
              <w:t>1</w:t>
            </w:r>
          </w:p>
        </w:tc>
      </w:tr>
      <w:tr w:rsidR="00762E3C" w:rsidRPr="008B53A9" w:rsidTr="00850184">
        <w:tc>
          <w:tcPr>
            <w:tcW w:w="249" w:type="pct"/>
            <w:shd w:val="clear" w:color="auto" w:fill="auto"/>
          </w:tcPr>
          <w:p w:rsidR="00762E3C" w:rsidRPr="008B53A9" w:rsidRDefault="00762E3C" w:rsidP="009D787C">
            <w:pPr>
              <w:pStyle w:val="Tabulka"/>
              <w:rPr>
                <w:rFonts w:cs="Calibri"/>
                <w:i/>
                <w:iCs/>
                <w:sz w:val="16"/>
                <w:szCs w:val="16"/>
                <w:lang w:val="cs-CZ" w:eastAsia="cs-CZ"/>
              </w:rPr>
            </w:pPr>
            <w:r w:rsidRPr="008B53A9">
              <w:rPr>
                <w:rFonts w:cs="Calibri"/>
                <w:bCs/>
                <w:sz w:val="16"/>
                <w:szCs w:val="16"/>
                <w:lang w:val="cs-CZ" w:eastAsia="cs-CZ"/>
              </w:rPr>
              <w:t>Prioritní osa 2</w:t>
            </w:r>
          </w:p>
        </w:tc>
        <w:tc>
          <w:tcPr>
            <w:tcW w:w="181"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sz w:val="16"/>
                <w:szCs w:val="16"/>
                <w:lang w:val="cs-CZ" w:eastAsia="cs-CZ"/>
              </w:rPr>
              <w:t>EFRR</w:t>
            </w:r>
          </w:p>
        </w:tc>
        <w:tc>
          <w:tcPr>
            <w:tcW w:w="277"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sz w:val="16"/>
                <w:szCs w:val="16"/>
                <w:lang w:val="cs-CZ" w:eastAsia="cs-CZ"/>
              </w:rPr>
              <w:t>Méně rozvinuté regiony</w:t>
            </w:r>
          </w:p>
        </w:tc>
        <w:tc>
          <w:tcPr>
            <w:tcW w:w="265" w:type="pct"/>
            <w:shd w:val="clear" w:color="auto" w:fill="auto"/>
          </w:tcPr>
          <w:p w:rsidR="00762E3C" w:rsidRPr="008B53A9" w:rsidRDefault="00762E3C" w:rsidP="00142A82">
            <w:pPr>
              <w:pStyle w:val="Tabulka"/>
              <w:jc w:val="right"/>
              <w:rPr>
                <w:rFonts w:cs="Calibri"/>
                <w:sz w:val="16"/>
                <w:szCs w:val="16"/>
                <w:lang w:val="cs-CZ" w:eastAsia="cs-CZ"/>
              </w:rPr>
            </w:pPr>
            <w:r w:rsidRPr="008B53A9">
              <w:rPr>
                <w:rFonts w:cs="Calibri"/>
                <w:sz w:val="16"/>
                <w:lang w:val="cs-CZ" w:eastAsia="cs-CZ"/>
              </w:rPr>
              <w:t>1 049 564 874</w:t>
            </w:r>
          </w:p>
        </w:tc>
        <w:tc>
          <w:tcPr>
            <w:tcW w:w="372"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892 130 143</w:t>
            </w:r>
          </w:p>
        </w:tc>
        <w:tc>
          <w:tcPr>
            <w:tcW w:w="317"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157 434 731</w:t>
            </w:r>
          </w:p>
        </w:tc>
        <w:tc>
          <w:tcPr>
            <w:tcW w:w="3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157 434 731</w:t>
            </w:r>
          </w:p>
        </w:tc>
        <w:tc>
          <w:tcPr>
            <w:tcW w:w="349" w:type="pct"/>
            <w:shd w:val="clear" w:color="auto" w:fill="auto"/>
          </w:tcPr>
          <w:p w:rsidR="00762E3C" w:rsidRPr="008B53A9" w:rsidRDefault="00762E3C" w:rsidP="00142A82">
            <w:pPr>
              <w:pStyle w:val="Tabulka"/>
              <w:jc w:val="right"/>
              <w:rPr>
                <w:rFonts w:cs="Calibri"/>
                <w:sz w:val="16"/>
                <w:lang w:val="cs-CZ" w:eastAsia="cs-CZ"/>
              </w:rPr>
            </w:pPr>
          </w:p>
        </w:tc>
        <w:tc>
          <w:tcPr>
            <w:tcW w:w="336"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1 049 564 874</w:t>
            </w:r>
          </w:p>
        </w:tc>
        <w:tc>
          <w:tcPr>
            <w:tcW w:w="4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0,85</w:t>
            </w:r>
          </w:p>
        </w:tc>
        <w:tc>
          <w:tcPr>
            <w:tcW w:w="280" w:type="pct"/>
            <w:shd w:val="clear" w:color="auto" w:fill="auto"/>
          </w:tcPr>
          <w:p w:rsidR="00762E3C" w:rsidRPr="008B53A9" w:rsidRDefault="00762E3C" w:rsidP="00142A82">
            <w:pPr>
              <w:pStyle w:val="Tabulka"/>
              <w:jc w:val="right"/>
              <w:rPr>
                <w:rFonts w:cs="Calibri"/>
                <w:sz w:val="16"/>
                <w:lang w:val="cs-CZ" w:eastAsia="cs-CZ"/>
              </w:rPr>
            </w:pPr>
          </w:p>
        </w:tc>
        <w:tc>
          <w:tcPr>
            <w:tcW w:w="321" w:type="pct"/>
            <w:shd w:val="clear" w:color="auto" w:fill="auto"/>
          </w:tcPr>
          <w:p w:rsidR="00762E3C" w:rsidRPr="008B53A9" w:rsidRDefault="00850184" w:rsidP="00165B3C">
            <w:pPr>
              <w:pStyle w:val="Tabulka"/>
              <w:jc w:val="right"/>
              <w:rPr>
                <w:rFonts w:cs="Calibri"/>
                <w:sz w:val="16"/>
                <w:lang w:val="cs-CZ" w:eastAsia="cs-CZ"/>
              </w:rPr>
            </w:pPr>
            <w:r w:rsidRPr="008B53A9">
              <w:rPr>
                <w:rFonts w:cs="Calibri"/>
                <w:sz w:val="16"/>
                <w:lang w:val="cs-CZ" w:eastAsia="cs-CZ"/>
              </w:rPr>
              <w:t>836 818 07</w:t>
            </w:r>
            <w:r w:rsidR="00165B3C" w:rsidRPr="008B53A9">
              <w:rPr>
                <w:rFonts w:cs="Calibri"/>
                <w:sz w:val="16"/>
                <w:lang w:val="cs-CZ" w:eastAsia="cs-CZ"/>
              </w:rPr>
              <w:t>3</w:t>
            </w:r>
          </w:p>
        </w:tc>
        <w:tc>
          <w:tcPr>
            <w:tcW w:w="313" w:type="pct"/>
            <w:shd w:val="clear" w:color="auto" w:fill="auto"/>
          </w:tcPr>
          <w:p w:rsidR="00762E3C" w:rsidRPr="008B53A9" w:rsidRDefault="00850184" w:rsidP="00165B3C">
            <w:pPr>
              <w:pStyle w:val="Tabulka"/>
              <w:jc w:val="right"/>
              <w:rPr>
                <w:rFonts w:cs="Calibri"/>
                <w:sz w:val="16"/>
                <w:lang w:val="cs-CZ" w:eastAsia="cs-CZ"/>
              </w:rPr>
            </w:pPr>
            <w:r w:rsidRPr="008B53A9">
              <w:rPr>
                <w:rFonts w:cs="Calibri"/>
                <w:sz w:val="16"/>
                <w:lang w:val="cs-CZ" w:eastAsia="cs-CZ"/>
              </w:rPr>
              <w:t>147 673 77</w:t>
            </w:r>
            <w:r w:rsidR="00165B3C" w:rsidRPr="008B53A9">
              <w:rPr>
                <w:rFonts w:cs="Calibri"/>
                <w:sz w:val="16"/>
                <w:lang w:val="cs-CZ" w:eastAsia="cs-CZ"/>
              </w:rPr>
              <w:t>7</w:t>
            </w:r>
          </w:p>
        </w:tc>
        <w:tc>
          <w:tcPr>
            <w:tcW w:w="289" w:type="pct"/>
            <w:shd w:val="clear" w:color="auto" w:fill="auto"/>
          </w:tcPr>
          <w:p w:rsidR="00762E3C" w:rsidRPr="008B53A9" w:rsidRDefault="00850184" w:rsidP="00165B3C">
            <w:pPr>
              <w:pStyle w:val="Tabulka"/>
              <w:jc w:val="right"/>
              <w:rPr>
                <w:rFonts w:cs="Calibri"/>
                <w:sz w:val="16"/>
                <w:lang w:val="cs-CZ" w:eastAsia="cs-CZ"/>
              </w:rPr>
            </w:pPr>
            <w:r w:rsidRPr="008B53A9">
              <w:rPr>
                <w:rFonts w:cs="Calibri"/>
                <w:sz w:val="16"/>
                <w:lang w:val="cs-CZ" w:eastAsia="cs-CZ"/>
              </w:rPr>
              <w:t>55 312 0</w:t>
            </w:r>
            <w:r w:rsidR="00165B3C" w:rsidRPr="008B53A9">
              <w:rPr>
                <w:rFonts w:cs="Calibri"/>
                <w:sz w:val="16"/>
                <w:lang w:val="cs-CZ" w:eastAsia="cs-CZ"/>
              </w:rPr>
              <w:t>70</w:t>
            </w:r>
          </w:p>
        </w:tc>
        <w:tc>
          <w:tcPr>
            <w:tcW w:w="322" w:type="pct"/>
            <w:shd w:val="clear" w:color="auto" w:fill="auto"/>
          </w:tcPr>
          <w:p w:rsidR="00762E3C" w:rsidRPr="008B53A9" w:rsidRDefault="00850184" w:rsidP="00165B3C">
            <w:pPr>
              <w:pStyle w:val="Tabulka"/>
              <w:jc w:val="right"/>
              <w:rPr>
                <w:rFonts w:cs="Calibri"/>
                <w:sz w:val="16"/>
                <w:lang w:val="cs-CZ" w:eastAsia="cs-CZ"/>
              </w:rPr>
            </w:pPr>
            <w:r w:rsidRPr="008B53A9">
              <w:rPr>
                <w:rFonts w:cs="Calibri"/>
                <w:sz w:val="16"/>
                <w:lang w:val="cs-CZ" w:eastAsia="cs-CZ"/>
              </w:rPr>
              <w:t>9 760 95</w:t>
            </w:r>
            <w:r w:rsidR="00165B3C" w:rsidRPr="008B53A9">
              <w:rPr>
                <w:rFonts w:cs="Calibri"/>
                <w:sz w:val="16"/>
                <w:lang w:val="cs-CZ" w:eastAsia="cs-CZ"/>
              </w:rPr>
              <w:t>4</w:t>
            </w:r>
          </w:p>
        </w:tc>
        <w:tc>
          <w:tcPr>
            <w:tcW w:w="333" w:type="pct"/>
            <w:shd w:val="clear" w:color="auto" w:fill="auto"/>
          </w:tcPr>
          <w:p w:rsidR="00762E3C" w:rsidRPr="008B53A9" w:rsidRDefault="00762E3C" w:rsidP="00850184">
            <w:pPr>
              <w:pStyle w:val="Tabulka"/>
              <w:jc w:val="right"/>
              <w:rPr>
                <w:rFonts w:cs="Calibri"/>
                <w:sz w:val="16"/>
                <w:lang w:val="cs-CZ" w:eastAsia="cs-CZ"/>
              </w:rPr>
            </w:pPr>
            <w:r w:rsidRPr="008B53A9">
              <w:rPr>
                <w:rFonts w:cs="Calibri"/>
                <w:sz w:val="16"/>
                <w:lang w:val="cs-CZ" w:eastAsia="cs-CZ"/>
              </w:rPr>
              <w:t>6,</w:t>
            </w:r>
            <w:r w:rsidR="00850184" w:rsidRPr="008B53A9">
              <w:rPr>
                <w:rFonts w:cs="Calibri"/>
                <w:sz w:val="16"/>
                <w:lang w:val="cs-CZ" w:eastAsia="cs-CZ"/>
              </w:rPr>
              <w:t>2</w:t>
            </w:r>
          </w:p>
        </w:tc>
      </w:tr>
      <w:tr w:rsidR="00762E3C" w:rsidRPr="008B53A9" w:rsidTr="00850184">
        <w:tc>
          <w:tcPr>
            <w:tcW w:w="249" w:type="pct"/>
            <w:shd w:val="clear" w:color="auto" w:fill="auto"/>
          </w:tcPr>
          <w:p w:rsidR="00762E3C" w:rsidRPr="008B53A9" w:rsidRDefault="00762E3C" w:rsidP="009D787C">
            <w:pPr>
              <w:pStyle w:val="Tabulka"/>
              <w:rPr>
                <w:rFonts w:cs="Calibri"/>
                <w:i/>
                <w:iCs/>
                <w:sz w:val="16"/>
                <w:szCs w:val="16"/>
                <w:lang w:val="cs-CZ" w:eastAsia="cs-CZ"/>
              </w:rPr>
            </w:pPr>
            <w:r w:rsidRPr="008B53A9">
              <w:rPr>
                <w:rFonts w:cs="Calibri"/>
                <w:bCs/>
                <w:sz w:val="16"/>
                <w:szCs w:val="16"/>
                <w:lang w:val="cs-CZ" w:eastAsia="cs-CZ"/>
              </w:rPr>
              <w:t>Prioritní osa 3</w:t>
            </w:r>
          </w:p>
        </w:tc>
        <w:tc>
          <w:tcPr>
            <w:tcW w:w="181"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sz w:val="16"/>
                <w:szCs w:val="16"/>
                <w:lang w:val="cs-CZ" w:eastAsia="cs-CZ"/>
              </w:rPr>
              <w:t>EFRR</w:t>
            </w:r>
          </w:p>
        </w:tc>
        <w:tc>
          <w:tcPr>
            <w:tcW w:w="277"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sz w:val="16"/>
                <w:szCs w:val="16"/>
                <w:lang w:val="cs-CZ" w:eastAsia="cs-CZ"/>
              </w:rPr>
              <w:t>Méně rozvinuté regiony</w:t>
            </w:r>
          </w:p>
        </w:tc>
        <w:tc>
          <w:tcPr>
            <w:tcW w:w="265" w:type="pct"/>
            <w:shd w:val="clear" w:color="auto" w:fill="auto"/>
          </w:tcPr>
          <w:p w:rsidR="00762E3C" w:rsidRPr="008B53A9" w:rsidRDefault="00762E3C" w:rsidP="00142A82">
            <w:pPr>
              <w:pStyle w:val="Tabulka"/>
              <w:jc w:val="right"/>
              <w:rPr>
                <w:rFonts w:cs="Calibri"/>
                <w:sz w:val="16"/>
                <w:szCs w:val="16"/>
                <w:lang w:val="cs-CZ" w:eastAsia="cs-CZ"/>
              </w:rPr>
            </w:pPr>
            <w:r w:rsidRPr="008B53A9">
              <w:rPr>
                <w:rFonts w:cs="Calibri"/>
                <w:sz w:val="16"/>
                <w:lang w:val="cs-CZ" w:eastAsia="cs-CZ"/>
              </w:rPr>
              <w:t>1 431 917 245</w:t>
            </w:r>
          </w:p>
        </w:tc>
        <w:tc>
          <w:tcPr>
            <w:tcW w:w="372"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1 217 129 658</w:t>
            </w:r>
          </w:p>
        </w:tc>
        <w:tc>
          <w:tcPr>
            <w:tcW w:w="317"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214 787 587</w:t>
            </w:r>
          </w:p>
        </w:tc>
        <w:tc>
          <w:tcPr>
            <w:tcW w:w="3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214 787 587</w:t>
            </w:r>
          </w:p>
        </w:tc>
        <w:tc>
          <w:tcPr>
            <w:tcW w:w="349" w:type="pct"/>
            <w:shd w:val="clear" w:color="auto" w:fill="auto"/>
          </w:tcPr>
          <w:p w:rsidR="00762E3C" w:rsidRPr="008B53A9" w:rsidRDefault="00762E3C" w:rsidP="00142A82">
            <w:pPr>
              <w:pStyle w:val="Tabulka"/>
              <w:jc w:val="right"/>
              <w:rPr>
                <w:rFonts w:cs="Calibri"/>
                <w:sz w:val="16"/>
                <w:lang w:val="cs-CZ" w:eastAsia="cs-CZ"/>
              </w:rPr>
            </w:pPr>
          </w:p>
        </w:tc>
        <w:tc>
          <w:tcPr>
            <w:tcW w:w="336"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1 431 917 245</w:t>
            </w:r>
          </w:p>
        </w:tc>
        <w:tc>
          <w:tcPr>
            <w:tcW w:w="4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0,85</w:t>
            </w:r>
          </w:p>
        </w:tc>
        <w:tc>
          <w:tcPr>
            <w:tcW w:w="280" w:type="pct"/>
            <w:shd w:val="clear" w:color="auto" w:fill="auto"/>
          </w:tcPr>
          <w:p w:rsidR="00762E3C" w:rsidRPr="008B53A9" w:rsidRDefault="00762E3C" w:rsidP="00142A82">
            <w:pPr>
              <w:pStyle w:val="Tabulka"/>
              <w:jc w:val="right"/>
              <w:rPr>
                <w:rFonts w:cs="Calibri"/>
                <w:sz w:val="16"/>
                <w:lang w:val="cs-CZ" w:eastAsia="cs-CZ"/>
              </w:rPr>
            </w:pPr>
          </w:p>
        </w:tc>
        <w:tc>
          <w:tcPr>
            <w:tcW w:w="321" w:type="pct"/>
            <w:shd w:val="clear" w:color="auto" w:fill="auto"/>
          </w:tcPr>
          <w:p w:rsidR="00762E3C" w:rsidRPr="008B53A9" w:rsidRDefault="00850184" w:rsidP="00165B3C">
            <w:pPr>
              <w:pStyle w:val="Tabulka"/>
              <w:jc w:val="right"/>
              <w:rPr>
                <w:rFonts w:cs="Calibri"/>
                <w:sz w:val="16"/>
                <w:lang w:val="cs-CZ" w:eastAsia="cs-CZ"/>
              </w:rPr>
            </w:pPr>
            <w:r w:rsidRPr="008B53A9">
              <w:t xml:space="preserve"> </w:t>
            </w:r>
            <w:r w:rsidRPr="008B53A9">
              <w:rPr>
                <w:rFonts w:cs="Calibri"/>
                <w:sz w:val="16"/>
                <w:lang w:val="cs-CZ" w:eastAsia="cs-CZ"/>
              </w:rPr>
              <w:t>1 140 457 82</w:t>
            </w:r>
            <w:r w:rsidR="00165B3C" w:rsidRPr="008B53A9">
              <w:rPr>
                <w:rFonts w:cs="Calibri"/>
                <w:sz w:val="16"/>
                <w:lang w:val="cs-CZ" w:eastAsia="cs-CZ"/>
              </w:rPr>
              <w:t>8</w:t>
            </w:r>
          </w:p>
        </w:tc>
        <w:tc>
          <w:tcPr>
            <w:tcW w:w="313"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201 257 264</w:t>
            </w:r>
          </w:p>
        </w:tc>
        <w:tc>
          <w:tcPr>
            <w:tcW w:w="289" w:type="pct"/>
            <w:shd w:val="clear" w:color="auto" w:fill="auto"/>
          </w:tcPr>
          <w:p w:rsidR="00762E3C" w:rsidRPr="008B53A9" w:rsidRDefault="00850184" w:rsidP="00165B3C">
            <w:pPr>
              <w:pStyle w:val="Tabulka"/>
              <w:jc w:val="right"/>
              <w:rPr>
                <w:rFonts w:cs="Calibri"/>
                <w:sz w:val="16"/>
                <w:lang w:val="cs-CZ" w:eastAsia="cs-CZ"/>
              </w:rPr>
            </w:pPr>
            <w:r w:rsidRPr="008B53A9">
              <w:rPr>
                <w:rFonts w:cs="Calibri"/>
                <w:sz w:val="16"/>
                <w:lang w:val="cs-CZ" w:eastAsia="cs-CZ"/>
              </w:rPr>
              <w:t>76 671 83</w:t>
            </w:r>
            <w:r w:rsidR="00165B3C" w:rsidRPr="008B53A9">
              <w:rPr>
                <w:rFonts w:cs="Calibri"/>
                <w:sz w:val="16"/>
                <w:lang w:val="cs-CZ" w:eastAsia="cs-CZ"/>
              </w:rPr>
              <w:t>0</w:t>
            </w:r>
          </w:p>
        </w:tc>
        <w:tc>
          <w:tcPr>
            <w:tcW w:w="322"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13 530 323</w:t>
            </w:r>
          </w:p>
        </w:tc>
        <w:tc>
          <w:tcPr>
            <w:tcW w:w="333" w:type="pct"/>
            <w:shd w:val="clear" w:color="auto" w:fill="auto"/>
          </w:tcPr>
          <w:p w:rsidR="00762E3C" w:rsidRPr="008B53A9" w:rsidRDefault="00762E3C" w:rsidP="00850184">
            <w:pPr>
              <w:pStyle w:val="Tabulka"/>
              <w:jc w:val="right"/>
              <w:rPr>
                <w:rFonts w:cs="Calibri"/>
                <w:sz w:val="16"/>
                <w:lang w:val="cs-CZ" w:eastAsia="cs-CZ"/>
              </w:rPr>
            </w:pPr>
            <w:r w:rsidRPr="008B53A9">
              <w:rPr>
                <w:rFonts w:cs="Calibri"/>
                <w:sz w:val="16"/>
                <w:lang w:val="cs-CZ" w:eastAsia="cs-CZ"/>
              </w:rPr>
              <w:t>6,</w:t>
            </w:r>
            <w:r w:rsidR="00850184" w:rsidRPr="008B53A9">
              <w:rPr>
                <w:rFonts w:cs="Calibri"/>
                <w:sz w:val="16"/>
                <w:lang w:val="cs-CZ" w:eastAsia="cs-CZ"/>
              </w:rPr>
              <w:t>3</w:t>
            </w:r>
          </w:p>
        </w:tc>
      </w:tr>
      <w:tr w:rsidR="00762E3C" w:rsidRPr="008B53A9" w:rsidTr="00850184">
        <w:tc>
          <w:tcPr>
            <w:tcW w:w="249" w:type="pct"/>
            <w:shd w:val="clear" w:color="auto" w:fill="auto"/>
          </w:tcPr>
          <w:p w:rsidR="00762E3C" w:rsidRPr="008B53A9" w:rsidRDefault="00762E3C" w:rsidP="009D787C">
            <w:pPr>
              <w:pStyle w:val="Tabulka"/>
              <w:rPr>
                <w:rFonts w:cs="Calibri"/>
                <w:bCs/>
                <w:sz w:val="16"/>
                <w:szCs w:val="16"/>
                <w:lang w:val="cs-CZ" w:eastAsia="cs-CZ"/>
              </w:rPr>
            </w:pPr>
            <w:r w:rsidRPr="008B53A9">
              <w:rPr>
                <w:rFonts w:cs="Calibri"/>
                <w:bCs/>
                <w:sz w:val="16"/>
                <w:szCs w:val="16"/>
                <w:lang w:val="cs-CZ" w:eastAsia="cs-CZ"/>
              </w:rPr>
              <w:t>Prioritní osa 4</w:t>
            </w:r>
          </w:p>
        </w:tc>
        <w:tc>
          <w:tcPr>
            <w:tcW w:w="181" w:type="pct"/>
            <w:shd w:val="clear" w:color="auto" w:fill="auto"/>
          </w:tcPr>
          <w:p w:rsidR="00762E3C" w:rsidRPr="008B53A9" w:rsidRDefault="00762E3C" w:rsidP="009D787C">
            <w:pPr>
              <w:pStyle w:val="Tabulka"/>
              <w:rPr>
                <w:rFonts w:cs="Calibri"/>
                <w:i/>
                <w:iCs/>
                <w:sz w:val="16"/>
                <w:szCs w:val="16"/>
                <w:lang w:val="cs-CZ" w:eastAsia="cs-CZ"/>
              </w:rPr>
            </w:pPr>
            <w:r w:rsidRPr="008B53A9">
              <w:rPr>
                <w:rFonts w:cs="Calibri"/>
                <w:sz w:val="16"/>
                <w:szCs w:val="16"/>
                <w:lang w:val="cs-CZ" w:eastAsia="cs-CZ"/>
              </w:rPr>
              <w:t>EFRR</w:t>
            </w:r>
          </w:p>
        </w:tc>
        <w:tc>
          <w:tcPr>
            <w:tcW w:w="277"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sz w:val="16"/>
                <w:szCs w:val="16"/>
                <w:lang w:val="cs-CZ" w:eastAsia="cs-CZ"/>
              </w:rPr>
              <w:t>Méně rozvinuté regiony</w:t>
            </w:r>
          </w:p>
        </w:tc>
        <w:tc>
          <w:tcPr>
            <w:tcW w:w="265" w:type="pct"/>
            <w:shd w:val="clear" w:color="auto" w:fill="auto"/>
          </w:tcPr>
          <w:p w:rsidR="00762E3C" w:rsidRPr="008B53A9" w:rsidRDefault="00762E3C" w:rsidP="00142A82">
            <w:pPr>
              <w:pStyle w:val="Tabulka"/>
              <w:jc w:val="right"/>
              <w:rPr>
                <w:rFonts w:cs="Calibri"/>
                <w:sz w:val="16"/>
                <w:szCs w:val="16"/>
                <w:lang w:val="cs-CZ" w:eastAsia="cs-CZ"/>
              </w:rPr>
            </w:pPr>
            <w:r w:rsidRPr="008B53A9">
              <w:rPr>
                <w:rFonts w:cs="Calibri"/>
                <w:sz w:val="16"/>
                <w:lang w:val="cs-CZ" w:eastAsia="cs-CZ"/>
              </w:rPr>
              <w:t>874 891 281</w:t>
            </w:r>
          </w:p>
        </w:tc>
        <w:tc>
          <w:tcPr>
            <w:tcW w:w="372"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743 657 589</w:t>
            </w:r>
          </w:p>
        </w:tc>
        <w:tc>
          <w:tcPr>
            <w:tcW w:w="317"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131 233 692</w:t>
            </w:r>
          </w:p>
        </w:tc>
        <w:tc>
          <w:tcPr>
            <w:tcW w:w="3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131 233 692</w:t>
            </w:r>
          </w:p>
        </w:tc>
        <w:tc>
          <w:tcPr>
            <w:tcW w:w="349" w:type="pct"/>
            <w:shd w:val="clear" w:color="auto" w:fill="auto"/>
          </w:tcPr>
          <w:p w:rsidR="00762E3C" w:rsidRPr="008B53A9" w:rsidRDefault="00762E3C" w:rsidP="00142A82">
            <w:pPr>
              <w:pStyle w:val="Tabulka"/>
              <w:jc w:val="right"/>
              <w:rPr>
                <w:rFonts w:cs="Calibri"/>
                <w:sz w:val="16"/>
                <w:lang w:val="cs-CZ" w:eastAsia="cs-CZ"/>
              </w:rPr>
            </w:pPr>
          </w:p>
        </w:tc>
        <w:tc>
          <w:tcPr>
            <w:tcW w:w="336"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874 891 281</w:t>
            </w:r>
          </w:p>
        </w:tc>
        <w:tc>
          <w:tcPr>
            <w:tcW w:w="4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0,85</w:t>
            </w:r>
          </w:p>
        </w:tc>
        <w:tc>
          <w:tcPr>
            <w:tcW w:w="280" w:type="pct"/>
            <w:shd w:val="clear" w:color="auto" w:fill="auto"/>
          </w:tcPr>
          <w:p w:rsidR="00762E3C" w:rsidRPr="008B53A9" w:rsidRDefault="00762E3C" w:rsidP="00142A82">
            <w:pPr>
              <w:pStyle w:val="Tabulka"/>
              <w:jc w:val="right"/>
              <w:rPr>
                <w:rFonts w:cs="Calibri"/>
                <w:sz w:val="16"/>
                <w:lang w:val="cs-CZ" w:eastAsia="cs-CZ"/>
              </w:rPr>
            </w:pPr>
          </w:p>
        </w:tc>
        <w:tc>
          <w:tcPr>
            <w:tcW w:w="321"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698 294 476</w:t>
            </w:r>
          </w:p>
        </w:tc>
        <w:tc>
          <w:tcPr>
            <w:tcW w:w="313"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123 228 437</w:t>
            </w:r>
          </w:p>
        </w:tc>
        <w:tc>
          <w:tcPr>
            <w:tcW w:w="289"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45 363 113</w:t>
            </w:r>
          </w:p>
        </w:tc>
        <w:tc>
          <w:tcPr>
            <w:tcW w:w="322" w:type="pct"/>
            <w:shd w:val="clear" w:color="auto" w:fill="auto"/>
          </w:tcPr>
          <w:p w:rsidR="00762E3C" w:rsidRPr="008B53A9" w:rsidRDefault="00850184" w:rsidP="00142A82">
            <w:pPr>
              <w:pStyle w:val="Tabulka"/>
              <w:jc w:val="right"/>
              <w:rPr>
                <w:rFonts w:cs="Calibri"/>
                <w:sz w:val="16"/>
                <w:lang w:val="cs-CZ" w:eastAsia="cs-CZ"/>
              </w:rPr>
            </w:pPr>
            <w:r w:rsidRPr="008B53A9">
              <w:rPr>
                <w:rFonts w:cs="Calibri"/>
                <w:sz w:val="16"/>
                <w:lang w:val="cs-CZ" w:eastAsia="cs-CZ"/>
              </w:rPr>
              <w:t>8 005 255</w:t>
            </w:r>
          </w:p>
        </w:tc>
        <w:tc>
          <w:tcPr>
            <w:tcW w:w="333" w:type="pct"/>
            <w:shd w:val="clear" w:color="auto" w:fill="auto"/>
          </w:tcPr>
          <w:p w:rsidR="00762E3C" w:rsidRPr="008B53A9" w:rsidRDefault="00762E3C" w:rsidP="00850184">
            <w:pPr>
              <w:pStyle w:val="Tabulka"/>
              <w:jc w:val="right"/>
              <w:rPr>
                <w:rFonts w:cs="Calibri"/>
                <w:sz w:val="16"/>
                <w:lang w:val="cs-CZ" w:eastAsia="cs-CZ"/>
              </w:rPr>
            </w:pPr>
            <w:r w:rsidRPr="008B53A9">
              <w:rPr>
                <w:rFonts w:cs="Calibri"/>
                <w:sz w:val="16"/>
                <w:lang w:val="cs-CZ" w:eastAsia="cs-CZ"/>
              </w:rPr>
              <w:t>6,</w:t>
            </w:r>
            <w:r w:rsidR="00850184" w:rsidRPr="008B53A9">
              <w:rPr>
                <w:rFonts w:cs="Calibri"/>
                <w:sz w:val="16"/>
                <w:lang w:val="cs-CZ" w:eastAsia="cs-CZ"/>
              </w:rPr>
              <w:t>1</w:t>
            </w:r>
          </w:p>
        </w:tc>
      </w:tr>
      <w:tr w:rsidR="00762E3C" w:rsidRPr="008B53A9" w:rsidTr="00850184">
        <w:tc>
          <w:tcPr>
            <w:tcW w:w="249" w:type="pct"/>
            <w:shd w:val="clear" w:color="auto" w:fill="auto"/>
          </w:tcPr>
          <w:p w:rsidR="00762E3C" w:rsidRPr="008B53A9" w:rsidRDefault="00762E3C" w:rsidP="009D787C">
            <w:pPr>
              <w:pStyle w:val="Tabulka"/>
              <w:rPr>
                <w:rFonts w:cs="Calibri"/>
                <w:bCs/>
                <w:sz w:val="16"/>
                <w:szCs w:val="16"/>
                <w:lang w:val="cs-CZ" w:eastAsia="cs-CZ"/>
              </w:rPr>
            </w:pPr>
            <w:r w:rsidRPr="008B53A9">
              <w:rPr>
                <w:rFonts w:cs="Calibri"/>
                <w:bCs/>
                <w:sz w:val="16"/>
                <w:szCs w:val="16"/>
                <w:lang w:val="cs-CZ" w:eastAsia="cs-CZ"/>
              </w:rPr>
              <w:t>Prioritní osa 5</w:t>
            </w:r>
          </w:p>
        </w:tc>
        <w:tc>
          <w:tcPr>
            <w:tcW w:w="181"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sz w:val="16"/>
                <w:szCs w:val="16"/>
                <w:lang w:val="cs-CZ" w:eastAsia="cs-CZ"/>
              </w:rPr>
              <w:t>EFRR</w:t>
            </w:r>
          </w:p>
        </w:tc>
        <w:tc>
          <w:tcPr>
            <w:tcW w:w="277" w:type="pct"/>
            <w:shd w:val="clear" w:color="auto" w:fill="auto"/>
          </w:tcPr>
          <w:p w:rsidR="00762E3C" w:rsidRPr="008B53A9" w:rsidRDefault="00762E3C" w:rsidP="009D787C">
            <w:pPr>
              <w:pStyle w:val="Tabulka"/>
              <w:rPr>
                <w:rFonts w:cs="Calibri"/>
                <w:sz w:val="16"/>
                <w:szCs w:val="16"/>
                <w:lang w:val="cs-CZ" w:eastAsia="cs-CZ"/>
              </w:rPr>
            </w:pPr>
            <w:r w:rsidRPr="008B53A9">
              <w:rPr>
                <w:rFonts w:cs="Calibri"/>
                <w:sz w:val="16"/>
                <w:szCs w:val="16"/>
                <w:lang w:val="cs-CZ" w:eastAsia="cs-CZ"/>
              </w:rPr>
              <w:t>Méně rozvinuté regiony</w:t>
            </w:r>
          </w:p>
        </w:tc>
        <w:tc>
          <w:tcPr>
            <w:tcW w:w="265" w:type="pct"/>
            <w:shd w:val="clear" w:color="auto" w:fill="auto"/>
          </w:tcPr>
          <w:p w:rsidR="00762E3C" w:rsidRPr="008B53A9" w:rsidRDefault="00762E3C" w:rsidP="00142A82">
            <w:pPr>
              <w:pStyle w:val="Tabulka"/>
              <w:jc w:val="right"/>
              <w:rPr>
                <w:rFonts w:cs="Calibri"/>
                <w:sz w:val="16"/>
                <w:szCs w:val="16"/>
                <w:lang w:val="cs-CZ" w:eastAsia="cs-CZ"/>
              </w:rPr>
            </w:pPr>
            <w:r w:rsidRPr="008B53A9">
              <w:rPr>
                <w:rFonts w:cs="Calibri"/>
                <w:sz w:val="16"/>
                <w:lang w:val="cs-CZ" w:eastAsia="cs-CZ"/>
              </w:rPr>
              <w:t>147 253 901</w:t>
            </w:r>
          </w:p>
        </w:tc>
        <w:tc>
          <w:tcPr>
            <w:tcW w:w="372"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125 165 816</w:t>
            </w:r>
          </w:p>
        </w:tc>
        <w:tc>
          <w:tcPr>
            <w:tcW w:w="317"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22 088 085</w:t>
            </w:r>
          </w:p>
        </w:tc>
        <w:tc>
          <w:tcPr>
            <w:tcW w:w="3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22 088 085</w:t>
            </w:r>
          </w:p>
        </w:tc>
        <w:tc>
          <w:tcPr>
            <w:tcW w:w="349" w:type="pct"/>
            <w:shd w:val="clear" w:color="auto" w:fill="auto"/>
          </w:tcPr>
          <w:p w:rsidR="00762E3C" w:rsidRPr="008B53A9" w:rsidRDefault="00762E3C" w:rsidP="00142A82">
            <w:pPr>
              <w:pStyle w:val="Tabulka"/>
              <w:jc w:val="right"/>
              <w:rPr>
                <w:rFonts w:cs="Calibri"/>
                <w:sz w:val="16"/>
                <w:lang w:val="cs-CZ" w:eastAsia="cs-CZ"/>
              </w:rPr>
            </w:pPr>
          </w:p>
        </w:tc>
        <w:tc>
          <w:tcPr>
            <w:tcW w:w="336"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147 253 901</w:t>
            </w:r>
          </w:p>
        </w:tc>
        <w:tc>
          <w:tcPr>
            <w:tcW w:w="44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0,85</w:t>
            </w:r>
          </w:p>
        </w:tc>
        <w:tc>
          <w:tcPr>
            <w:tcW w:w="280" w:type="pct"/>
            <w:shd w:val="clear" w:color="auto" w:fill="auto"/>
          </w:tcPr>
          <w:p w:rsidR="00762E3C" w:rsidRPr="008B53A9" w:rsidRDefault="00762E3C" w:rsidP="00142A82">
            <w:pPr>
              <w:pStyle w:val="Tabulka"/>
              <w:jc w:val="right"/>
              <w:rPr>
                <w:rFonts w:cs="Calibri"/>
                <w:sz w:val="16"/>
                <w:lang w:val="cs-CZ" w:eastAsia="cs-CZ"/>
              </w:rPr>
            </w:pPr>
          </w:p>
        </w:tc>
        <w:tc>
          <w:tcPr>
            <w:tcW w:w="321"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125 165 816</w:t>
            </w:r>
          </w:p>
        </w:tc>
        <w:tc>
          <w:tcPr>
            <w:tcW w:w="313"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22 088 085</w:t>
            </w:r>
          </w:p>
        </w:tc>
        <w:tc>
          <w:tcPr>
            <w:tcW w:w="289"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0</w:t>
            </w:r>
          </w:p>
        </w:tc>
        <w:tc>
          <w:tcPr>
            <w:tcW w:w="322"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0</w:t>
            </w:r>
          </w:p>
        </w:tc>
        <w:tc>
          <w:tcPr>
            <w:tcW w:w="333" w:type="pct"/>
            <w:shd w:val="clear" w:color="auto" w:fill="auto"/>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0,0</w:t>
            </w:r>
          </w:p>
        </w:tc>
      </w:tr>
      <w:tr w:rsidR="00762E3C" w:rsidRPr="008B53A9" w:rsidTr="00850184">
        <w:tc>
          <w:tcPr>
            <w:tcW w:w="249" w:type="pct"/>
            <w:shd w:val="clear" w:color="auto" w:fill="DBE5F1"/>
          </w:tcPr>
          <w:p w:rsidR="00762E3C" w:rsidRPr="008B53A9" w:rsidRDefault="00762E3C" w:rsidP="009D787C">
            <w:pPr>
              <w:pStyle w:val="Tabulka"/>
              <w:rPr>
                <w:rFonts w:cs="Calibri"/>
                <w:sz w:val="16"/>
                <w:szCs w:val="16"/>
                <w:lang w:val="cs-CZ" w:eastAsia="cs-CZ"/>
              </w:rPr>
            </w:pPr>
            <w:r w:rsidRPr="008B53A9">
              <w:rPr>
                <w:rFonts w:cs="Calibri"/>
                <w:bCs/>
                <w:sz w:val="16"/>
                <w:szCs w:val="16"/>
                <w:lang w:val="cs-CZ" w:eastAsia="cs-CZ"/>
              </w:rPr>
              <w:t>Celkem</w:t>
            </w:r>
          </w:p>
        </w:tc>
        <w:tc>
          <w:tcPr>
            <w:tcW w:w="181" w:type="pct"/>
            <w:shd w:val="clear" w:color="auto" w:fill="DBE5F1"/>
          </w:tcPr>
          <w:p w:rsidR="00762E3C" w:rsidRPr="008B53A9" w:rsidRDefault="00762E3C" w:rsidP="007E444D">
            <w:pPr>
              <w:pStyle w:val="Tabulka"/>
              <w:rPr>
                <w:rFonts w:cs="Calibri"/>
                <w:sz w:val="16"/>
                <w:szCs w:val="16"/>
                <w:lang w:val="cs-CZ" w:eastAsia="cs-CZ"/>
              </w:rPr>
            </w:pPr>
            <w:r w:rsidRPr="008B53A9">
              <w:rPr>
                <w:rFonts w:cs="Calibri"/>
                <w:sz w:val="16"/>
                <w:szCs w:val="16"/>
                <w:lang w:val="cs-CZ" w:eastAsia="cs-CZ"/>
              </w:rPr>
              <w:t>EFRR</w:t>
            </w:r>
          </w:p>
        </w:tc>
        <w:tc>
          <w:tcPr>
            <w:tcW w:w="277" w:type="pct"/>
            <w:shd w:val="clear" w:color="auto" w:fill="DBE5F1"/>
          </w:tcPr>
          <w:p w:rsidR="00762E3C" w:rsidRPr="008B53A9" w:rsidRDefault="00762E3C" w:rsidP="007E444D">
            <w:pPr>
              <w:pStyle w:val="Tabulka"/>
              <w:rPr>
                <w:rFonts w:cs="Calibri"/>
                <w:sz w:val="16"/>
                <w:szCs w:val="16"/>
                <w:lang w:val="cs-CZ" w:eastAsia="cs-CZ"/>
              </w:rPr>
            </w:pPr>
            <w:r w:rsidRPr="008B53A9">
              <w:rPr>
                <w:rFonts w:cs="Calibri"/>
                <w:sz w:val="16"/>
                <w:szCs w:val="16"/>
                <w:lang w:val="cs-CZ" w:eastAsia="cs-CZ"/>
              </w:rPr>
              <w:t>Méně rozvinuté regiony</w:t>
            </w:r>
          </w:p>
        </w:tc>
        <w:tc>
          <w:tcPr>
            <w:tcW w:w="265" w:type="pct"/>
            <w:shd w:val="clear" w:color="auto" w:fill="DBE5F1"/>
          </w:tcPr>
          <w:p w:rsidR="00762E3C" w:rsidRPr="008B53A9" w:rsidRDefault="00762E3C" w:rsidP="00142A82">
            <w:pPr>
              <w:pStyle w:val="Tabulka"/>
              <w:jc w:val="right"/>
              <w:rPr>
                <w:rFonts w:cs="Calibri"/>
                <w:sz w:val="16"/>
                <w:szCs w:val="16"/>
                <w:lang w:val="cs-CZ" w:eastAsia="cs-CZ"/>
              </w:rPr>
            </w:pPr>
            <w:r w:rsidRPr="008B53A9">
              <w:rPr>
                <w:rFonts w:cs="Calibri"/>
                <w:sz w:val="16"/>
                <w:lang w:val="cs-CZ" w:eastAsia="cs-CZ"/>
              </w:rPr>
              <w:t>5 077 720 726</w:t>
            </w:r>
          </w:p>
        </w:tc>
        <w:tc>
          <w:tcPr>
            <w:tcW w:w="372" w:type="pct"/>
            <w:shd w:val="clear" w:color="auto" w:fill="DBE5F1"/>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4 316 062 617</w:t>
            </w:r>
          </w:p>
        </w:tc>
        <w:tc>
          <w:tcPr>
            <w:tcW w:w="317" w:type="pct"/>
            <w:shd w:val="clear" w:color="auto" w:fill="DBE5F1"/>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761 658 109</w:t>
            </w:r>
          </w:p>
        </w:tc>
        <w:tc>
          <w:tcPr>
            <w:tcW w:w="349" w:type="pct"/>
            <w:shd w:val="clear" w:color="auto" w:fill="DBE5F1"/>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761 658 109</w:t>
            </w:r>
          </w:p>
        </w:tc>
        <w:tc>
          <w:tcPr>
            <w:tcW w:w="349" w:type="pct"/>
            <w:shd w:val="clear" w:color="auto" w:fill="DBE5F1"/>
          </w:tcPr>
          <w:p w:rsidR="00762E3C" w:rsidRPr="008B53A9" w:rsidRDefault="00762E3C" w:rsidP="00142A82">
            <w:pPr>
              <w:pStyle w:val="Tabulka"/>
              <w:jc w:val="right"/>
              <w:rPr>
                <w:rFonts w:cs="Calibri"/>
                <w:sz w:val="16"/>
                <w:lang w:val="cs-CZ" w:eastAsia="cs-CZ"/>
              </w:rPr>
            </w:pPr>
          </w:p>
        </w:tc>
        <w:tc>
          <w:tcPr>
            <w:tcW w:w="336" w:type="pct"/>
            <w:shd w:val="clear" w:color="auto" w:fill="DBE5F1"/>
          </w:tcPr>
          <w:p w:rsidR="00762E3C" w:rsidRPr="008B53A9" w:rsidRDefault="00762E3C" w:rsidP="00142A82">
            <w:pPr>
              <w:pStyle w:val="Tabulka"/>
              <w:jc w:val="right"/>
              <w:rPr>
                <w:rFonts w:cs="Calibri"/>
                <w:sz w:val="16"/>
                <w:lang w:val="cs-CZ" w:eastAsia="cs-CZ"/>
              </w:rPr>
            </w:pPr>
            <w:r w:rsidRPr="008B53A9">
              <w:rPr>
                <w:rFonts w:cs="Calibri"/>
                <w:sz w:val="16"/>
                <w:lang w:val="cs-CZ" w:eastAsia="cs-CZ"/>
              </w:rPr>
              <w:t>5 077 720 726</w:t>
            </w:r>
          </w:p>
        </w:tc>
        <w:tc>
          <w:tcPr>
            <w:tcW w:w="449" w:type="pct"/>
            <w:shd w:val="clear" w:color="auto" w:fill="DBE5F1"/>
          </w:tcPr>
          <w:p w:rsidR="00762E3C" w:rsidRPr="008B53A9" w:rsidRDefault="00762E3C" w:rsidP="00142A82">
            <w:pPr>
              <w:pStyle w:val="Tabulka"/>
              <w:jc w:val="right"/>
              <w:rPr>
                <w:rFonts w:cs="Calibri"/>
                <w:sz w:val="16"/>
                <w:lang w:val="cs-CZ" w:eastAsia="cs-CZ"/>
              </w:rPr>
            </w:pPr>
          </w:p>
        </w:tc>
        <w:tc>
          <w:tcPr>
            <w:tcW w:w="280" w:type="pct"/>
            <w:shd w:val="clear" w:color="auto" w:fill="DBE5F1"/>
          </w:tcPr>
          <w:p w:rsidR="00762E3C" w:rsidRPr="008B53A9" w:rsidRDefault="00762E3C" w:rsidP="00142A82">
            <w:pPr>
              <w:pStyle w:val="Tabulka"/>
              <w:jc w:val="right"/>
              <w:rPr>
                <w:rFonts w:cs="Calibri"/>
                <w:sz w:val="16"/>
                <w:lang w:val="cs-CZ" w:eastAsia="cs-CZ"/>
              </w:rPr>
            </w:pPr>
          </w:p>
        </w:tc>
        <w:tc>
          <w:tcPr>
            <w:tcW w:w="321" w:type="pct"/>
            <w:shd w:val="clear" w:color="auto" w:fill="DBE5F1"/>
          </w:tcPr>
          <w:p w:rsidR="00762E3C" w:rsidRPr="008B53A9" w:rsidRDefault="00F91E6A" w:rsidP="00142A82">
            <w:pPr>
              <w:pStyle w:val="Tabulka"/>
              <w:jc w:val="right"/>
              <w:rPr>
                <w:rFonts w:cs="Calibri"/>
                <w:sz w:val="16"/>
                <w:lang w:val="cs-CZ" w:eastAsia="cs-CZ"/>
              </w:rPr>
            </w:pPr>
            <w:r w:rsidRPr="008B53A9">
              <w:rPr>
                <w:rFonts w:cs="Calibri"/>
                <w:sz w:val="16"/>
                <w:lang w:val="cs-CZ" w:eastAsia="cs-CZ"/>
              </w:rPr>
              <w:t>4 057 098 860</w:t>
            </w:r>
          </w:p>
        </w:tc>
        <w:tc>
          <w:tcPr>
            <w:tcW w:w="313" w:type="pct"/>
            <w:shd w:val="clear" w:color="auto" w:fill="DBE5F1"/>
          </w:tcPr>
          <w:p w:rsidR="00762E3C" w:rsidRPr="008B53A9" w:rsidRDefault="00F91E6A" w:rsidP="00142A82">
            <w:pPr>
              <w:pStyle w:val="Tabulka"/>
              <w:jc w:val="right"/>
              <w:rPr>
                <w:rFonts w:cs="Calibri"/>
                <w:sz w:val="16"/>
                <w:lang w:val="cs-CZ" w:eastAsia="cs-CZ"/>
              </w:rPr>
            </w:pPr>
            <w:r w:rsidRPr="008B53A9">
              <w:rPr>
                <w:rFonts w:cs="Calibri"/>
                <w:sz w:val="16"/>
                <w:lang w:val="cs-CZ" w:eastAsia="cs-CZ"/>
              </w:rPr>
              <w:t>715 958 622</w:t>
            </w:r>
          </w:p>
        </w:tc>
        <w:tc>
          <w:tcPr>
            <w:tcW w:w="289" w:type="pct"/>
            <w:shd w:val="clear" w:color="auto" w:fill="DBE5F1"/>
          </w:tcPr>
          <w:p w:rsidR="00762E3C" w:rsidRPr="008B53A9" w:rsidRDefault="00F91E6A" w:rsidP="00142A82">
            <w:pPr>
              <w:pStyle w:val="Tabulka"/>
              <w:jc w:val="right"/>
              <w:rPr>
                <w:rFonts w:cs="Calibri"/>
                <w:sz w:val="16"/>
                <w:lang w:val="cs-CZ" w:eastAsia="cs-CZ"/>
              </w:rPr>
            </w:pPr>
            <w:r w:rsidRPr="008B53A9">
              <w:rPr>
                <w:rFonts w:cs="Calibri"/>
                <w:sz w:val="16"/>
                <w:lang w:val="cs-CZ" w:eastAsia="cs-CZ"/>
              </w:rPr>
              <w:t>258 963 757</w:t>
            </w:r>
          </w:p>
        </w:tc>
        <w:tc>
          <w:tcPr>
            <w:tcW w:w="322" w:type="pct"/>
            <w:shd w:val="clear" w:color="auto" w:fill="DBE5F1"/>
          </w:tcPr>
          <w:p w:rsidR="00762E3C" w:rsidRPr="008B53A9" w:rsidRDefault="00F91E6A" w:rsidP="00142A82">
            <w:pPr>
              <w:pStyle w:val="Tabulka"/>
              <w:jc w:val="right"/>
              <w:rPr>
                <w:rFonts w:cs="Calibri"/>
                <w:sz w:val="16"/>
                <w:lang w:val="cs-CZ" w:eastAsia="cs-CZ"/>
              </w:rPr>
            </w:pPr>
            <w:r w:rsidRPr="008B53A9">
              <w:rPr>
                <w:rFonts w:cs="Calibri"/>
                <w:sz w:val="16"/>
                <w:lang w:val="cs-CZ" w:eastAsia="cs-CZ"/>
              </w:rPr>
              <w:t>45 699 487</w:t>
            </w:r>
          </w:p>
        </w:tc>
        <w:tc>
          <w:tcPr>
            <w:tcW w:w="333" w:type="pct"/>
            <w:shd w:val="clear" w:color="auto" w:fill="DBE5F1"/>
          </w:tcPr>
          <w:p w:rsidR="00762E3C" w:rsidRPr="008B53A9" w:rsidRDefault="00F91E6A" w:rsidP="00142A82">
            <w:pPr>
              <w:pStyle w:val="Tabulka"/>
              <w:jc w:val="right"/>
              <w:rPr>
                <w:rFonts w:cs="Calibri"/>
                <w:sz w:val="16"/>
                <w:lang w:val="cs-CZ" w:eastAsia="cs-CZ"/>
              </w:rPr>
            </w:pPr>
            <w:r w:rsidRPr="008B53A9">
              <w:rPr>
                <w:rFonts w:cs="Calibri"/>
                <w:sz w:val="16"/>
                <w:lang w:val="cs-CZ" w:eastAsia="cs-CZ"/>
              </w:rPr>
              <w:t>6,0</w:t>
            </w:r>
          </w:p>
        </w:tc>
      </w:tr>
    </w:tbl>
    <w:p w:rsidR="00285BA0" w:rsidRPr="008B53A9" w:rsidRDefault="00467D73" w:rsidP="00070EE7">
      <w:pPr>
        <w:pStyle w:val="Titulek"/>
        <w:keepNext/>
        <w:keepLines/>
      </w:pPr>
      <w:r w:rsidRPr="008B53A9">
        <w:lastRenderedPageBreak/>
        <w:t xml:space="preserve">Tabulka </w:t>
      </w:r>
      <w:r w:rsidR="00C3289B" w:rsidRPr="008B53A9">
        <w:fldChar w:fldCharType="begin"/>
      </w:r>
      <w:r w:rsidR="00C3289B" w:rsidRPr="008B53A9">
        <w:instrText xml:space="preserve"> SEQ Tabulka \* ARABIC \r18 </w:instrText>
      </w:r>
      <w:r w:rsidR="00C3289B" w:rsidRPr="008B53A9">
        <w:fldChar w:fldCharType="separate"/>
      </w:r>
      <w:r w:rsidR="00E54216" w:rsidRPr="008B53A9">
        <w:rPr>
          <w:noProof/>
        </w:rPr>
        <w:t>18</w:t>
      </w:r>
      <w:r w:rsidR="00C3289B" w:rsidRPr="008B53A9">
        <w:rPr>
          <w:noProof/>
        </w:rPr>
        <w:fldChar w:fldCharType="end"/>
      </w:r>
      <w:r w:rsidRPr="008B53A9">
        <w:rPr>
          <w:noProof/>
        </w:rPr>
        <w:t>c</w:t>
      </w:r>
      <w:r w:rsidRPr="008B53A9">
        <w:t>:</w:t>
      </w:r>
      <w:r w:rsidRPr="008B53A9">
        <w:rPr>
          <w:color w:val="FF0000"/>
        </w:rPr>
        <w:t xml:space="preserve"> </w:t>
      </w:r>
      <w:r w:rsidR="00833413" w:rsidRPr="008B53A9">
        <w:t>Rozdělení plánu financování podle prioritní osy, fondu, kategorie regionů a tematického cíle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3"/>
        <w:gridCol w:w="1071"/>
        <w:gridCol w:w="3044"/>
        <w:gridCol w:w="2076"/>
        <w:gridCol w:w="1715"/>
        <w:gridCol w:w="2895"/>
        <w:gridCol w:w="1896"/>
      </w:tblGrid>
      <w:tr w:rsidR="00833413" w:rsidRPr="008B53A9">
        <w:trPr>
          <w:jc w:val="center"/>
        </w:trPr>
        <w:tc>
          <w:tcPr>
            <w:tcW w:w="579" w:type="pct"/>
            <w:shd w:val="clear" w:color="auto" w:fill="B8CCE4"/>
            <w:vAlign w:val="center"/>
          </w:tcPr>
          <w:p w:rsidR="00833413" w:rsidRPr="008B53A9" w:rsidRDefault="00833413" w:rsidP="00070EE7">
            <w:pPr>
              <w:pStyle w:val="Tabulka"/>
              <w:keepNext/>
              <w:keepLines/>
              <w:rPr>
                <w:rFonts w:cs="Calibri"/>
                <w:b/>
                <w:lang w:val="cs-CZ" w:eastAsia="cs-CZ"/>
              </w:rPr>
            </w:pPr>
            <w:r w:rsidRPr="008B53A9">
              <w:rPr>
                <w:rFonts w:cs="Calibri"/>
                <w:b/>
                <w:lang w:val="cs-CZ" w:eastAsia="cs-CZ"/>
              </w:rPr>
              <w:t>Prioritní osa</w:t>
            </w:r>
          </w:p>
        </w:tc>
        <w:tc>
          <w:tcPr>
            <w:tcW w:w="373" w:type="pct"/>
            <w:shd w:val="clear" w:color="auto" w:fill="B8CCE4"/>
            <w:vAlign w:val="center"/>
          </w:tcPr>
          <w:p w:rsidR="00833413" w:rsidRPr="008B53A9" w:rsidRDefault="00833413" w:rsidP="00DA6FAB">
            <w:pPr>
              <w:pStyle w:val="Tabulka"/>
              <w:keepNext/>
              <w:keepLines/>
              <w:rPr>
                <w:rFonts w:cs="Calibri"/>
                <w:b/>
                <w:lang w:val="cs-CZ" w:eastAsia="cs-CZ"/>
              </w:rPr>
            </w:pPr>
            <w:r w:rsidRPr="008B53A9">
              <w:rPr>
                <w:rFonts w:cs="Calibri"/>
                <w:b/>
                <w:lang w:val="cs-CZ" w:eastAsia="cs-CZ"/>
              </w:rPr>
              <w:t>Fond</w:t>
            </w:r>
          </w:p>
        </w:tc>
        <w:tc>
          <w:tcPr>
            <w:tcW w:w="1060" w:type="pct"/>
            <w:shd w:val="clear" w:color="auto" w:fill="B8CCE4"/>
            <w:vAlign w:val="center"/>
          </w:tcPr>
          <w:p w:rsidR="00833413" w:rsidRPr="008B53A9" w:rsidRDefault="00833413" w:rsidP="00070EE7">
            <w:pPr>
              <w:pStyle w:val="Tabulka"/>
              <w:keepNext/>
              <w:keepLines/>
              <w:rPr>
                <w:rFonts w:cs="Calibri"/>
                <w:b/>
                <w:lang w:val="cs-CZ" w:eastAsia="cs-CZ"/>
              </w:rPr>
            </w:pPr>
            <w:r w:rsidRPr="008B53A9">
              <w:rPr>
                <w:rFonts w:cs="Calibri"/>
                <w:b/>
                <w:lang w:val="cs-CZ" w:eastAsia="cs-CZ"/>
              </w:rPr>
              <w:t>Kategorie regionů</w:t>
            </w:r>
          </w:p>
        </w:tc>
        <w:tc>
          <w:tcPr>
            <w:tcW w:w="723" w:type="pct"/>
            <w:shd w:val="clear" w:color="auto" w:fill="B8CCE4"/>
            <w:vAlign w:val="center"/>
          </w:tcPr>
          <w:p w:rsidR="00833413" w:rsidRPr="008B53A9" w:rsidRDefault="00833413" w:rsidP="00070EE7">
            <w:pPr>
              <w:pStyle w:val="Tabulka"/>
              <w:keepNext/>
              <w:keepLines/>
              <w:rPr>
                <w:rFonts w:cs="Calibri"/>
                <w:b/>
                <w:lang w:val="cs-CZ" w:eastAsia="cs-CZ"/>
              </w:rPr>
            </w:pPr>
            <w:r w:rsidRPr="008B53A9">
              <w:rPr>
                <w:rFonts w:cs="Calibri"/>
                <w:b/>
                <w:lang w:val="cs-CZ" w:eastAsia="cs-CZ"/>
              </w:rPr>
              <w:t>Tematický cíl</w:t>
            </w:r>
          </w:p>
        </w:tc>
        <w:tc>
          <w:tcPr>
            <w:tcW w:w="597" w:type="pct"/>
            <w:shd w:val="clear" w:color="auto" w:fill="B8CCE4"/>
            <w:vAlign w:val="center"/>
          </w:tcPr>
          <w:p w:rsidR="00833413" w:rsidRPr="008B53A9" w:rsidRDefault="00833413" w:rsidP="00070EE7">
            <w:pPr>
              <w:pStyle w:val="Tabulka"/>
              <w:keepNext/>
              <w:keepLines/>
              <w:rPr>
                <w:rFonts w:cs="Calibri"/>
                <w:b/>
                <w:lang w:val="cs-CZ" w:eastAsia="cs-CZ"/>
              </w:rPr>
            </w:pPr>
            <w:r w:rsidRPr="008B53A9">
              <w:rPr>
                <w:rFonts w:cs="Calibri"/>
                <w:b/>
                <w:lang w:val="cs-CZ" w:eastAsia="cs-CZ"/>
              </w:rPr>
              <w:t>Podpora Unie</w:t>
            </w:r>
          </w:p>
        </w:tc>
        <w:tc>
          <w:tcPr>
            <w:tcW w:w="1008" w:type="pct"/>
            <w:shd w:val="clear" w:color="auto" w:fill="B8CCE4"/>
            <w:vAlign w:val="center"/>
          </w:tcPr>
          <w:p w:rsidR="00833413" w:rsidRPr="008B53A9" w:rsidRDefault="00833413" w:rsidP="00833413">
            <w:pPr>
              <w:pStyle w:val="Tabulka"/>
              <w:keepNext/>
              <w:keepLines/>
              <w:rPr>
                <w:rFonts w:cs="Calibri"/>
                <w:b/>
                <w:lang w:val="cs-CZ" w:eastAsia="cs-CZ"/>
              </w:rPr>
            </w:pPr>
            <w:r w:rsidRPr="008B53A9">
              <w:rPr>
                <w:rFonts w:cs="Calibri"/>
                <w:b/>
                <w:lang w:val="cs-CZ" w:eastAsia="cs-CZ"/>
              </w:rPr>
              <w:t>Příspěvek členského státu</w:t>
            </w:r>
          </w:p>
        </w:tc>
        <w:tc>
          <w:tcPr>
            <w:tcW w:w="660" w:type="pct"/>
            <w:shd w:val="clear" w:color="auto" w:fill="B8CCE4"/>
            <w:vAlign w:val="center"/>
          </w:tcPr>
          <w:p w:rsidR="00833413" w:rsidRPr="008B53A9" w:rsidRDefault="00833413" w:rsidP="00833413">
            <w:pPr>
              <w:pStyle w:val="Tabulka"/>
              <w:keepNext/>
              <w:keepLines/>
              <w:rPr>
                <w:rFonts w:cs="Calibri"/>
                <w:b/>
                <w:lang w:val="cs-CZ" w:eastAsia="cs-CZ"/>
              </w:rPr>
            </w:pPr>
            <w:r w:rsidRPr="008B53A9">
              <w:rPr>
                <w:rFonts w:cs="Calibri"/>
                <w:b/>
                <w:lang w:val="cs-CZ" w:eastAsia="cs-CZ"/>
              </w:rPr>
              <w:t>Financování celkem</w:t>
            </w:r>
          </w:p>
        </w:tc>
      </w:tr>
      <w:tr w:rsidR="00520841" w:rsidRPr="008B53A9">
        <w:trPr>
          <w:jc w:val="center"/>
        </w:trPr>
        <w:tc>
          <w:tcPr>
            <w:tcW w:w="579" w:type="pct"/>
            <w:shd w:val="clear" w:color="auto" w:fill="auto"/>
            <w:vAlign w:val="center"/>
          </w:tcPr>
          <w:p w:rsidR="00520841" w:rsidRPr="008B53A9" w:rsidRDefault="00520841" w:rsidP="00467D73">
            <w:pPr>
              <w:pStyle w:val="Tabulka"/>
              <w:jc w:val="left"/>
              <w:rPr>
                <w:rFonts w:cs="Calibri"/>
                <w:lang w:val="cs-CZ" w:eastAsia="cs-CZ"/>
              </w:rPr>
            </w:pPr>
            <w:r w:rsidRPr="008B53A9">
              <w:rPr>
                <w:rFonts w:cs="Calibri"/>
                <w:lang w:val="cs-CZ" w:eastAsia="cs-CZ"/>
              </w:rPr>
              <w:t>Prioritní osa 1</w:t>
            </w:r>
          </w:p>
        </w:tc>
        <w:tc>
          <w:tcPr>
            <w:tcW w:w="373" w:type="pc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EFRR</w:t>
            </w:r>
          </w:p>
        </w:tc>
        <w:tc>
          <w:tcPr>
            <w:tcW w:w="1060" w:type="pc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Méně rozvinuté regiony</w:t>
            </w:r>
          </w:p>
        </w:tc>
        <w:tc>
          <w:tcPr>
            <w:tcW w:w="723" w:type="pc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Tematický cíl 1</w:t>
            </w:r>
          </w:p>
        </w:tc>
        <w:tc>
          <w:tcPr>
            <w:tcW w:w="597"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1 337 979 411</w:t>
            </w:r>
          </w:p>
        </w:tc>
        <w:tc>
          <w:tcPr>
            <w:tcW w:w="1008"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236 114 014</w:t>
            </w:r>
          </w:p>
        </w:tc>
        <w:tc>
          <w:tcPr>
            <w:tcW w:w="660"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1 574 093 425</w:t>
            </w:r>
          </w:p>
        </w:tc>
      </w:tr>
      <w:tr w:rsidR="00520841" w:rsidRPr="008B53A9">
        <w:trPr>
          <w:jc w:val="center"/>
        </w:trPr>
        <w:tc>
          <w:tcPr>
            <w:tcW w:w="579" w:type="pct"/>
            <w:shd w:val="clear" w:color="auto" w:fill="auto"/>
            <w:vAlign w:val="center"/>
          </w:tcPr>
          <w:p w:rsidR="00520841" w:rsidRPr="008B53A9" w:rsidRDefault="00520841" w:rsidP="00467D73">
            <w:pPr>
              <w:pStyle w:val="Tabulka"/>
              <w:jc w:val="left"/>
              <w:rPr>
                <w:rFonts w:cs="Calibri"/>
                <w:lang w:val="cs-CZ" w:eastAsia="cs-CZ"/>
              </w:rPr>
            </w:pPr>
            <w:r w:rsidRPr="008B53A9">
              <w:rPr>
                <w:rFonts w:cs="Calibri"/>
                <w:lang w:val="cs-CZ" w:eastAsia="cs-CZ"/>
              </w:rPr>
              <w:t>Prioritní osa 2</w:t>
            </w:r>
          </w:p>
        </w:tc>
        <w:tc>
          <w:tcPr>
            <w:tcW w:w="373" w:type="pc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EFRR</w:t>
            </w:r>
          </w:p>
        </w:tc>
        <w:tc>
          <w:tcPr>
            <w:tcW w:w="1060" w:type="pc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Méně rozvinuté regiony</w:t>
            </w:r>
          </w:p>
        </w:tc>
        <w:tc>
          <w:tcPr>
            <w:tcW w:w="723" w:type="pc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Tematický cíl 3</w:t>
            </w:r>
          </w:p>
        </w:tc>
        <w:tc>
          <w:tcPr>
            <w:tcW w:w="597"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892 130 143</w:t>
            </w:r>
          </w:p>
        </w:tc>
        <w:tc>
          <w:tcPr>
            <w:tcW w:w="1008"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157 434 731</w:t>
            </w:r>
          </w:p>
        </w:tc>
        <w:tc>
          <w:tcPr>
            <w:tcW w:w="660"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1 049 564 874</w:t>
            </w:r>
          </w:p>
        </w:tc>
      </w:tr>
      <w:tr w:rsidR="00520841" w:rsidRPr="008B53A9">
        <w:trPr>
          <w:jc w:val="center"/>
        </w:trPr>
        <w:tc>
          <w:tcPr>
            <w:tcW w:w="579" w:type="pct"/>
            <w:vMerge w:val="restart"/>
            <w:shd w:val="clear" w:color="auto" w:fill="auto"/>
            <w:vAlign w:val="center"/>
          </w:tcPr>
          <w:p w:rsidR="00520841" w:rsidRPr="008B53A9" w:rsidRDefault="00520841" w:rsidP="00467D73">
            <w:pPr>
              <w:pStyle w:val="Tabulka"/>
              <w:jc w:val="left"/>
              <w:rPr>
                <w:rFonts w:cs="Calibri"/>
                <w:lang w:val="cs-CZ" w:eastAsia="cs-CZ"/>
              </w:rPr>
            </w:pPr>
            <w:r w:rsidRPr="008B53A9">
              <w:rPr>
                <w:rFonts w:cs="Calibri"/>
                <w:lang w:val="cs-CZ" w:eastAsia="cs-CZ"/>
              </w:rPr>
              <w:t>Prioritní osa 3</w:t>
            </w:r>
          </w:p>
        </w:tc>
        <w:tc>
          <w:tcPr>
            <w:tcW w:w="373" w:type="pct"/>
            <w:vMerge w:val="restar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EFRR</w:t>
            </w:r>
          </w:p>
        </w:tc>
        <w:tc>
          <w:tcPr>
            <w:tcW w:w="1060" w:type="pct"/>
            <w:vMerge w:val="restar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Méně rozvinuté regiony</w:t>
            </w:r>
          </w:p>
        </w:tc>
        <w:tc>
          <w:tcPr>
            <w:tcW w:w="723" w:type="pc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Tematický cíl 4</w:t>
            </w:r>
          </w:p>
        </w:tc>
        <w:tc>
          <w:tcPr>
            <w:tcW w:w="597"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1 017 295 959</w:t>
            </w:r>
          </w:p>
        </w:tc>
        <w:tc>
          <w:tcPr>
            <w:tcW w:w="1008" w:type="pct"/>
            <w:shd w:val="clear" w:color="auto" w:fill="auto"/>
          </w:tcPr>
          <w:p w:rsidR="00520841" w:rsidRPr="008B53A9" w:rsidRDefault="00520841" w:rsidP="00165558">
            <w:pPr>
              <w:pStyle w:val="Tabulka"/>
              <w:jc w:val="right"/>
              <w:rPr>
                <w:rFonts w:cs="Calibri"/>
                <w:lang w:val="cs-CZ" w:eastAsia="cs-CZ"/>
              </w:rPr>
            </w:pPr>
            <w:r w:rsidRPr="008B53A9">
              <w:rPr>
                <w:rFonts w:cs="Calibri"/>
                <w:lang w:val="cs-CZ" w:eastAsia="cs-CZ"/>
              </w:rPr>
              <w:t>179 522 816</w:t>
            </w:r>
          </w:p>
        </w:tc>
        <w:tc>
          <w:tcPr>
            <w:tcW w:w="660" w:type="pct"/>
            <w:shd w:val="clear" w:color="auto" w:fill="auto"/>
          </w:tcPr>
          <w:p w:rsidR="00520841" w:rsidRPr="008B53A9" w:rsidRDefault="00520841" w:rsidP="00165558">
            <w:pPr>
              <w:pStyle w:val="Tabulka"/>
              <w:jc w:val="right"/>
              <w:rPr>
                <w:rFonts w:cs="Calibri"/>
                <w:lang w:val="cs-CZ" w:eastAsia="cs-CZ"/>
              </w:rPr>
            </w:pPr>
            <w:r w:rsidRPr="008B53A9">
              <w:rPr>
                <w:rFonts w:cs="Calibri"/>
                <w:lang w:val="cs-CZ" w:eastAsia="cs-CZ"/>
              </w:rPr>
              <w:t>1 196 818 775</w:t>
            </w:r>
          </w:p>
        </w:tc>
      </w:tr>
      <w:tr w:rsidR="00520841" w:rsidRPr="008B53A9">
        <w:trPr>
          <w:jc w:val="center"/>
        </w:trPr>
        <w:tc>
          <w:tcPr>
            <w:tcW w:w="579" w:type="pct"/>
            <w:vMerge/>
            <w:shd w:val="clear" w:color="auto" w:fill="auto"/>
            <w:vAlign w:val="center"/>
          </w:tcPr>
          <w:p w:rsidR="00520841" w:rsidRPr="008B53A9" w:rsidRDefault="00520841" w:rsidP="00467D73">
            <w:pPr>
              <w:pStyle w:val="Tabulka"/>
              <w:jc w:val="left"/>
              <w:rPr>
                <w:rFonts w:cs="Calibri"/>
                <w:lang w:val="cs-CZ" w:eastAsia="cs-CZ"/>
              </w:rPr>
            </w:pPr>
          </w:p>
        </w:tc>
        <w:tc>
          <w:tcPr>
            <w:tcW w:w="373" w:type="pct"/>
            <w:vMerge/>
            <w:shd w:val="clear" w:color="auto" w:fill="auto"/>
            <w:vAlign w:val="center"/>
          </w:tcPr>
          <w:p w:rsidR="00520841" w:rsidRPr="008B53A9" w:rsidRDefault="00520841" w:rsidP="004D0CBC">
            <w:pPr>
              <w:pStyle w:val="Tabulka"/>
              <w:rPr>
                <w:rFonts w:cs="Calibri"/>
                <w:lang w:val="cs-CZ" w:eastAsia="cs-CZ"/>
              </w:rPr>
            </w:pPr>
          </w:p>
        </w:tc>
        <w:tc>
          <w:tcPr>
            <w:tcW w:w="1060" w:type="pct"/>
            <w:vMerge/>
            <w:shd w:val="clear" w:color="auto" w:fill="auto"/>
            <w:vAlign w:val="center"/>
          </w:tcPr>
          <w:p w:rsidR="00520841" w:rsidRPr="008B53A9" w:rsidRDefault="00520841" w:rsidP="004D0CBC">
            <w:pPr>
              <w:pStyle w:val="Tabulka"/>
              <w:rPr>
                <w:rFonts w:cs="Calibri"/>
                <w:lang w:val="cs-CZ" w:eastAsia="cs-CZ"/>
              </w:rPr>
            </w:pPr>
          </w:p>
        </w:tc>
        <w:tc>
          <w:tcPr>
            <w:tcW w:w="723" w:type="pct"/>
            <w:shd w:val="clear" w:color="auto" w:fill="auto"/>
            <w:vAlign w:val="center"/>
          </w:tcPr>
          <w:p w:rsidR="00520841" w:rsidRPr="008B53A9" w:rsidRDefault="00520841" w:rsidP="004D0CBC">
            <w:pPr>
              <w:pStyle w:val="Tabulka"/>
              <w:rPr>
                <w:rFonts w:cs="Calibri"/>
                <w:lang w:val="cs-CZ" w:eastAsia="cs-CZ"/>
              </w:rPr>
            </w:pPr>
            <w:r w:rsidRPr="008B53A9">
              <w:rPr>
                <w:rFonts w:cs="Calibri"/>
                <w:lang w:val="cs-CZ" w:eastAsia="cs-CZ"/>
              </w:rPr>
              <w:t>Tematický cíl 7</w:t>
            </w:r>
          </w:p>
        </w:tc>
        <w:tc>
          <w:tcPr>
            <w:tcW w:w="597"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199 833 699</w:t>
            </w:r>
          </w:p>
        </w:tc>
        <w:tc>
          <w:tcPr>
            <w:tcW w:w="1008"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35 264 77</w:t>
            </w:r>
            <w:r w:rsidR="00B54E1F" w:rsidRPr="008B53A9">
              <w:rPr>
                <w:rFonts w:cs="Calibri"/>
                <w:lang w:val="cs-CZ" w:eastAsia="cs-CZ"/>
              </w:rPr>
              <w:t>1</w:t>
            </w:r>
          </w:p>
        </w:tc>
        <w:tc>
          <w:tcPr>
            <w:tcW w:w="660"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235 098 4</w:t>
            </w:r>
            <w:r w:rsidR="00B54E1F" w:rsidRPr="008B53A9">
              <w:rPr>
                <w:rFonts w:cs="Calibri"/>
                <w:lang w:val="cs-CZ" w:eastAsia="cs-CZ"/>
              </w:rPr>
              <w:t>70</w:t>
            </w:r>
          </w:p>
        </w:tc>
      </w:tr>
      <w:tr w:rsidR="00520841" w:rsidRPr="008B53A9">
        <w:trPr>
          <w:jc w:val="center"/>
        </w:trPr>
        <w:tc>
          <w:tcPr>
            <w:tcW w:w="579" w:type="pct"/>
            <w:shd w:val="clear" w:color="auto" w:fill="auto"/>
            <w:vAlign w:val="center"/>
          </w:tcPr>
          <w:p w:rsidR="00520841" w:rsidRPr="008B53A9" w:rsidRDefault="00520841" w:rsidP="00030CAB">
            <w:pPr>
              <w:pStyle w:val="Tabulka"/>
              <w:jc w:val="left"/>
              <w:rPr>
                <w:rFonts w:cs="Calibri"/>
                <w:lang w:val="cs-CZ" w:eastAsia="cs-CZ"/>
              </w:rPr>
            </w:pPr>
            <w:r w:rsidRPr="008B53A9">
              <w:rPr>
                <w:rFonts w:cs="Calibri"/>
                <w:lang w:val="cs-CZ" w:eastAsia="cs-CZ"/>
              </w:rPr>
              <w:t>Prioritní osa 4</w:t>
            </w:r>
          </w:p>
        </w:tc>
        <w:tc>
          <w:tcPr>
            <w:tcW w:w="373" w:type="pct"/>
            <w:shd w:val="clear" w:color="auto" w:fill="auto"/>
            <w:vAlign w:val="center"/>
          </w:tcPr>
          <w:p w:rsidR="00520841" w:rsidRPr="008B53A9" w:rsidRDefault="00520841" w:rsidP="00030CAB">
            <w:pPr>
              <w:pStyle w:val="Tabulka"/>
              <w:rPr>
                <w:rFonts w:cs="Calibri"/>
                <w:lang w:val="cs-CZ" w:eastAsia="cs-CZ"/>
              </w:rPr>
            </w:pPr>
            <w:r w:rsidRPr="008B53A9">
              <w:rPr>
                <w:rFonts w:cs="Calibri"/>
                <w:lang w:val="cs-CZ" w:eastAsia="cs-CZ"/>
              </w:rPr>
              <w:t>EFRR</w:t>
            </w:r>
          </w:p>
        </w:tc>
        <w:tc>
          <w:tcPr>
            <w:tcW w:w="1060" w:type="pct"/>
            <w:shd w:val="clear" w:color="auto" w:fill="auto"/>
            <w:vAlign w:val="center"/>
          </w:tcPr>
          <w:p w:rsidR="00520841" w:rsidRPr="008B53A9" w:rsidRDefault="00520841" w:rsidP="00030CAB">
            <w:pPr>
              <w:pStyle w:val="Tabulka"/>
              <w:rPr>
                <w:rFonts w:cs="Calibri"/>
                <w:lang w:val="cs-CZ" w:eastAsia="cs-CZ"/>
              </w:rPr>
            </w:pPr>
            <w:r w:rsidRPr="008B53A9">
              <w:rPr>
                <w:rFonts w:cs="Calibri"/>
                <w:lang w:val="cs-CZ" w:eastAsia="cs-CZ"/>
              </w:rPr>
              <w:t>Méně rozvinuté regiony</w:t>
            </w:r>
          </w:p>
        </w:tc>
        <w:tc>
          <w:tcPr>
            <w:tcW w:w="723" w:type="pct"/>
            <w:shd w:val="clear" w:color="auto" w:fill="auto"/>
            <w:vAlign w:val="center"/>
          </w:tcPr>
          <w:p w:rsidR="00520841" w:rsidRPr="008B53A9" w:rsidRDefault="00520841" w:rsidP="00030CAB">
            <w:pPr>
              <w:pStyle w:val="Tabulka"/>
              <w:rPr>
                <w:rFonts w:cs="Calibri"/>
                <w:lang w:val="cs-CZ" w:eastAsia="cs-CZ"/>
              </w:rPr>
            </w:pPr>
            <w:r w:rsidRPr="008B53A9">
              <w:rPr>
                <w:rFonts w:cs="Calibri"/>
                <w:lang w:val="cs-CZ" w:eastAsia="cs-CZ"/>
              </w:rPr>
              <w:t>Tematický cíl 2</w:t>
            </w:r>
          </w:p>
        </w:tc>
        <w:tc>
          <w:tcPr>
            <w:tcW w:w="597"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743 657 589</w:t>
            </w:r>
          </w:p>
        </w:tc>
        <w:tc>
          <w:tcPr>
            <w:tcW w:w="1008"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131 233 692</w:t>
            </w:r>
          </w:p>
        </w:tc>
        <w:tc>
          <w:tcPr>
            <w:tcW w:w="660"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874 891 281</w:t>
            </w:r>
          </w:p>
        </w:tc>
      </w:tr>
      <w:tr w:rsidR="00520841" w:rsidRPr="008B53A9">
        <w:trPr>
          <w:jc w:val="center"/>
        </w:trPr>
        <w:tc>
          <w:tcPr>
            <w:tcW w:w="579" w:type="pct"/>
            <w:shd w:val="clear" w:color="auto" w:fill="auto"/>
            <w:vAlign w:val="center"/>
          </w:tcPr>
          <w:p w:rsidR="00520841" w:rsidRPr="008B53A9" w:rsidRDefault="00520841" w:rsidP="00467D73">
            <w:pPr>
              <w:pStyle w:val="Tabulka"/>
              <w:jc w:val="left"/>
              <w:rPr>
                <w:rFonts w:cs="Calibri"/>
                <w:lang w:val="cs-CZ" w:eastAsia="cs-CZ"/>
              </w:rPr>
            </w:pPr>
            <w:r w:rsidRPr="008B53A9">
              <w:rPr>
                <w:rFonts w:cs="Calibri"/>
                <w:lang w:val="cs-CZ" w:eastAsia="cs-CZ"/>
              </w:rPr>
              <w:t>Prioritní osa 5</w:t>
            </w:r>
          </w:p>
        </w:tc>
        <w:tc>
          <w:tcPr>
            <w:tcW w:w="373" w:type="pc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EFRR</w:t>
            </w:r>
          </w:p>
        </w:tc>
        <w:tc>
          <w:tcPr>
            <w:tcW w:w="1060" w:type="pct"/>
            <w:shd w:val="clear" w:color="auto" w:fill="auto"/>
            <w:vAlign w:val="center"/>
          </w:tcPr>
          <w:p w:rsidR="00520841" w:rsidRPr="008B53A9" w:rsidRDefault="00520841" w:rsidP="00467D73">
            <w:pPr>
              <w:pStyle w:val="Tabulka"/>
              <w:rPr>
                <w:rFonts w:cs="Calibri"/>
                <w:lang w:val="cs-CZ" w:eastAsia="cs-CZ"/>
              </w:rPr>
            </w:pPr>
            <w:r w:rsidRPr="008B53A9">
              <w:rPr>
                <w:rFonts w:cs="Calibri"/>
                <w:lang w:val="cs-CZ" w:eastAsia="cs-CZ"/>
              </w:rPr>
              <w:t>Méně rozvinuté regiony</w:t>
            </w:r>
          </w:p>
        </w:tc>
        <w:tc>
          <w:tcPr>
            <w:tcW w:w="723" w:type="pct"/>
            <w:shd w:val="clear" w:color="auto" w:fill="auto"/>
            <w:vAlign w:val="center"/>
          </w:tcPr>
          <w:p w:rsidR="00520841" w:rsidRPr="008B53A9" w:rsidRDefault="00520841" w:rsidP="00467D73">
            <w:pPr>
              <w:pStyle w:val="Tabulka"/>
              <w:rPr>
                <w:rFonts w:cs="Calibri"/>
                <w:lang w:val="cs-CZ" w:eastAsia="cs-CZ"/>
              </w:rPr>
            </w:pPr>
          </w:p>
        </w:tc>
        <w:tc>
          <w:tcPr>
            <w:tcW w:w="597"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125 165 816</w:t>
            </w:r>
          </w:p>
        </w:tc>
        <w:tc>
          <w:tcPr>
            <w:tcW w:w="1008"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22 088 085</w:t>
            </w:r>
          </w:p>
        </w:tc>
        <w:tc>
          <w:tcPr>
            <w:tcW w:w="660" w:type="pct"/>
            <w:shd w:val="clear" w:color="auto" w:fill="auto"/>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147 253 901</w:t>
            </w:r>
          </w:p>
        </w:tc>
      </w:tr>
      <w:tr w:rsidR="00520841" w:rsidRPr="008B53A9">
        <w:trPr>
          <w:jc w:val="center"/>
        </w:trPr>
        <w:tc>
          <w:tcPr>
            <w:tcW w:w="579" w:type="pct"/>
            <w:shd w:val="clear" w:color="auto" w:fill="DBE5F1"/>
            <w:vAlign w:val="center"/>
          </w:tcPr>
          <w:p w:rsidR="00520841" w:rsidRPr="008B53A9" w:rsidRDefault="00520841" w:rsidP="00467D73">
            <w:pPr>
              <w:pStyle w:val="Tabulka"/>
              <w:jc w:val="left"/>
              <w:rPr>
                <w:rFonts w:cs="Calibri"/>
                <w:lang w:val="cs-CZ" w:eastAsia="cs-CZ"/>
              </w:rPr>
            </w:pPr>
            <w:r w:rsidRPr="008B53A9">
              <w:rPr>
                <w:rFonts w:cs="Calibri"/>
                <w:lang w:val="cs-CZ" w:eastAsia="cs-CZ"/>
              </w:rPr>
              <w:t>Celkem</w:t>
            </w:r>
          </w:p>
        </w:tc>
        <w:tc>
          <w:tcPr>
            <w:tcW w:w="373" w:type="pct"/>
            <w:shd w:val="clear" w:color="auto" w:fill="DBE5F1"/>
            <w:vAlign w:val="center"/>
          </w:tcPr>
          <w:p w:rsidR="00520841" w:rsidRPr="008B53A9" w:rsidRDefault="00520841" w:rsidP="00467D73">
            <w:pPr>
              <w:pStyle w:val="Tabulka"/>
              <w:rPr>
                <w:rFonts w:cs="Calibri"/>
                <w:lang w:val="cs-CZ" w:eastAsia="cs-CZ"/>
              </w:rPr>
            </w:pPr>
            <w:r w:rsidRPr="008B53A9">
              <w:rPr>
                <w:rFonts w:cs="Calibri"/>
                <w:lang w:val="cs-CZ" w:eastAsia="cs-CZ"/>
              </w:rPr>
              <w:t>EFRR</w:t>
            </w:r>
          </w:p>
        </w:tc>
        <w:tc>
          <w:tcPr>
            <w:tcW w:w="1060" w:type="pct"/>
            <w:shd w:val="clear" w:color="auto" w:fill="DBE5F1"/>
            <w:vAlign w:val="center"/>
          </w:tcPr>
          <w:p w:rsidR="00520841" w:rsidRPr="008B53A9" w:rsidRDefault="00520841" w:rsidP="00467D73">
            <w:pPr>
              <w:pStyle w:val="Tabulka"/>
              <w:rPr>
                <w:rFonts w:cs="Calibri"/>
                <w:lang w:val="cs-CZ" w:eastAsia="cs-CZ"/>
              </w:rPr>
            </w:pPr>
            <w:r w:rsidRPr="008B53A9">
              <w:rPr>
                <w:rFonts w:cs="Calibri"/>
                <w:lang w:val="cs-CZ" w:eastAsia="cs-CZ"/>
              </w:rPr>
              <w:t>Méně rozvinuté regiony</w:t>
            </w:r>
          </w:p>
        </w:tc>
        <w:tc>
          <w:tcPr>
            <w:tcW w:w="723" w:type="pct"/>
            <w:shd w:val="clear" w:color="auto" w:fill="DBE5F1"/>
            <w:vAlign w:val="center"/>
          </w:tcPr>
          <w:p w:rsidR="00520841" w:rsidRPr="008B53A9" w:rsidRDefault="00520841" w:rsidP="00467D73">
            <w:pPr>
              <w:pStyle w:val="Tabulka"/>
              <w:rPr>
                <w:rFonts w:cs="Calibri"/>
                <w:lang w:val="cs-CZ" w:eastAsia="cs-CZ"/>
              </w:rPr>
            </w:pPr>
          </w:p>
        </w:tc>
        <w:tc>
          <w:tcPr>
            <w:tcW w:w="597" w:type="pct"/>
            <w:shd w:val="clear" w:color="auto" w:fill="DBE5F1"/>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4 316 062 617</w:t>
            </w:r>
          </w:p>
        </w:tc>
        <w:tc>
          <w:tcPr>
            <w:tcW w:w="1008" w:type="pct"/>
            <w:shd w:val="clear" w:color="auto" w:fill="DBE5F1"/>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761 658 109</w:t>
            </w:r>
          </w:p>
        </w:tc>
        <w:tc>
          <w:tcPr>
            <w:tcW w:w="660" w:type="pct"/>
            <w:shd w:val="clear" w:color="auto" w:fill="DBE5F1"/>
            <w:vAlign w:val="center"/>
          </w:tcPr>
          <w:p w:rsidR="00520841" w:rsidRPr="008B53A9" w:rsidRDefault="00520841" w:rsidP="00165558">
            <w:pPr>
              <w:pStyle w:val="Tabulka"/>
              <w:jc w:val="right"/>
              <w:rPr>
                <w:rFonts w:cs="Calibri"/>
                <w:lang w:val="cs-CZ" w:eastAsia="cs-CZ"/>
              </w:rPr>
            </w:pPr>
            <w:r w:rsidRPr="008B53A9">
              <w:rPr>
                <w:rFonts w:cs="Calibri"/>
                <w:lang w:val="cs-CZ" w:eastAsia="cs-CZ"/>
              </w:rPr>
              <w:t>5 077 720 726</w:t>
            </w:r>
          </w:p>
        </w:tc>
      </w:tr>
    </w:tbl>
    <w:p w:rsidR="00821D0D" w:rsidRPr="008B53A9" w:rsidRDefault="0071595D" w:rsidP="004E6DD3">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19</w:t>
      </w:r>
      <w:r w:rsidR="00C3289B" w:rsidRPr="008B53A9">
        <w:rPr>
          <w:noProof/>
        </w:rPr>
        <w:fldChar w:fldCharType="end"/>
      </w:r>
      <w:r w:rsidRPr="008B53A9">
        <w:t xml:space="preserve">: </w:t>
      </w:r>
      <w:r w:rsidR="00833413" w:rsidRPr="008B53A9">
        <w:t>Orientační částka podpory, jež má být použita na cíle v oblasti změny klimatu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17"/>
        <w:gridCol w:w="8506"/>
        <w:gridCol w:w="4135"/>
      </w:tblGrid>
      <w:tr w:rsidR="0071595D" w:rsidRPr="008B53A9">
        <w:tc>
          <w:tcPr>
            <w:tcW w:w="567" w:type="pct"/>
            <w:shd w:val="clear" w:color="auto" w:fill="B8CCE4"/>
            <w:vAlign w:val="center"/>
          </w:tcPr>
          <w:p w:rsidR="0071595D" w:rsidRPr="008B53A9" w:rsidRDefault="0071595D" w:rsidP="004E6DD3">
            <w:pPr>
              <w:pStyle w:val="Tabulka"/>
              <w:keepNext/>
              <w:keepLines/>
              <w:rPr>
                <w:rFonts w:cs="Calibri"/>
                <w:b/>
                <w:lang w:val="cs-CZ" w:eastAsia="cs-CZ"/>
              </w:rPr>
            </w:pPr>
            <w:r w:rsidRPr="008B53A9">
              <w:rPr>
                <w:rFonts w:cs="Calibri"/>
                <w:b/>
                <w:lang w:val="cs-CZ" w:eastAsia="cs-CZ"/>
              </w:rPr>
              <w:t>Prioritní osa</w:t>
            </w:r>
          </w:p>
        </w:tc>
        <w:tc>
          <w:tcPr>
            <w:tcW w:w="2983" w:type="pct"/>
            <w:shd w:val="clear" w:color="auto" w:fill="B8CCE4"/>
            <w:vAlign w:val="center"/>
          </w:tcPr>
          <w:p w:rsidR="0071595D" w:rsidRPr="008B53A9" w:rsidRDefault="00833413" w:rsidP="004E6DD3">
            <w:pPr>
              <w:pStyle w:val="Tabulka"/>
              <w:keepNext/>
              <w:keepLines/>
              <w:rPr>
                <w:rFonts w:cs="Calibri"/>
                <w:b/>
                <w:lang w:val="cs-CZ" w:eastAsia="cs-CZ"/>
              </w:rPr>
            </w:pPr>
            <w:r w:rsidRPr="008B53A9">
              <w:rPr>
                <w:rFonts w:cs="Calibri"/>
                <w:b/>
                <w:lang w:val="cs-CZ" w:eastAsia="cs-CZ"/>
              </w:rPr>
              <w:t>Orientační částka podpory, jež má být použita na cíle v oblasti změny klimatu (v EUR)</w:t>
            </w:r>
          </w:p>
        </w:tc>
        <w:tc>
          <w:tcPr>
            <w:tcW w:w="1450" w:type="pct"/>
            <w:shd w:val="clear" w:color="auto" w:fill="B8CCE4"/>
            <w:vAlign w:val="center"/>
          </w:tcPr>
          <w:p w:rsidR="0071595D" w:rsidRPr="008B53A9" w:rsidRDefault="00833413" w:rsidP="004E6DD3">
            <w:pPr>
              <w:pStyle w:val="Tabulka"/>
              <w:keepNext/>
              <w:keepLines/>
              <w:rPr>
                <w:rFonts w:cs="Calibri"/>
                <w:b/>
                <w:lang w:val="cs-CZ" w:eastAsia="cs-CZ"/>
              </w:rPr>
            </w:pPr>
            <w:r w:rsidRPr="008B53A9">
              <w:rPr>
                <w:rFonts w:cs="Calibri"/>
                <w:b/>
                <w:lang w:val="cs-CZ" w:eastAsia="cs-CZ"/>
              </w:rPr>
              <w:t>Podíl celkového přídělu pro operační program (v %)</w:t>
            </w:r>
          </w:p>
        </w:tc>
      </w:tr>
      <w:tr w:rsidR="0071595D" w:rsidRPr="008B53A9">
        <w:tc>
          <w:tcPr>
            <w:tcW w:w="567" w:type="pct"/>
            <w:shd w:val="clear" w:color="auto" w:fill="auto"/>
            <w:vAlign w:val="center"/>
          </w:tcPr>
          <w:p w:rsidR="0071595D" w:rsidRPr="008B53A9" w:rsidRDefault="00DA6FAB" w:rsidP="004E6DD3">
            <w:pPr>
              <w:pStyle w:val="Tabulka"/>
              <w:keepNext/>
              <w:keepLines/>
              <w:jc w:val="left"/>
              <w:rPr>
                <w:rFonts w:cs="Calibri"/>
                <w:lang w:val="cs-CZ" w:eastAsia="cs-CZ"/>
              </w:rPr>
            </w:pPr>
            <w:r w:rsidRPr="008B53A9">
              <w:rPr>
                <w:rFonts w:cs="Calibri"/>
                <w:lang w:val="cs-CZ" w:eastAsia="cs-CZ"/>
              </w:rPr>
              <w:t>Prioritní osa 1</w:t>
            </w:r>
          </w:p>
        </w:tc>
        <w:tc>
          <w:tcPr>
            <w:tcW w:w="2983" w:type="pct"/>
            <w:shd w:val="clear" w:color="auto" w:fill="auto"/>
            <w:vAlign w:val="center"/>
          </w:tcPr>
          <w:p w:rsidR="0071595D" w:rsidRPr="008B53A9" w:rsidRDefault="00922780" w:rsidP="00165558">
            <w:pPr>
              <w:pStyle w:val="Tabulka"/>
              <w:keepNext/>
              <w:keepLines/>
              <w:jc w:val="right"/>
              <w:rPr>
                <w:rFonts w:cs="Calibri"/>
                <w:lang w:val="cs-CZ" w:eastAsia="cs-CZ"/>
              </w:rPr>
            </w:pPr>
            <w:r w:rsidRPr="008B53A9">
              <w:rPr>
                <w:rFonts w:cs="Calibri"/>
                <w:lang w:val="cs-CZ" w:eastAsia="cs-CZ"/>
              </w:rPr>
              <w:t>101 122 110</w:t>
            </w:r>
          </w:p>
        </w:tc>
        <w:tc>
          <w:tcPr>
            <w:tcW w:w="1450" w:type="pct"/>
            <w:shd w:val="clear" w:color="auto" w:fill="auto"/>
            <w:vAlign w:val="center"/>
          </w:tcPr>
          <w:p w:rsidR="0071595D" w:rsidRPr="008B53A9" w:rsidRDefault="00922780" w:rsidP="00165558">
            <w:pPr>
              <w:pStyle w:val="Tabulka"/>
              <w:keepNext/>
              <w:keepLines/>
              <w:jc w:val="right"/>
              <w:rPr>
                <w:rFonts w:cs="Calibri"/>
                <w:lang w:val="cs-CZ" w:eastAsia="cs-CZ"/>
              </w:rPr>
            </w:pPr>
            <w:r w:rsidRPr="008B53A9">
              <w:rPr>
                <w:rFonts w:cs="Calibri"/>
                <w:lang w:val="cs-CZ" w:eastAsia="cs-CZ"/>
              </w:rPr>
              <w:t>2,34</w:t>
            </w:r>
          </w:p>
        </w:tc>
      </w:tr>
      <w:tr w:rsidR="00F34500" w:rsidRPr="008B53A9">
        <w:tc>
          <w:tcPr>
            <w:tcW w:w="567" w:type="pct"/>
            <w:shd w:val="clear" w:color="auto" w:fill="auto"/>
            <w:vAlign w:val="center"/>
          </w:tcPr>
          <w:p w:rsidR="00F34500" w:rsidRPr="008B53A9" w:rsidRDefault="00DA6FAB" w:rsidP="00F34500">
            <w:pPr>
              <w:pStyle w:val="Tabulka"/>
              <w:jc w:val="left"/>
              <w:rPr>
                <w:rFonts w:cs="Calibri"/>
                <w:lang w:val="cs-CZ" w:eastAsia="cs-CZ"/>
              </w:rPr>
            </w:pPr>
            <w:r w:rsidRPr="008B53A9">
              <w:rPr>
                <w:rFonts w:cs="Calibri"/>
                <w:lang w:val="cs-CZ" w:eastAsia="cs-CZ"/>
              </w:rPr>
              <w:t>Prioritní osa 3</w:t>
            </w:r>
          </w:p>
        </w:tc>
        <w:tc>
          <w:tcPr>
            <w:tcW w:w="2983" w:type="pct"/>
            <w:shd w:val="clear" w:color="auto" w:fill="auto"/>
            <w:vAlign w:val="center"/>
          </w:tcPr>
          <w:p w:rsidR="00F34500" w:rsidRPr="008B53A9" w:rsidRDefault="00922780" w:rsidP="00165558">
            <w:pPr>
              <w:pStyle w:val="Tabulka"/>
              <w:jc w:val="right"/>
              <w:rPr>
                <w:rFonts w:cs="Calibri"/>
                <w:lang w:val="cs-CZ" w:eastAsia="cs-CZ"/>
              </w:rPr>
            </w:pPr>
            <w:r w:rsidRPr="008B53A9">
              <w:rPr>
                <w:rFonts w:cs="Calibri"/>
                <w:lang w:val="cs-CZ" w:eastAsia="cs-CZ"/>
              </w:rPr>
              <w:t>921 919 607</w:t>
            </w:r>
          </w:p>
        </w:tc>
        <w:tc>
          <w:tcPr>
            <w:tcW w:w="1450" w:type="pct"/>
            <w:shd w:val="clear" w:color="auto" w:fill="auto"/>
            <w:vAlign w:val="center"/>
          </w:tcPr>
          <w:p w:rsidR="00F34500" w:rsidRPr="008B53A9" w:rsidRDefault="001C1209" w:rsidP="00165558">
            <w:pPr>
              <w:pStyle w:val="Tabulka"/>
              <w:jc w:val="right"/>
              <w:rPr>
                <w:rFonts w:cs="Calibri"/>
                <w:lang w:val="cs-CZ" w:eastAsia="cs-CZ"/>
              </w:rPr>
            </w:pPr>
            <w:r w:rsidRPr="008B53A9">
              <w:rPr>
                <w:rFonts w:cs="Calibri"/>
                <w:lang w:val="cs-CZ" w:eastAsia="cs-CZ"/>
              </w:rPr>
              <w:t>21,</w:t>
            </w:r>
            <w:r w:rsidR="00922780" w:rsidRPr="008B53A9">
              <w:rPr>
                <w:rFonts w:cs="Calibri"/>
                <w:lang w:val="cs-CZ" w:eastAsia="cs-CZ"/>
              </w:rPr>
              <w:t>36</w:t>
            </w:r>
          </w:p>
        </w:tc>
      </w:tr>
      <w:tr w:rsidR="0071595D" w:rsidRPr="008B53A9">
        <w:tc>
          <w:tcPr>
            <w:tcW w:w="567" w:type="pct"/>
            <w:shd w:val="clear" w:color="auto" w:fill="DBE5F1"/>
            <w:vAlign w:val="center"/>
          </w:tcPr>
          <w:p w:rsidR="0071595D" w:rsidRPr="008B53A9" w:rsidRDefault="0071595D" w:rsidP="00F34500">
            <w:pPr>
              <w:pStyle w:val="Tabulka"/>
              <w:jc w:val="left"/>
              <w:rPr>
                <w:rFonts w:cs="Calibri"/>
                <w:lang w:val="cs-CZ" w:eastAsia="cs-CZ"/>
              </w:rPr>
            </w:pPr>
            <w:r w:rsidRPr="008B53A9">
              <w:rPr>
                <w:rFonts w:cs="Calibri"/>
                <w:lang w:val="cs-CZ" w:eastAsia="cs-CZ"/>
              </w:rPr>
              <w:t>Celkem</w:t>
            </w:r>
          </w:p>
        </w:tc>
        <w:tc>
          <w:tcPr>
            <w:tcW w:w="2983" w:type="pct"/>
            <w:shd w:val="clear" w:color="auto" w:fill="DBE5F1"/>
            <w:vAlign w:val="center"/>
          </w:tcPr>
          <w:p w:rsidR="0071595D" w:rsidRPr="008B53A9" w:rsidRDefault="00922780" w:rsidP="00165558">
            <w:pPr>
              <w:pStyle w:val="Tabulka"/>
              <w:jc w:val="right"/>
              <w:rPr>
                <w:rFonts w:cs="Calibri"/>
                <w:lang w:val="cs-CZ" w:eastAsia="cs-CZ"/>
              </w:rPr>
            </w:pPr>
            <w:r w:rsidRPr="008B53A9">
              <w:rPr>
                <w:rFonts w:cs="Calibri"/>
                <w:lang w:val="cs-CZ" w:eastAsia="cs-CZ"/>
              </w:rPr>
              <w:t>1 023 041 717</w:t>
            </w:r>
          </w:p>
        </w:tc>
        <w:tc>
          <w:tcPr>
            <w:tcW w:w="1450" w:type="pct"/>
            <w:shd w:val="clear" w:color="auto" w:fill="DBE5F1"/>
            <w:vAlign w:val="center"/>
          </w:tcPr>
          <w:p w:rsidR="0071595D" w:rsidRPr="008B53A9" w:rsidRDefault="001C1209" w:rsidP="00165558">
            <w:pPr>
              <w:pStyle w:val="Tabulka"/>
              <w:jc w:val="right"/>
              <w:rPr>
                <w:rFonts w:cs="Calibri"/>
                <w:lang w:val="cs-CZ" w:eastAsia="cs-CZ"/>
              </w:rPr>
            </w:pPr>
            <w:r w:rsidRPr="008B53A9">
              <w:rPr>
                <w:rFonts w:cs="Calibri"/>
                <w:lang w:val="cs-CZ" w:eastAsia="cs-CZ"/>
              </w:rPr>
              <w:t>2</w:t>
            </w:r>
            <w:r w:rsidR="00922780" w:rsidRPr="008B53A9">
              <w:rPr>
                <w:rFonts w:cs="Calibri"/>
                <w:lang w:val="cs-CZ" w:eastAsia="cs-CZ"/>
              </w:rPr>
              <w:t>3,70</w:t>
            </w:r>
          </w:p>
        </w:tc>
      </w:tr>
    </w:tbl>
    <w:p w:rsidR="0071595D" w:rsidRPr="008B53A9" w:rsidRDefault="0071595D" w:rsidP="0071595D">
      <w:pPr>
        <w:spacing w:after="200" w:line="276" w:lineRule="auto"/>
        <w:rPr>
          <w:rFonts w:ascii="Calibri" w:hAnsi="Calibri" w:cs="Calibri"/>
          <w:sz w:val="24"/>
          <w:szCs w:val="24"/>
        </w:rPr>
      </w:pPr>
    </w:p>
    <w:p w:rsidR="00157951" w:rsidRPr="008B53A9" w:rsidRDefault="00157951" w:rsidP="0071595D">
      <w:pPr>
        <w:spacing w:after="200" w:line="276" w:lineRule="auto"/>
        <w:rPr>
          <w:rFonts w:ascii="Calibri" w:hAnsi="Calibri" w:cs="Calibri"/>
          <w:sz w:val="24"/>
          <w:szCs w:val="24"/>
        </w:rPr>
        <w:sectPr w:rsidR="00157951" w:rsidRPr="008B53A9" w:rsidSect="00157951">
          <w:headerReference w:type="default" r:id="rId40"/>
          <w:footerReference w:type="default" r:id="rId41"/>
          <w:headerReference w:type="first" r:id="rId42"/>
          <w:footerReference w:type="first" r:id="rId43"/>
          <w:pgSz w:w="16838" w:h="11906" w:orient="landscape"/>
          <w:pgMar w:top="1418" w:right="1418" w:bottom="1276" w:left="1276" w:header="709" w:footer="709" w:gutter="0"/>
          <w:cols w:space="708"/>
          <w:titlePg/>
          <w:docGrid w:linePitch="272"/>
        </w:sectPr>
      </w:pPr>
    </w:p>
    <w:p w:rsidR="009E6172" w:rsidRPr="008B53A9" w:rsidRDefault="00833413" w:rsidP="00833413">
      <w:pPr>
        <w:pStyle w:val="Nadpis1"/>
      </w:pPr>
      <w:bookmarkStart w:id="113" w:name="_Toc351464424"/>
      <w:bookmarkStart w:id="114" w:name="_Toc391539675"/>
      <w:r w:rsidRPr="008B53A9">
        <w:lastRenderedPageBreak/>
        <w:t>Integrovaný přístup k územnímu rozvoji</w:t>
      </w:r>
      <w:bookmarkEnd w:id="113"/>
      <w:bookmarkEnd w:id="114"/>
    </w:p>
    <w:p w:rsidR="00B512F1" w:rsidRPr="008B53A9" w:rsidRDefault="00B512F1" w:rsidP="00B512F1">
      <w:pPr>
        <w:pStyle w:val="Standardntext"/>
      </w:pPr>
      <w:r w:rsidRPr="008B53A9">
        <w:t xml:space="preserve">Východiskem pro zaměření územní dimenze a integrovaných přístupů v </w:t>
      </w:r>
      <w:r w:rsidR="00BD7D9C" w:rsidRPr="008B53A9">
        <w:t xml:space="preserve">operačním </w:t>
      </w:r>
      <w:r w:rsidRPr="008B53A9">
        <w:t xml:space="preserve">programu je </w:t>
      </w:r>
      <w:r w:rsidR="00AB4CD8" w:rsidRPr="008B53A9">
        <w:t xml:space="preserve">vedle Dohody o partnerství </w:t>
      </w:r>
      <w:r w:rsidR="00BD7D9C" w:rsidRPr="008B53A9">
        <w:t xml:space="preserve">ČR </w:t>
      </w:r>
      <w:r w:rsidRPr="008B53A9">
        <w:rPr>
          <w:b/>
        </w:rPr>
        <w:t xml:space="preserve">Národní dokument k územní dimenzi </w:t>
      </w:r>
      <w:r w:rsidRPr="008B53A9">
        <w:t>(dále také „NDÚD“)</w:t>
      </w:r>
      <w:r w:rsidR="000702FD" w:rsidRPr="008B53A9">
        <w:rPr>
          <w:rStyle w:val="Znakapoznpodarou"/>
        </w:rPr>
        <w:footnoteReference w:id="82"/>
      </w:r>
      <w:r w:rsidRPr="008B53A9">
        <w:t>. Tento strategický dokument rozčleňuje území Č</w:t>
      </w:r>
      <w:r w:rsidR="00BD7D9C" w:rsidRPr="008B53A9">
        <w:t xml:space="preserve">eské republiky </w:t>
      </w:r>
      <w:r w:rsidRPr="008B53A9">
        <w:t>do několika kategorií, přičemž pro OP PIK jsou relevantní následující tři typy území či funkčních celků. V souladu s NDÚD jsou pro tyto typy území relevantní následující specifické cíle OP PIK</w:t>
      </w:r>
      <w:r w:rsidR="00720FC6" w:rsidRPr="008B53A9">
        <w:rPr>
          <w:rStyle w:val="Znakapoznpodarou"/>
        </w:rPr>
        <w:footnoteReference w:id="83"/>
      </w:r>
      <w:r w:rsidRPr="008B53A9">
        <w:t>, a proto je v nich vhodné využít silnou intenzitu podpory:</w:t>
      </w:r>
    </w:p>
    <w:p w:rsidR="00B512F1" w:rsidRPr="008B53A9" w:rsidRDefault="00B512F1" w:rsidP="005D178C">
      <w:pPr>
        <w:pStyle w:val="Standardntext"/>
        <w:numPr>
          <w:ilvl w:val="0"/>
          <w:numId w:val="92"/>
        </w:numPr>
        <w:rPr>
          <w:b/>
        </w:rPr>
      </w:pPr>
      <w:r w:rsidRPr="008B53A9">
        <w:rPr>
          <w:b/>
        </w:rPr>
        <w:t>Hospodářsky problémová území a území s vysokou mírou nezaměstnaností</w:t>
      </w:r>
    </w:p>
    <w:p w:rsidR="00B512F1" w:rsidRPr="008B53A9" w:rsidRDefault="00B512F1" w:rsidP="00B512F1">
      <w:pPr>
        <w:pStyle w:val="Standardntext"/>
        <w:ind w:left="720"/>
      </w:pPr>
      <w:r w:rsidRPr="008B53A9">
        <w:t>Jde o hospodářsky problémové regiony dle usnesení vlády ČR ze dne 15. května 2013 č. 344, regiony dle usnesení vlády ČR ze dne 11. prosince 2013 č. 952 (Moravskoslezský a Ústecký kraj) a dále regiony s vyšší mírou nezaměstnanosti, které jsou definovány v souladu s metodikou pro výběr regionů s vyšší nezaměstnaností</w:t>
      </w:r>
      <w:r w:rsidRPr="008B53A9">
        <w:rPr>
          <w:rStyle w:val="Znakapoznpodarou"/>
        </w:rPr>
        <w:footnoteReference w:id="84"/>
      </w:r>
      <w:r w:rsidRPr="008B53A9">
        <w:t>.</w:t>
      </w:r>
    </w:p>
    <w:p w:rsidR="004D4838" w:rsidRPr="008B53A9" w:rsidRDefault="0049262D" w:rsidP="004D4838">
      <w:pPr>
        <w:pStyle w:val="Standardntext"/>
        <w:ind w:left="708"/>
        <w:rPr>
          <w:lang w:val="cs-CZ"/>
        </w:rPr>
      </w:pPr>
      <w:r w:rsidRPr="008B53A9">
        <w:t>V úzké součinnosti se zmocněncem vlády pro řešení problémů spojených s revitalizací Moravskoslezského a Ústeckého kraje bude specifická podpora zaměřena na tyto dva kraje</w:t>
      </w:r>
      <w:r w:rsidRPr="008B53A9">
        <w:rPr>
          <w:b/>
        </w:rPr>
        <w:t xml:space="preserve">, </w:t>
      </w:r>
      <w:r w:rsidRPr="008B53A9">
        <w:t>které nejvíce ze všech krajů ČR čelí dlouhodobě selektivní migraci, nadprůměrné míře nezaměstnanosti a nízké míře podnikavosti</w:t>
      </w:r>
      <w:r w:rsidRPr="008B53A9">
        <w:rPr>
          <w:lang w:val="cs-CZ"/>
        </w:rPr>
        <w:t>.</w:t>
      </w:r>
      <w:r w:rsidR="004D4838" w:rsidRPr="008B53A9">
        <w:t xml:space="preserve"> </w:t>
      </w:r>
      <w:r w:rsidRPr="008B53A9">
        <w:t xml:space="preserve">Moravskoslezský kraj </w:t>
      </w:r>
      <w:r w:rsidR="004D4838" w:rsidRPr="008B53A9">
        <w:t xml:space="preserve">vykazuje nejhorší postavení z hlediska podílu MSP na celkové zaměstnanosti v ČR. </w:t>
      </w:r>
      <w:r w:rsidRPr="008B53A9">
        <w:t xml:space="preserve">Ústecký kraj </w:t>
      </w:r>
      <w:r w:rsidR="004D4838" w:rsidRPr="008B53A9">
        <w:t xml:space="preserve">dlouhodobě řeší dramatickou stagnaci aplikovaného průmyslového výzkumu a vývoje jako zdroje inovačních impulsů pro rozvoj malého a středního podnikání a nízké míře </w:t>
      </w:r>
      <w:r w:rsidRPr="008B53A9">
        <w:t xml:space="preserve">využití bývalých průmyslových </w:t>
      </w:r>
      <w:r w:rsidR="004D4838" w:rsidRPr="008B53A9">
        <w:t xml:space="preserve">areálů. Pokud jde o vlastní podporu MSP a vstupu lidí do podnikání je potřebnost podpory i absorpční kapacita mezi regiony v podstatě rovnoměrně rozložená, nicméně potřebu specifické pozornosti vykazují zejména hospodářsky problémové regiony. </w:t>
      </w:r>
    </w:p>
    <w:p w:rsidR="00B512F1" w:rsidRPr="008B53A9" w:rsidRDefault="00181683" w:rsidP="00B512F1">
      <w:pPr>
        <w:pStyle w:val="Standardntext"/>
        <w:ind w:left="720"/>
      </w:pPr>
      <w:r w:rsidRPr="008B53A9">
        <w:t>T</w:t>
      </w:r>
      <w:r w:rsidR="00B512F1" w:rsidRPr="008B53A9">
        <w:t>ýká se</w:t>
      </w:r>
      <w:r w:rsidR="00AD3767" w:rsidRPr="008B53A9">
        <w:t xml:space="preserve"> zejména</w:t>
      </w:r>
      <w:r w:rsidR="00B512F1" w:rsidRPr="008B53A9">
        <w:t xml:space="preserve"> specifického cíle 2.1</w:t>
      </w:r>
      <w:r w:rsidR="00BD7D9C" w:rsidRPr="008B53A9">
        <w:t xml:space="preserve"> programu</w:t>
      </w:r>
      <w:r w:rsidR="00B512F1" w:rsidRPr="008B53A9">
        <w:t>.</w:t>
      </w:r>
    </w:p>
    <w:p w:rsidR="00B512F1" w:rsidRPr="008B53A9" w:rsidRDefault="00B512F1" w:rsidP="005D178C">
      <w:pPr>
        <w:pStyle w:val="Standardntext"/>
        <w:numPr>
          <w:ilvl w:val="0"/>
          <w:numId w:val="92"/>
        </w:numPr>
        <w:rPr>
          <w:b/>
        </w:rPr>
      </w:pPr>
      <w:r w:rsidRPr="008B53A9">
        <w:rPr>
          <w:b/>
        </w:rPr>
        <w:t>Rozvojová a urbánní území</w:t>
      </w:r>
    </w:p>
    <w:p w:rsidR="00B512F1" w:rsidRPr="008B53A9" w:rsidRDefault="00B512F1" w:rsidP="00B512F1">
      <w:pPr>
        <w:pStyle w:val="Standardntext"/>
        <w:ind w:left="720"/>
      </w:pPr>
      <w:r w:rsidRPr="008B53A9">
        <w:t>Jde o rozvojová území dle typologie Strategie regionálního rozvoje ČR 2014-2020 a urbánní území, v nichž bude uplatněn integrovaný nástroj</w:t>
      </w:r>
      <w:r w:rsidR="00BD7D9C" w:rsidRPr="008B53A9">
        <w:t xml:space="preserve"> (v případě OP PIK půjde o ITI)</w:t>
      </w:r>
      <w:r w:rsidRPr="008B53A9">
        <w:t>.</w:t>
      </w:r>
    </w:p>
    <w:p w:rsidR="00B512F1" w:rsidRPr="008B53A9" w:rsidRDefault="00C26FF4" w:rsidP="00B512F1">
      <w:pPr>
        <w:pStyle w:val="Standardntext"/>
        <w:ind w:left="720"/>
      </w:pPr>
      <w:r w:rsidRPr="008B53A9">
        <w:t xml:space="preserve">V případě rozvojových území se </w:t>
      </w:r>
      <w:r w:rsidR="00181683" w:rsidRPr="008B53A9">
        <w:t xml:space="preserve">intervence OP PIK </w:t>
      </w:r>
      <w:r w:rsidR="00B512F1" w:rsidRPr="008B53A9">
        <w:t>týk</w:t>
      </w:r>
      <w:r w:rsidR="00181683" w:rsidRPr="008B53A9">
        <w:t xml:space="preserve">ají </w:t>
      </w:r>
      <w:r w:rsidR="00B512F1" w:rsidRPr="008B53A9">
        <w:t>specifických cílů 1.1, 1.2 a 4.2. V případě urbánních území se týk</w:t>
      </w:r>
      <w:r w:rsidR="00181683" w:rsidRPr="008B53A9">
        <w:t>ají s</w:t>
      </w:r>
      <w:r w:rsidR="00B512F1" w:rsidRPr="008B53A9">
        <w:t>pecifických cílů 1.1, 1.2, 2.1, 2.3, 2.4 a 3.5.</w:t>
      </w:r>
    </w:p>
    <w:p w:rsidR="00B512F1" w:rsidRPr="008B53A9" w:rsidRDefault="00B512F1" w:rsidP="005D178C">
      <w:pPr>
        <w:pStyle w:val="Standardntext"/>
        <w:numPr>
          <w:ilvl w:val="0"/>
          <w:numId w:val="92"/>
        </w:numPr>
        <w:rPr>
          <w:b/>
        </w:rPr>
      </w:pPr>
      <w:r w:rsidRPr="008B53A9">
        <w:rPr>
          <w:b/>
        </w:rPr>
        <w:t>Ostatní území</w:t>
      </w:r>
    </w:p>
    <w:p w:rsidR="00B512F1" w:rsidRPr="008B53A9" w:rsidRDefault="00B512F1" w:rsidP="00B512F1">
      <w:pPr>
        <w:pStyle w:val="Standardntext"/>
        <w:ind w:left="720"/>
      </w:pPr>
      <w:r w:rsidRPr="008B53A9">
        <w:t>Jde o cílové území specifického cíle 4.1 (viz oddíl 2.A.6.1 tohoto specifického cíle).</w:t>
      </w:r>
    </w:p>
    <w:p w:rsidR="00D77FD9" w:rsidRPr="008B53A9" w:rsidRDefault="00D77FD9" w:rsidP="00D77FD9">
      <w:pPr>
        <w:pStyle w:val="Standardntext"/>
        <w:rPr>
          <w:lang w:val="cs-CZ"/>
        </w:rPr>
      </w:pPr>
      <w:r w:rsidRPr="008B53A9">
        <w:lastRenderedPageBreak/>
        <w:t>Nad rámec NDÚD budou dále v případě zapojení Místních akčních skupin (dále také „MAS“</w:t>
      </w:r>
      <w:r w:rsidR="00BD7D9C" w:rsidRPr="008B53A9">
        <w:t>, viz kapitola 4.1</w:t>
      </w:r>
      <w:r w:rsidRPr="008B53A9">
        <w:t xml:space="preserve">) </w:t>
      </w:r>
      <w:r w:rsidR="00502079" w:rsidRPr="008B53A9">
        <w:t xml:space="preserve">ve specifickém cíli 2.1 </w:t>
      </w:r>
      <w:r w:rsidRPr="008B53A9">
        <w:t xml:space="preserve">zohledněny </w:t>
      </w:r>
      <w:r w:rsidRPr="008B53A9">
        <w:rPr>
          <w:b/>
        </w:rPr>
        <w:t>subregionální/venkovské oblasti</w:t>
      </w:r>
      <w:r w:rsidRPr="008B53A9">
        <w:t xml:space="preserve">. Tyto oblasti </w:t>
      </w:r>
      <w:r w:rsidR="0029278B" w:rsidRPr="008B53A9">
        <w:t>jsou směrem k OP PIK definovány jako oblasti, kde se nacházejí obce s hustotou osídlení pod 150 obyvatel/km</w:t>
      </w:r>
      <w:r w:rsidR="0029278B" w:rsidRPr="008B53A9">
        <w:rPr>
          <w:vertAlign w:val="superscript"/>
        </w:rPr>
        <w:t>2</w:t>
      </w:r>
      <w:r w:rsidR="0029278B" w:rsidRPr="008B53A9">
        <w:t xml:space="preserve"> (definice venkovské oblasti dle OECD a EUROSTATu), resp.kde žije maximálně 3000 obyvatel (podmínka pro jmenování obce m</w:t>
      </w:r>
      <w:r w:rsidR="000702FD" w:rsidRPr="008B53A9">
        <w:t>ěstem ve smyslu českého práva).</w:t>
      </w:r>
    </w:p>
    <w:p w:rsidR="00B512F1" w:rsidRPr="008B53A9" w:rsidRDefault="00B512F1" w:rsidP="00B512F1">
      <w:pPr>
        <w:pStyle w:val="Standardntext"/>
      </w:pPr>
      <w:r w:rsidRPr="008B53A9">
        <w:t xml:space="preserve">Takto identifikovaná územní dimenze u jednotlivých specifických cílů bude v OP PIK realizována </w:t>
      </w:r>
      <w:r w:rsidR="00757F45" w:rsidRPr="008B53A9">
        <w:t xml:space="preserve">v zásadě </w:t>
      </w:r>
      <w:r w:rsidR="00FD5A0E" w:rsidRPr="008B53A9">
        <w:t>následujícími</w:t>
      </w:r>
      <w:r w:rsidR="00757F45" w:rsidRPr="008B53A9">
        <w:t xml:space="preserve"> způsoby:</w:t>
      </w:r>
    </w:p>
    <w:p w:rsidR="00757F45" w:rsidRPr="008B53A9" w:rsidRDefault="00EA7638" w:rsidP="005D178C">
      <w:pPr>
        <w:pStyle w:val="Standardntext"/>
        <w:numPr>
          <w:ilvl w:val="0"/>
          <w:numId w:val="93"/>
        </w:numPr>
      </w:pPr>
      <w:r w:rsidRPr="008B53A9">
        <w:t>u</w:t>
      </w:r>
      <w:r w:rsidR="00710D23" w:rsidRPr="008B53A9">
        <w:t>platnění</w:t>
      </w:r>
      <w:r w:rsidRPr="008B53A9">
        <w:t>m</w:t>
      </w:r>
      <w:r w:rsidR="00710D23" w:rsidRPr="008B53A9">
        <w:t xml:space="preserve"> bonifikace projektů v hospodářsky problémových územích a územích s vysokou mírou nezaměstnaností</w:t>
      </w:r>
      <w:r w:rsidRPr="008B53A9">
        <w:t>,</w:t>
      </w:r>
    </w:p>
    <w:p w:rsidR="00C84BCC" w:rsidRPr="008B53A9" w:rsidRDefault="00C84BCC" w:rsidP="005D178C">
      <w:pPr>
        <w:pStyle w:val="Standardntext"/>
        <w:numPr>
          <w:ilvl w:val="0"/>
          <w:numId w:val="93"/>
        </w:numPr>
      </w:pPr>
      <w:r w:rsidRPr="008B53A9">
        <w:t>uplatněním bonifikace projektů předložených mikropodniky</w:t>
      </w:r>
      <w:r w:rsidR="00712D4B" w:rsidRPr="008B53A9">
        <w:t>, které ke své žádosti o podporu doloží soulad s příslušnou strategií komunitně vedeného místního rozvoje či jinou integrovanou či další relevantní strategií zaměřenou na další rozvoj malého a středního podnikání</w:t>
      </w:r>
      <w:r w:rsidRPr="008B53A9">
        <w:t>,</w:t>
      </w:r>
    </w:p>
    <w:p w:rsidR="00CC53A0" w:rsidRPr="008B53A9" w:rsidRDefault="00CC53A0" w:rsidP="005D178C">
      <w:pPr>
        <w:pStyle w:val="Standardntext"/>
        <w:numPr>
          <w:ilvl w:val="0"/>
          <w:numId w:val="93"/>
        </w:numPr>
      </w:pPr>
      <w:r w:rsidRPr="008B53A9">
        <w:t>vyhlášením specifick</w:t>
      </w:r>
      <w:r w:rsidR="00FD5A0E" w:rsidRPr="008B53A9">
        <w:t>é</w:t>
      </w:r>
      <w:r w:rsidRPr="008B53A9">
        <w:t xml:space="preserve"> výz</w:t>
      </w:r>
      <w:r w:rsidR="00FD5A0E" w:rsidRPr="008B53A9">
        <w:t>vy</w:t>
      </w:r>
      <w:r w:rsidRPr="008B53A9">
        <w:t xml:space="preserve"> jen pro mikropodnik</w:t>
      </w:r>
      <w:r w:rsidR="00C84BCC" w:rsidRPr="008B53A9">
        <w:t>y</w:t>
      </w:r>
      <w:r w:rsidRPr="008B53A9">
        <w:t xml:space="preserve"> ze subr</w:t>
      </w:r>
      <w:r w:rsidR="00FD5A0E" w:rsidRPr="008B53A9">
        <w:t>egionálních/venkovských oblastí</w:t>
      </w:r>
      <w:r w:rsidR="00C84BCC" w:rsidRPr="008B53A9">
        <w:rPr>
          <w:rStyle w:val="Znakapoznpodarou"/>
        </w:rPr>
        <w:footnoteReference w:id="85"/>
      </w:r>
      <w:r w:rsidR="00FD5A0E" w:rsidRPr="008B53A9">
        <w:t>,</w:t>
      </w:r>
    </w:p>
    <w:p w:rsidR="00710D23" w:rsidRPr="008B53A9" w:rsidRDefault="00EA7638" w:rsidP="005D178C">
      <w:pPr>
        <w:pStyle w:val="Standardntext"/>
        <w:numPr>
          <w:ilvl w:val="0"/>
          <w:numId w:val="93"/>
        </w:numPr>
      </w:pPr>
      <w:r w:rsidRPr="008B53A9">
        <w:t>integrovanými nástroji, konkrétně integrovanými územními investicemi</w:t>
      </w:r>
      <w:r w:rsidR="00BD7D9C" w:rsidRPr="008B53A9">
        <w:t xml:space="preserve"> (ITI)</w:t>
      </w:r>
      <w:r w:rsidRPr="008B53A9">
        <w:t>.</w:t>
      </w:r>
    </w:p>
    <w:p w:rsidR="00AA5B29" w:rsidRPr="008B53A9" w:rsidRDefault="00833413" w:rsidP="00833413">
      <w:pPr>
        <w:pStyle w:val="Nadpis2"/>
        <w:rPr>
          <w:rFonts w:cs="Calibri"/>
        </w:rPr>
      </w:pPr>
      <w:bookmarkStart w:id="115" w:name="_Toc391539676"/>
      <w:r w:rsidRPr="008B53A9">
        <w:rPr>
          <w:rFonts w:cs="Calibri"/>
        </w:rPr>
        <w:t>Nástroje k zajištění komunitně vedeného místního rozvoje (použije-li se)</w:t>
      </w:r>
      <w:bookmarkEnd w:id="115"/>
    </w:p>
    <w:p w:rsidR="007E152B" w:rsidRPr="008B53A9" w:rsidRDefault="007E152B" w:rsidP="00AC4A31">
      <w:pPr>
        <w:pStyle w:val="Standardntext"/>
      </w:pPr>
      <w:r w:rsidRPr="008B53A9">
        <w:t xml:space="preserve">Vzhledem k charakteru OP </w:t>
      </w:r>
      <w:r w:rsidR="003767D9" w:rsidRPr="008B53A9">
        <w:t>PIK</w:t>
      </w:r>
      <w:r w:rsidRPr="008B53A9">
        <w:t xml:space="preserve"> nepředpokládá </w:t>
      </w:r>
      <w:r w:rsidR="00153F2D" w:rsidRPr="008B53A9">
        <w:t>Ř</w:t>
      </w:r>
      <w:r w:rsidRPr="008B53A9">
        <w:t xml:space="preserve">ídící orgán </w:t>
      </w:r>
      <w:r w:rsidR="003767D9" w:rsidRPr="008B53A9">
        <w:t xml:space="preserve">Operačního </w:t>
      </w:r>
      <w:r w:rsidRPr="008B53A9">
        <w:t>programu přímé využití integrovaného nástroje CLLD</w:t>
      </w:r>
      <w:r w:rsidR="003A7558" w:rsidRPr="008B53A9">
        <w:t xml:space="preserve"> ve smyslu čl. 32 obecného nařízení</w:t>
      </w:r>
      <w:r w:rsidRPr="008B53A9">
        <w:t xml:space="preserve">. Nicméně zapojení </w:t>
      </w:r>
      <w:r w:rsidR="00D77FD9" w:rsidRPr="008B53A9">
        <w:t>MAS</w:t>
      </w:r>
      <w:r w:rsidRPr="008B53A9">
        <w:t xml:space="preserve"> do implementace </w:t>
      </w:r>
      <w:r w:rsidR="003A7558" w:rsidRPr="008B53A9">
        <w:t>OP PIK</w:t>
      </w:r>
      <w:r w:rsidRPr="008B53A9">
        <w:t xml:space="preserve"> se předpokládá s ohledem na jejich roli jako vhodných a relevantních subjektů napomáhajících zvyšování absorpční kapacity v území a zajištění monitoringu problémů a potenciálu daného území, jako subjektů se znalostí problematiky území a místních aktérů, potenciálních žadatelů a příjemců podpory z operačního programu.  </w:t>
      </w:r>
    </w:p>
    <w:p w:rsidR="004A73A4" w:rsidRPr="008B53A9" w:rsidRDefault="004A73A4" w:rsidP="00AC4A31">
      <w:pPr>
        <w:pStyle w:val="Standardntext"/>
      </w:pPr>
      <w:r w:rsidRPr="008B53A9">
        <w:t>Vzhledem k potřebě zajistit dostatečnou podporu mikropodniků</w:t>
      </w:r>
      <w:r w:rsidR="00D77FD9" w:rsidRPr="008B53A9">
        <w:rPr>
          <w:rStyle w:val="Znakapoznpodarou"/>
        </w:rPr>
        <w:footnoteReference w:id="86"/>
      </w:r>
      <w:r w:rsidRPr="008B53A9">
        <w:t xml:space="preserve"> v subregionálních/venkovských oblastech se Řídící orgán Operačního programu dohodl s Národní sítí Místních akčních skupin České republiky, o.s. (dále jen „NS MAS“) na uzavření společného memoranda.</w:t>
      </w:r>
      <w:r w:rsidR="00BE3443" w:rsidRPr="008B53A9">
        <w:t xml:space="preserve"> V něm </w:t>
      </w:r>
      <w:r w:rsidR="0031799A" w:rsidRPr="008B53A9">
        <w:t xml:space="preserve">ŘO OP PIK a NS MAS </w:t>
      </w:r>
      <w:r w:rsidR="00BE3443" w:rsidRPr="008B53A9">
        <w:t xml:space="preserve">vyjadřují potřebu vytvořit pro mikropodniky ve subregionálních/venkovských oblastech podmínky pro co nejjednodušší přístup k dotacím z OP PIK, při současném zajištění maximální pomoci při vyhledávání a přípravě vhodných projektů ze strany MAS znalých místních podmínek a zajišťujících vazby na schválené integrované strategie komunitně vedeného místního rozvoje, při přísném oddělení těchto kooperačních činností od procesu hodnocení projektů a rozhodování o dotacích ze strany Řídícího orgánu OP PIK. Cílem není vytvářet umělé výhodnější podmínky pro úspěšnost projektů mikropodniků z těchto subregionálních/venkovských oblastí ve vztahu k obdobným projektům mikropodniků z oblastí mimo dosah MAS. Naopak je cílem </w:t>
      </w:r>
      <w:r w:rsidR="00704997" w:rsidRPr="008B53A9">
        <w:t xml:space="preserve">zařadit </w:t>
      </w:r>
      <w:r w:rsidR="00BE3443" w:rsidRPr="008B53A9">
        <w:t xml:space="preserve">mikropodniky ze </w:t>
      </w:r>
      <w:r w:rsidR="00BE3443" w:rsidRPr="008B53A9">
        <w:lastRenderedPageBreak/>
        <w:t xml:space="preserve">subregionálních/venkovských oblastí </w:t>
      </w:r>
      <w:r w:rsidR="0031799A" w:rsidRPr="008B53A9">
        <w:t xml:space="preserve">jako příjemce </w:t>
      </w:r>
      <w:r w:rsidR="00BE3443" w:rsidRPr="008B53A9">
        <w:t>do samostatně sledované části specifického cíle 2.1</w:t>
      </w:r>
      <w:r w:rsidR="0031799A" w:rsidRPr="008B53A9">
        <w:t xml:space="preserve"> prioritní osy 2 operačního programu, </w:t>
      </w:r>
      <w:r w:rsidR="00BE3443" w:rsidRPr="008B53A9">
        <w:t>resp. příslušného programu podpory</w:t>
      </w:r>
      <w:r w:rsidR="0031799A" w:rsidRPr="008B53A9">
        <w:t xml:space="preserve"> připraveného v rámci této prioritní osy a </w:t>
      </w:r>
      <w:r w:rsidR="00BE3443" w:rsidRPr="008B53A9">
        <w:t xml:space="preserve">zaměřeného na mikropodniky – tedy venkovské mikropodniky, při garantování předem vyčleněné alokace výhradně pro </w:t>
      </w:r>
      <w:r w:rsidR="00704997" w:rsidRPr="008B53A9">
        <w:t xml:space="preserve">takto určené příjemce. </w:t>
      </w:r>
    </w:p>
    <w:p w:rsidR="004A73A4" w:rsidRPr="008B53A9" w:rsidRDefault="00FD5A0E" w:rsidP="00AC4A31">
      <w:pPr>
        <w:pStyle w:val="Standardntext"/>
      </w:pPr>
      <w:r w:rsidRPr="008B53A9">
        <w:t>Řídící orgán OP PIK přizve k přípravě takovéhoto speciálního programu podpory mikropodniků zástupce NS MAS a jeho naplňování bude sledovat a pravidelně vyhodnocovat při jednáních Monitorovacího výboru OP PIK (při naplňování principu partnerství), přičemž zástupce NS MAS bude mít zaručeno členství v tomto monitorovacího výboru. V případě potřeby řídící orgán OP PIK uspořádá ve spolupráci s NS MAS speciální seminář pro zástupce jednotlivých MAS, zaměřený na vysvětlení podmínek takovéhoto programu podpory pro mikropodniky a způsob výběru projektů a zapojení MAS do kooperačních činností.</w:t>
      </w:r>
    </w:p>
    <w:p w:rsidR="00FD5A0E" w:rsidRPr="008B53A9" w:rsidRDefault="00FD5A0E" w:rsidP="00AC4A31">
      <w:pPr>
        <w:pStyle w:val="Standardntext"/>
      </w:pPr>
      <w:r w:rsidRPr="008B53A9">
        <w:t>Jednotlivé MAS se budou moci zapojeny do kooperačních/animačních činností k danému programu podpory takto:</w:t>
      </w:r>
    </w:p>
    <w:p w:rsidR="00FD5A0E" w:rsidRPr="008B53A9" w:rsidRDefault="00FD5A0E" w:rsidP="005D178C">
      <w:pPr>
        <w:pStyle w:val="Standardntext"/>
        <w:numPr>
          <w:ilvl w:val="0"/>
          <w:numId w:val="94"/>
        </w:numPr>
      </w:pPr>
      <w:r w:rsidRPr="008B53A9">
        <w:t>budou napomáhat mikropodnikům v jejich územní působnosti při přípravě projektů v rámci výzvy vyhlášené řídícím orgánem OP PIK, zejména bude-li vyhlášená podpora mikropodnikům korespondovat s cíli příslušné místní strategie komunitně vedeného rozvoje;</w:t>
      </w:r>
    </w:p>
    <w:p w:rsidR="00FD5A0E" w:rsidRPr="008B53A9" w:rsidRDefault="00FD5A0E" w:rsidP="005D178C">
      <w:pPr>
        <w:pStyle w:val="Standardntext"/>
        <w:numPr>
          <w:ilvl w:val="0"/>
          <w:numId w:val="94"/>
        </w:numPr>
      </w:pPr>
      <w:r w:rsidRPr="008B53A9">
        <w:t>budou pomáhat příslušným mikropodnikům s přípravou žádosti o dotaci a jejím zanesením do příslušného informačního systému, s realizací projektů, s přípravou žádostí o proplacení a budou jim nápomocny také v období udržitelnosti projektů;</w:t>
      </w:r>
    </w:p>
    <w:p w:rsidR="00FD5A0E" w:rsidRPr="008B53A9" w:rsidRDefault="00FD5A0E" w:rsidP="005D178C">
      <w:pPr>
        <w:pStyle w:val="Standardntext"/>
        <w:numPr>
          <w:ilvl w:val="0"/>
          <w:numId w:val="94"/>
        </w:numPr>
      </w:pPr>
      <w:r w:rsidRPr="008B53A9">
        <w:t>v případě souladu projektu se strategií komunitně vedeného místního rozvoje doloženého potvrzením příslušné MAS, získá tento projekt v příslušné výzvě bonifikaci až 10 bodů, v každém případě 5 % z celkového bodového hodnocení. Stejným způsobem bude přistupováno k mikropodnikům, které ke své žádosti o podporu doloží soulad s jinou integrovanou či další relevantní strategií zaměřenou na další rozvoj malého a středního podnikání.</w:t>
      </w:r>
    </w:p>
    <w:p w:rsidR="00712D4B" w:rsidRPr="008B53A9" w:rsidRDefault="00712D4B" w:rsidP="00712D4B">
      <w:pPr>
        <w:pStyle w:val="Standardntext"/>
      </w:pPr>
      <w:r w:rsidRPr="008B53A9">
        <w:t xml:space="preserve">Výše popsaný systém zároveň nebrání tomu, aby se do vyhlášených výzev úspěšně zapojil i mikropodnik, který </w:t>
      </w:r>
      <w:r w:rsidR="00587A0C" w:rsidRPr="008B53A9">
        <w:t xml:space="preserve">sice </w:t>
      </w:r>
      <w:r w:rsidR="005C6502" w:rsidRPr="008B53A9">
        <w:t>nebude moci prokázat</w:t>
      </w:r>
      <w:r w:rsidRPr="008B53A9">
        <w:t xml:space="preserve"> podporou ze strany příslušné MAS, </w:t>
      </w:r>
      <w:r w:rsidR="00587A0C" w:rsidRPr="008B53A9">
        <w:t xml:space="preserve">nicméně </w:t>
      </w:r>
      <w:r w:rsidRPr="008B53A9">
        <w:t>splní podmínky stanovené výzvou řídícího orgánu OP PIK a bude vybrán k financování v rámci hodnotícího procesu řídícího orgánu OP PIK.</w:t>
      </w:r>
    </w:p>
    <w:p w:rsidR="00712D4B" w:rsidRPr="008B53A9" w:rsidRDefault="00712D4B" w:rsidP="00712D4B">
      <w:pPr>
        <w:pStyle w:val="Standardntext"/>
      </w:pPr>
      <w:r w:rsidRPr="008B53A9">
        <w:t xml:space="preserve">Systém zapojení MAS do kooperační/animační činnosti  OPPIK v případě mikropodniků z venkovských oblastí/subregionálních oblastí neznamená přímé promítnutí metody komunitně vedeného místního rozvoje (CLLD) do OP PIK. Znamená to využití MAS v OP PIK </w:t>
      </w:r>
      <w:r w:rsidR="00704997" w:rsidRPr="008B53A9">
        <w:t xml:space="preserve">k partnerské spolupráci </w:t>
      </w:r>
      <w:r w:rsidRPr="008B53A9">
        <w:t xml:space="preserve">ve vztahu k úkolům MAS obecně vymezeným v článku 34 odst. 3 písm. a) obecného nařízení (tzv. animační aktivity MAS). MAS se nebudou podílet na vlastní implementaci OP PIK ve smyslu článku 34 odst. 3 písm. b) – f) obecného nařízení. Příspěvek na animační činnost MAS ve vztahu k OP PIK bude hrazen způsobem stanoveným Ministerstvem pro místní rozvoj. </w:t>
      </w:r>
    </w:p>
    <w:p w:rsidR="002F6CB3" w:rsidRPr="008B53A9" w:rsidRDefault="00833413" w:rsidP="00833413">
      <w:pPr>
        <w:pStyle w:val="Nadpis2"/>
        <w:rPr>
          <w:rFonts w:cs="Calibri"/>
        </w:rPr>
      </w:pPr>
      <w:bookmarkStart w:id="116" w:name="_Toc391539677"/>
      <w:r w:rsidRPr="008B53A9">
        <w:rPr>
          <w:rFonts w:cs="Calibri"/>
        </w:rPr>
        <w:t>Integrovaná opatření pro udržitelný rozvoj měst (použije-li se)</w:t>
      </w:r>
      <w:bookmarkEnd w:id="116"/>
    </w:p>
    <w:p w:rsidR="007957E8" w:rsidRPr="008B53A9" w:rsidRDefault="00AA3134" w:rsidP="007957E8">
      <w:pPr>
        <w:pStyle w:val="Standardntext"/>
      </w:pPr>
      <w:r w:rsidRPr="008B53A9">
        <w:t>Integrovan</w:t>
      </w:r>
      <w:r w:rsidR="00D60C74" w:rsidRPr="008B53A9">
        <w:t>á opatření pro udržitelný rozvoj měst</w:t>
      </w:r>
      <w:r w:rsidRPr="008B53A9">
        <w:t xml:space="preserve"> se </w:t>
      </w:r>
      <w:r w:rsidR="00D60C74" w:rsidRPr="008B53A9">
        <w:t xml:space="preserve">v OP PIK </w:t>
      </w:r>
      <w:r w:rsidRPr="008B53A9">
        <w:t xml:space="preserve">realizují </w:t>
      </w:r>
      <w:r w:rsidR="00587A0C" w:rsidRPr="008B53A9">
        <w:t xml:space="preserve">výhradně </w:t>
      </w:r>
      <w:r w:rsidRPr="008B53A9">
        <w:t xml:space="preserve">prostřednictvím </w:t>
      </w:r>
      <w:r w:rsidRPr="008B53A9">
        <w:rPr>
          <w:b/>
        </w:rPr>
        <w:t xml:space="preserve">integrovaných </w:t>
      </w:r>
      <w:r w:rsidR="00D60C74" w:rsidRPr="008B53A9">
        <w:rPr>
          <w:b/>
        </w:rPr>
        <w:t>územních investic</w:t>
      </w:r>
      <w:r w:rsidR="00D60C74" w:rsidRPr="008B53A9">
        <w:t xml:space="preserve"> </w:t>
      </w:r>
      <w:r w:rsidR="007957E8" w:rsidRPr="008B53A9">
        <w:t>(viz oddíl 4.3).</w:t>
      </w:r>
    </w:p>
    <w:p w:rsidR="00263E78" w:rsidRPr="008B53A9" w:rsidRDefault="00D94782" w:rsidP="004E6DD3">
      <w:pPr>
        <w:pStyle w:val="Titulek"/>
        <w:keepNext/>
        <w:keepLines/>
      </w:pPr>
      <w:r w:rsidRPr="008B53A9">
        <w:lastRenderedPageBreak/>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20</w:t>
      </w:r>
      <w:r w:rsidR="00C3289B" w:rsidRPr="008B53A9">
        <w:rPr>
          <w:noProof/>
        </w:rPr>
        <w:fldChar w:fldCharType="end"/>
      </w:r>
      <w:r w:rsidR="009F444D" w:rsidRPr="008B53A9">
        <w:rPr>
          <w:noProof/>
        </w:rPr>
        <w:t>:</w:t>
      </w:r>
      <w:r w:rsidR="00263E78" w:rsidRPr="008B53A9">
        <w:t xml:space="preserve"> </w:t>
      </w:r>
      <w:r w:rsidR="00833413" w:rsidRPr="008B53A9">
        <w:t>Integrovaná opatření pro udržitelný rozvoj měst – orientační částky podpory z EFRR a ESF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292"/>
        <w:gridCol w:w="3585"/>
        <w:gridCol w:w="4449"/>
      </w:tblGrid>
      <w:tr w:rsidR="00263E78" w:rsidRPr="008B53A9">
        <w:trPr>
          <w:trHeight w:val="441"/>
        </w:trPr>
        <w:tc>
          <w:tcPr>
            <w:tcW w:w="0" w:type="auto"/>
            <w:vMerge w:val="restart"/>
            <w:shd w:val="clear" w:color="auto" w:fill="B8CCE4"/>
            <w:vAlign w:val="center"/>
          </w:tcPr>
          <w:p w:rsidR="00263E78" w:rsidRPr="008B53A9" w:rsidRDefault="00263E78" w:rsidP="004E6DD3">
            <w:pPr>
              <w:pStyle w:val="Tabulka"/>
              <w:keepNext/>
              <w:keepLines/>
              <w:rPr>
                <w:rFonts w:cs="Calibri"/>
                <w:b/>
                <w:lang w:val="cs-CZ" w:eastAsia="en-US"/>
              </w:rPr>
            </w:pPr>
            <w:r w:rsidRPr="008B53A9">
              <w:rPr>
                <w:rFonts w:cs="Calibri"/>
                <w:b/>
                <w:lang w:val="cs-CZ" w:eastAsia="en-US"/>
              </w:rPr>
              <w:t>Fond</w:t>
            </w:r>
          </w:p>
        </w:tc>
        <w:tc>
          <w:tcPr>
            <w:tcW w:w="3585" w:type="dxa"/>
            <w:vMerge w:val="restart"/>
            <w:shd w:val="clear" w:color="auto" w:fill="B8CCE4"/>
            <w:vAlign w:val="center"/>
          </w:tcPr>
          <w:p w:rsidR="00263E78" w:rsidRPr="008B53A9" w:rsidRDefault="00833413" w:rsidP="004E6DD3">
            <w:pPr>
              <w:pStyle w:val="Tabulka"/>
              <w:keepNext/>
              <w:keepLines/>
              <w:rPr>
                <w:rFonts w:cs="Calibri"/>
                <w:b/>
                <w:lang w:val="cs-CZ" w:eastAsia="en-US"/>
              </w:rPr>
            </w:pPr>
            <w:r w:rsidRPr="008B53A9">
              <w:rPr>
                <w:rFonts w:cs="Calibri"/>
                <w:b/>
                <w:color w:val="000000"/>
                <w:kern w:val="32"/>
                <w:lang w:val="cs-CZ" w:eastAsia="en-US"/>
              </w:rPr>
              <w:t>Podpora z EFRR a ESF (orientačně) (v EUR)</w:t>
            </w:r>
          </w:p>
        </w:tc>
        <w:tc>
          <w:tcPr>
            <w:tcW w:w="4449" w:type="dxa"/>
            <w:vMerge w:val="restart"/>
            <w:shd w:val="clear" w:color="auto" w:fill="B8CCE4"/>
            <w:vAlign w:val="center"/>
          </w:tcPr>
          <w:p w:rsidR="00263E78" w:rsidRPr="008B53A9" w:rsidRDefault="00833413" w:rsidP="004E6DD3">
            <w:pPr>
              <w:pStyle w:val="Tabulka"/>
              <w:keepNext/>
              <w:keepLines/>
              <w:rPr>
                <w:rFonts w:cs="Calibri"/>
                <w:b/>
                <w:lang w:val="cs-CZ" w:eastAsia="en-US"/>
              </w:rPr>
            </w:pPr>
            <w:r w:rsidRPr="008B53A9">
              <w:rPr>
                <w:rFonts w:cs="Calibri"/>
                <w:b/>
                <w:color w:val="000000"/>
                <w:kern w:val="32"/>
                <w:lang w:val="cs-CZ" w:eastAsia="en-US"/>
              </w:rPr>
              <w:t>Podíl celkového přídělu fondu na operační program</w:t>
            </w:r>
          </w:p>
        </w:tc>
      </w:tr>
      <w:tr w:rsidR="00263E78" w:rsidRPr="008B53A9">
        <w:trPr>
          <w:trHeight w:val="373"/>
        </w:trPr>
        <w:tc>
          <w:tcPr>
            <w:tcW w:w="0" w:type="auto"/>
            <w:vMerge/>
            <w:shd w:val="clear" w:color="auto" w:fill="B8CCE4"/>
            <w:vAlign w:val="center"/>
          </w:tcPr>
          <w:p w:rsidR="00263E78" w:rsidRPr="008B53A9" w:rsidRDefault="00263E78" w:rsidP="004E6DD3">
            <w:pPr>
              <w:pStyle w:val="Tabulka"/>
              <w:keepNext/>
              <w:keepLines/>
              <w:rPr>
                <w:rFonts w:cs="Calibri"/>
                <w:lang w:val="cs-CZ" w:eastAsia="en-US"/>
              </w:rPr>
            </w:pPr>
          </w:p>
        </w:tc>
        <w:tc>
          <w:tcPr>
            <w:tcW w:w="3585" w:type="dxa"/>
            <w:vMerge/>
            <w:shd w:val="clear" w:color="auto" w:fill="B8CCE4"/>
            <w:vAlign w:val="center"/>
          </w:tcPr>
          <w:p w:rsidR="00263E78" w:rsidRPr="008B53A9" w:rsidRDefault="00263E78" w:rsidP="004E6DD3">
            <w:pPr>
              <w:pStyle w:val="Tabulka"/>
              <w:keepNext/>
              <w:keepLines/>
              <w:rPr>
                <w:rFonts w:cs="Calibri"/>
                <w:color w:val="000000"/>
                <w:kern w:val="32"/>
                <w:lang w:val="cs-CZ" w:eastAsia="en-US"/>
              </w:rPr>
            </w:pPr>
          </w:p>
        </w:tc>
        <w:tc>
          <w:tcPr>
            <w:tcW w:w="4449" w:type="dxa"/>
            <w:vMerge/>
            <w:shd w:val="clear" w:color="auto" w:fill="B8CCE4"/>
            <w:vAlign w:val="center"/>
          </w:tcPr>
          <w:p w:rsidR="00263E78" w:rsidRPr="008B53A9" w:rsidRDefault="00263E78" w:rsidP="004E6DD3">
            <w:pPr>
              <w:pStyle w:val="Tabulka"/>
              <w:keepNext/>
              <w:keepLines/>
              <w:rPr>
                <w:rFonts w:cs="Calibri"/>
                <w:color w:val="000000"/>
                <w:kern w:val="32"/>
                <w:lang w:val="cs-CZ" w:eastAsia="en-US"/>
              </w:rPr>
            </w:pPr>
          </w:p>
        </w:tc>
      </w:tr>
      <w:tr w:rsidR="00355CBB" w:rsidRPr="008B53A9">
        <w:tc>
          <w:tcPr>
            <w:tcW w:w="0" w:type="auto"/>
            <w:vAlign w:val="center"/>
          </w:tcPr>
          <w:p w:rsidR="00355CBB" w:rsidRPr="008B53A9" w:rsidRDefault="00355CBB" w:rsidP="004E6DD3">
            <w:pPr>
              <w:pStyle w:val="Tabulka"/>
              <w:keepNext/>
              <w:keepLines/>
              <w:jc w:val="left"/>
              <w:rPr>
                <w:rFonts w:cs="Calibri"/>
                <w:lang w:val="cs-CZ" w:eastAsia="en-US"/>
              </w:rPr>
            </w:pPr>
            <w:r w:rsidRPr="008B53A9">
              <w:rPr>
                <w:rFonts w:cs="Calibri"/>
                <w:lang w:val="cs-CZ" w:eastAsia="en-US"/>
              </w:rPr>
              <w:t>Celkem EFRR</w:t>
            </w:r>
          </w:p>
        </w:tc>
        <w:tc>
          <w:tcPr>
            <w:tcW w:w="3585" w:type="dxa"/>
            <w:vAlign w:val="center"/>
          </w:tcPr>
          <w:p w:rsidR="00355CBB" w:rsidRPr="008B53A9" w:rsidRDefault="00355CBB" w:rsidP="004E6DD3">
            <w:pPr>
              <w:pStyle w:val="Tabulka"/>
              <w:keepNext/>
              <w:keepLines/>
              <w:rPr>
                <w:rFonts w:cs="Calibri"/>
                <w:lang w:val="cs-CZ" w:eastAsia="en-US"/>
              </w:rPr>
            </w:pPr>
            <w:r w:rsidRPr="008B53A9">
              <w:rPr>
                <w:rFonts w:cs="Calibri"/>
                <w:lang w:val="cs-CZ" w:eastAsia="en-US"/>
              </w:rPr>
              <w:t>215 803 131</w:t>
            </w:r>
          </w:p>
        </w:tc>
        <w:tc>
          <w:tcPr>
            <w:tcW w:w="4449" w:type="dxa"/>
            <w:vAlign w:val="center"/>
          </w:tcPr>
          <w:p w:rsidR="00355CBB" w:rsidRPr="008B53A9" w:rsidRDefault="00355CBB" w:rsidP="004E6DD3">
            <w:pPr>
              <w:pStyle w:val="Tabulka"/>
              <w:keepNext/>
              <w:keepLines/>
              <w:rPr>
                <w:rFonts w:cs="Calibri"/>
                <w:lang w:val="cs-CZ" w:eastAsia="en-US"/>
              </w:rPr>
            </w:pPr>
          </w:p>
        </w:tc>
      </w:tr>
    </w:tbl>
    <w:p w:rsidR="002F6CB3" w:rsidRPr="008B53A9" w:rsidRDefault="00833413" w:rsidP="00833413">
      <w:pPr>
        <w:pStyle w:val="Nadpis2"/>
      </w:pPr>
      <w:bookmarkStart w:id="117" w:name="_Toc391539678"/>
      <w:r w:rsidRPr="008B53A9">
        <w:rPr>
          <w:rFonts w:cs="Calibri"/>
        </w:rPr>
        <w:t xml:space="preserve">Integrované územní investice </w:t>
      </w:r>
      <w:r w:rsidRPr="008B53A9">
        <w:t>(použije-li se)</w:t>
      </w:r>
      <w:bookmarkEnd w:id="117"/>
    </w:p>
    <w:p w:rsidR="007957E8" w:rsidRPr="008B53A9" w:rsidRDefault="007957E8" w:rsidP="007957E8">
      <w:pPr>
        <w:pStyle w:val="Standardntext"/>
      </w:pPr>
      <w:r w:rsidRPr="008B53A9">
        <w:t>Integrované územní investice (dále také „ITI“) budou v souladu s čl. 36 obecného nařízení a na základě jejich vymezení ve Strategii regionálního rozvoje ČR 2014-2020 využity v největších metropolitních oblastech celostátního významu</w:t>
      </w:r>
      <w:r w:rsidR="002D66D6" w:rsidRPr="008B53A9">
        <w:rPr>
          <w:rStyle w:val="Znakapoznpodarou"/>
        </w:rPr>
        <w:footnoteReference w:id="87"/>
      </w:r>
      <w:r w:rsidRPr="008B53A9">
        <w:t xml:space="preserve">. Jádry metropolitních oblastí (území s koncentrací nad 300 tis. obyvatel) jsou největší města v České republice (Praha, Brno, Ostrava, Plzeň), včetně jejich funkčního zázemí. Z hlediska koncentrace obyvatelstva jsou určitou částí společných problémů k těmto centrům přiřazeny i oblasti Ústecko – Chomutovské, Olomoucké a Hradecko – Pardubické aglomerace. </w:t>
      </w:r>
    </w:p>
    <w:p w:rsidR="007957E8" w:rsidRPr="008B53A9" w:rsidRDefault="007957E8" w:rsidP="007957E8">
      <w:pPr>
        <w:pStyle w:val="Standardntext"/>
      </w:pPr>
      <w:r w:rsidRPr="008B53A9">
        <w:t>Pro nastavení a realizaci ITI bude v rámci principu víceúrovňového partnerství využita platforma Národní stálé konference, sloužící k zajištění vzájemné provázanosti a koordinaci realizace územní dimenze, a to prostřednictvím zapojení řídících orgánů a regionálních i dalších partnerů.</w:t>
      </w:r>
    </w:p>
    <w:p w:rsidR="007957E8" w:rsidRPr="008B53A9" w:rsidRDefault="007957E8" w:rsidP="007957E8">
      <w:pPr>
        <w:pStyle w:val="Standardntext"/>
      </w:pPr>
      <w:r w:rsidRPr="008B53A9">
        <w:t>Každá z výše uvedených metropolitních oblastí může předložit ke schválení a realizaci jednu integrovanou strategii, která vyhodnocuje problémy a potenciál daného území, definuje své cíle, stanoví indikátory a k jejich dosažení vymezí ve finančním plánu potřebné alokace z operačních programů. Výběr strategií bude probíhat ve třech kolech – kontrola formálních náležitostí (prov</w:t>
      </w:r>
      <w:r w:rsidR="00011EE8" w:rsidRPr="008B53A9">
        <w:t xml:space="preserve">ede </w:t>
      </w:r>
      <w:r w:rsidRPr="008B53A9">
        <w:t>MMR), kontrola přijatelnosti (prov</w:t>
      </w:r>
      <w:r w:rsidR="00011EE8" w:rsidRPr="008B53A9">
        <w:t xml:space="preserve">ede </w:t>
      </w:r>
      <w:r w:rsidRPr="008B53A9">
        <w:t>MMR) a obsahové posouzení souladu strategie s cíli, zaměřením a podmínkami jednotlivých operačních programů (prov</w:t>
      </w:r>
      <w:r w:rsidR="00011EE8" w:rsidRPr="008B53A9">
        <w:t xml:space="preserve">edou </w:t>
      </w:r>
      <w:r w:rsidRPr="008B53A9">
        <w:t xml:space="preserve">jednotlivé </w:t>
      </w:r>
      <w:r w:rsidR="00011EE8" w:rsidRPr="008B53A9">
        <w:t>řídící orgány</w:t>
      </w:r>
      <w:r w:rsidRPr="008B53A9">
        <w:t xml:space="preserve">). Zároveň platí, že každá regionální strategie typu integrované strategie musí být v souladu s RIS3, která je zastřešujícím strategickým dokumentem zejména pro oblast VaVaI a ICT. Jestliže integrovaná strategie úspěšně projde všemi koly výběru, vyhotoví </w:t>
      </w:r>
      <w:r w:rsidR="00011EE8" w:rsidRPr="008B53A9">
        <w:t xml:space="preserve">řídící orgán </w:t>
      </w:r>
      <w:r w:rsidRPr="008B53A9">
        <w:t xml:space="preserve">Prohlášení o akceptaci integrované strategie.  Poté je strategie projednána Národní stálou konferencí, která na základě předložených dokumentů doporučí ministrovi pro místní rozvoj podpis Memoranda o realizaci integrovaných strategií s nositeli </w:t>
      </w:r>
      <w:r w:rsidR="003767D9" w:rsidRPr="008B53A9">
        <w:t>integrovaných nástrojů</w:t>
      </w:r>
      <w:r w:rsidRPr="008B53A9">
        <w:rPr>
          <w:rStyle w:val="Znakapoznpodarou"/>
        </w:rPr>
        <w:footnoteReference w:id="88"/>
      </w:r>
      <w:r w:rsidRPr="008B53A9">
        <w:t>, které vyhověly požadavkům hodnotícího procesu a byly akceptovány všemi dotčenými řídícími orgány. ITI budou podpořeny kromě OP PIK zejména z IROP, OP Z, OP VVV, OP ŽP a OP D.</w:t>
      </w:r>
    </w:p>
    <w:p w:rsidR="007957E8" w:rsidRPr="008B53A9" w:rsidRDefault="007957E8" w:rsidP="007957E8">
      <w:pPr>
        <w:pStyle w:val="Standardntext"/>
      </w:pPr>
      <w:r w:rsidRPr="008B53A9">
        <w:t xml:space="preserve">Řídicí orgán OP PIK na základě výsledku hodnocení integrovaných strategií zarezervuje v rámci </w:t>
      </w:r>
      <w:r w:rsidR="003767D9" w:rsidRPr="008B53A9">
        <w:t>O</w:t>
      </w:r>
      <w:r w:rsidRPr="008B53A9">
        <w:t xml:space="preserve">peračního programu finanční alokaci pro realizaci projektů vycházejících z těchto strategií. Řídící orgán OP PIK dále bude stanovovat podmínky čerpání těchto alokací pro nositele ITI, rozhodovat o zrušení příslušné části rezervace finančních alokací v případě </w:t>
      </w:r>
      <w:r w:rsidRPr="008B53A9">
        <w:lastRenderedPageBreak/>
        <w:t>neplnění podmínek ze strany nositele ITI, vyhlašovat výzvy pro předkládání integrovaných projektů do příslušných specifických cílů operačního programu a zajišťovat jejich hodnocení a schvalovat jejich realizaci formou vydávání právních aktů o poskytnutí podpory.</w:t>
      </w:r>
    </w:p>
    <w:p w:rsidR="007957E8" w:rsidRPr="008B53A9" w:rsidRDefault="007957E8" w:rsidP="007957E8">
      <w:pPr>
        <w:pStyle w:val="Standardntext"/>
      </w:pPr>
      <w:r w:rsidRPr="008B53A9">
        <w:t>ITI budou soustředěny převážně na realizaci větších strategických projektů, které mají významný dopad pro řešená území; podpořeny budou i menší projekty, které větší projekty vhodně doplní pro dosažení žádoucích synergických efektů. Projekty předkládané v rámci integrovaných strategií (dále také „integrovaný projekt“) do specifických výzev OP PIK musí respektovat podmínky stanovené Řídícím orgánem OP PIK a musí plnit předem stanovené závazné ukazatele včetně zajištění monitorování a vyhodnocení. Integrovaný projekt bude procházet individuálním hodnocením a posuzováním jako každý jiný individuální projekt. Věcně však bude posuzován také z hlediska své vazby na příslušnou integrovanou strategii, v jejím celkovém kontextu a z hlediska svého příspěvku k naplňování této strategie. Pokud Řídící orgán OP PIK při tomto hodnocení dospěje k jednoznačnému závěru, že předkládaný projekt je sice součástí schválené integrované strategie, ale věcně nenaplňuje žádné synergické efekty, a ve své podstatě je tedy spíše individuálním projektem, Řídící orgán takovýto projekt jako integrovaný neschválí. Rozhodnutí o financování integrovaných projektů vydává Řídící orgán OP PIK.</w:t>
      </w:r>
    </w:p>
    <w:p w:rsidR="002D66D6" w:rsidRPr="008B53A9" w:rsidRDefault="007957E8" w:rsidP="007957E8">
      <w:pPr>
        <w:pStyle w:val="Standardntext"/>
      </w:pPr>
      <w:r w:rsidRPr="008B53A9">
        <w:t>Bližší specifikace přípravy, hodnocení, schvalování, implementace a monitorování ITI je součástí N</w:t>
      </w:r>
      <w:r w:rsidR="00EA5DD7" w:rsidRPr="008B53A9">
        <w:t xml:space="preserve">árodního dokumentu k územní dimenzi </w:t>
      </w:r>
      <w:r w:rsidR="00011EE8" w:rsidRPr="008B53A9">
        <w:t xml:space="preserve">(viz úvod oddílu 4) </w:t>
      </w:r>
      <w:r w:rsidR="00EA5DD7" w:rsidRPr="008B53A9">
        <w:t>a M</w:t>
      </w:r>
      <w:r w:rsidRPr="008B53A9">
        <w:t>etodického pokynu pro využití integrovaných nástrojů v programovém období 2014 – 2020</w:t>
      </w:r>
      <w:r w:rsidR="005C6502" w:rsidRPr="008B53A9">
        <w:rPr>
          <w:rStyle w:val="Znakapoznpodarou"/>
        </w:rPr>
        <w:footnoteReference w:id="89"/>
      </w:r>
      <w:r w:rsidRPr="008B53A9">
        <w:t>.</w:t>
      </w:r>
    </w:p>
    <w:p w:rsidR="004E680E" w:rsidRPr="008B53A9" w:rsidRDefault="00833413" w:rsidP="00833413">
      <w:pPr>
        <w:pStyle w:val="Nadpis2"/>
        <w:rPr>
          <w:rFonts w:cs="Calibri"/>
        </w:rPr>
      </w:pPr>
      <w:bookmarkStart w:id="118" w:name="_Toc391539679"/>
      <w:r w:rsidRPr="008B53A9">
        <w:rPr>
          <w:rFonts w:cs="Calibri"/>
        </w:rPr>
        <w:t>Ujednání pro meziregionální a nadnárodní opatření v rámci operačního programu s příjemci, kteří se nacházejí alespoň v jednom dalším členském státu (použije-li se)</w:t>
      </w:r>
      <w:bookmarkEnd w:id="118"/>
    </w:p>
    <w:p w:rsidR="00383382" w:rsidRPr="008B53A9" w:rsidRDefault="00383382" w:rsidP="00383382">
      <w:pPr>
        <w:pStyle w:val="Standardntext"/>
      </w:pPr>
      <w:r w:rsidRPr="008B53A9">
        <w:t>Není relevantní pro OP PIK.</w:t>
      </w:r>
    </w:p>
    <w:p w:rsidR="009D1858" w:rsidRPr="008B53A9" w:rsidRDefault="009D1858" w:rsidP="009D1858">
      <w:pPr>
        <w:pStyle w:val="Nadpis2"/>
        <w:rPr>
          <w:rFonts w:cs="Calibri"/>
        </w:rPr>
      </w:pPr>
      <w:bookmarkStart w:id="119" w:name="_Toc391539680"/>
      <w:r w:rsidRPr="008B53A9">
        <w:rPr>
          <w:rFonts w:cs="Calibri"/>
        </w:rPr>
        <w:t>Přínos plánovaných opatření programu k realizaci makroregionálních strategií a strategií pro přímořské oblasti v závislosti na potřebách programové oblasti určených příslušným členským státem (použije-li se)</w:t>
      </w:r>
      <w:bookmarkEnd w:id="119"/>
    </w:p>
    <w:p w:rsidR="00383382" w:rsidRPr="008B53A9" w:rsidRDefault="00383382" w:rsidP="00383382">
      <w:pPr>
        <w:pStyle w:val="Standardntext"/>
        <w:rPr>
          <w:bCs/>
        </w:rPr>
      </w:pPr>
      <w:r w:rsidRPr="008B53A9">
        <w:t xml:space="preserve">Česká republika je jako členský stát </w:t>
      </w:r>
      <w:r w:rsidR="00EA5DD7" w:rsidRPr="008B53A9">
        <w:t xml:space="preserve">EU </w:t>
      </w:r>
      <w:r w:rsidRPr="008B53A9">
        <w:t xml:space="preserve">zapojena do Strategie EU pro Podunají, která je Makroregionální strategií Evropské unie. Tato strategie je definována jako integrovaný rámec pro spolupráci, vztahující se k členským státům EU i třetím zemím ze stejné geografické oblasti, za účelem řešení společných výzev a posílení spolupráce s cílem dosažení ekonomické, sociální a teritoriální soudržnosti. Implementace makroregionálních strategií se řídí tzv. principem trojí neutrality (pravidlo 3NE): rozpočtová/finanční neutralita (žádné dodatečné výdaje), legislativní neutralita (žádná nová legislativa) a institucionální neutralita (žádné nové instituce). V rámci Strategie pro Podunají byl zpracován Akční plán </w:t>
      </w:r>
      <w:r w:rsidRPr="008B53A9">
        <w:rPr>
          <w:bCs/>
        </w:rPr>
        <w:t>definující čtyři pilíře rozpracované do jedenácti prioritních oblastí. Každá z prioritních oblastí obsahuje své cíle a jejich plnění rozpracovává do akcí.</w:t>
      </w:r>
    </w:p>
    <w:p w:rsidR="00383382" w:rsidRPr="008B53A9" w:rsidRDefault="00383382" w:rsidP="00383382">
      <w:pPr>
        <w:pStyle w:val="Standardntext"/>
        <w:rPr>
          <w:bCs/>
        </w:rPr>
      </w:pPr>
      <w:r w:rsidRPr="008B53A9">
        <w:rPr>
          <w:bCs/>
        </w:rPr>
        <w:t>Aktivity OP PIK jsou v souladu se Strategií EU pro Podunají a přispějí tak k implementaci čtyř vybraných prioritních oblastí Akčního plánu</w:t>
      </w:r>
      <w:r w:rsidR="00EA5DD7" w:rsidRPr="008B53A9">
        <w:rPr>
          <w:bCs/>
        </w:rPr>
        <w:t xml:space="preserve"> této Strategie. </w:t>
      </w:r>
      <w:r w:rsidRPr="008B53A9">
        <w:rPr>
          <w:bCs/>
        </w:rPr>
        <w:t xml:space="preserve">Pro prioritní oblast 2 </w:t>
      </w:r>
      <w:r w:rsidR="00EA5DD7" w:rsidRPr="008B53A9">
        <w:rPr>
          <w:bCs/>
        </w:rPr>
        <w:t xml:space="preserve">Strategie </w:t>
      </w:r>
      <w:r w:rsidRPr="008B53A9">
        <w:rPr>
          <w:bCs/>
        </w:rPr>
        <w:lastRenderedPageBreak/>
        <w:t xml:space="preserve">„Podpora udržitelné energetiky“ půjde zejména o realizaci specifických cílů </w:t>
      </w:r>
      <w:r w:rsidR="00EA5DD7" w:rsidRPr="008B53A9">
        <w:rPr>
          <w:bCs/>
        </w:rPr>
        <w:t xml:space="preserve">OP PIK </w:t>
      </w:r>
      <w:r w:rsidRPr="008B53A9">
        <w:rPr>
          <w:bCs/>
        </w:rPr>
        <w:t xml:space="preserve">3.1, 3.2 a 3.5. V prioritní oblasti 7 </w:t>
      </w:r>
      <w:r w:rsidR="00EA5DD7" w:rsidRPr="008B53A9">
        <w:rPr>
          <w:bCs/>
        </w:rPr>
        <w:t xml:space="preserve">Strategie </w:t>
      </w:r>
      <w:r w:rsidRPr="008B53A9">
        <w:rPr>
          <w:bCs/>
        </w:rPr>
        <w:t xml:space="preserve">„Rozvoj znalostní společnosti pomocí výzkumu, vzdělávání a informačních technologií“ se jedná o specifické cíle </w:t>
      </w:r>
      <w:r w:rsidR="00EA5DD7" w:rsidRPr="008B53A9">
        <w:rPr>
          <w:bCs/>
        </w:rPr>
        <w:t xml:space="preserve">OP PIK </w:t>
      </w:r>
      <w:r w:rsidRPr="008B53A9">
        <w:rPr>
          <w:bCs/>
        </w:rPr>
        <w:t xml:space="preserve">1.1, 1.2 a 4.1. K naplnění cílů prioritní oblasti 8 </w:t>
      </w:r>
      <w:r w:rsidR="00EA5DD7" w:rsidRPr="008B53A9">
        <w:rPr>
          <w:bCs/>
        </w:rPr>
        <w:t xml:space="preserve">Strategie </w:t>
      </w:r>
      <w:r w:rsidRPr="008B53A9">
        <w:rPr>
          <w:bCs/>
        </w:rPr>
        <w:t xml:space="preserve">„Podpora konkurenceschopnosti podniků“ budou přispívat specifické cíle </w:t>
      </w:r>
      <w:r w:rsidR="00CC4005" w:rsidRPr="008B53A9">
        <w:rPr>
          <w:bCs/>
        </w:rPr>
        <w:t xml:space="preserve">OP PIK </w:t>
      </w:r>
      <w:r w:rsidRPr="008B53A9">
        <w:rPr>
          <w:bCs/>
        </w:rPr>
        <w:t xml:space="preserve">2.1, 2.2 a 3.4. V rámci prioritní oblasti 9 </w:t>
      </w:r>
      <w:r w:rsidR="00CC4005" w:rsidRPr="008B53A9">
        <w:rPr>
          <w:bCs/>
        </w:rPr>
        <w:t xml:space="preserve">Strategie </w:t>
      </w:r>
      <w:r w:rsidRPr="008B53A9">
        <w:rPr>
          <w:bCs/>
        </w:rPr>
        <w:t>„Investice do lidí a dovedností“ je uvedena podpora kreativity a podnikavosti, která svých charakterem odpovídá náplni prioritních os 1 a 2 OP PIK.</w:t>
      </w:r>
    </w:p>
    <w:p w:rsidR="00383382" w:rsidRPr="008B53A9" w:rsidRDefault="00383382" w:rsidP="00383382">
      <w:pPr>
        <w:pStyle w:val="Standardntext"/>
      </w:pPr>
      <w:r w:rsidRPr="008B53A9">
        <w:t>Mechanismy koordinace budou zajištěny ad hoc konzultacemi se členy řídících výborů pro Strategii EU pro Podunají. Tato vazba umožní nejen přenos cílů uvedených priorit Strategie EU pro Podunají při programování ve vazbě na vypisování výzev, ale zohlední tak priority České republiky ve společném stanovení konkrétních cílů makroregionu prostřednictvím činnosti těchto zástupců v řídících výborech.</w:t>
      </w:r>
    </w:p>
    <w:p w:rsidR="00383382" w:rsidRPr="008B53A9" w:rsidRDefault="00383382" w:rsidP="009D1858">
      <w:pPr>
        <w:pStyle w:val="Standardntext"/>
      </w:pPr>
    </w:p>
    <w:p w:rsidR="004E680E" w:rsidRPr="008B53A9" w:rsidRDefault="00F64D76" w:rsidP="009F444D">
      <w:pPr>
        <w:pStyle w:val="Nadpis1"/>
      </w:pPr>
      <w:bookmarkStart w:id="120" w:name="_Toc391539681"/>
      <w:r w:rsidRPr="008B53A9">
        <w:lastRenderedPageBreak/>
        <w:t>Specifické</w:t>
      </w:r>
      <w:r w:rsidR="009F444D" w:rsidRPr="008B53A9">
        <w:t xml:space="preserve"> potřeby zeměpisných oblastí nejvíce postižených chudobou nebo cílových skupin, jimž nejvíce hrozí diskriminace nebo sociální vyloučení</w:t>
      </w:r>
      <w:bookmarkEnd w:id="120"/>
    </w:p>
    <w:p w:rsidR="009F444D" w:rsidRPr="008B53A9" w:rsidRDefault="000F7B0A" w:rsidP="008A5FCE">
      <w:pPr>
        <w:pStyle w:val="Standardntext"/>
      </w:pPr>
      <w:r w:rsidRPr="008B53A9">
        <w:t>Není relevantní pro OP PIK.</w:t>
      </w:r>
    </w:p>
    <w:p w:rsidR="004E680E" w:rsidRPr="008B53A9" w:rsidRDefault="009F444D" w:rsidP="00F64D76">
      <w:pPr>
        <w:pStyle w:val="Nadpis2"/>
      </w:pPr>
      <w:bookmarkStart w:id="121" w:name="_Toc391539682"/>
      <w:r w:rsidRPr="008B53A9">
        <w:t>Zeměpisné oblasti nejvíce postižené chudobou</w:t>
      </w:r>
      <w:r w:rsidR="00F64D76" w:rsidRPr="008B53A9">
        <w:t xml:space="preserve"> </w:t>
      </w:r>
      <w:r w:rsidRPr="008B53A9">
        <w:t>/</w:t>
      </w:r>
      <w:r w:rsidR="00F64D76" w:rsidRPr="008B53A9">
        <w:t xml:space="preserve"> </w:t>
      </w:r>
      <w:r w:rsidRPr="008B53A9">
        <w:t>cílové skupiny, jimž nejvíce hrozí diskriminace</w:t>
      </w:r>
      <w:r w:rsidR="00F64D76" w:rsidRPr="008B53A9">
        <w:t xml:space="preserve"> nebo sociální vyloučení</w:t>
      </w:r>
      <w:bookmarkEnd w:id="121"/>
    </w:p>
    <w:p w:rsidR="009F444D" w:rsidRPr="008B53A9" w:rsidRDefault="000F7B0A" w:rsidP="008A5FCE">
      <w:pPr>
        <w:pStyle w:val="Standardntext"/>
      </w:pPr>
      <w:r w:rsidRPr="008B53A9">
        <w:t>Není relevantní pro OP PIK.</w:t>
      </w:r>
    </w:p>
    <w:p w:rsidR="004E680E" w:rsidRPr="008B53A9" w:rsidRDefault="00F64D76" w:rsidP="00F64D76">
      <w:pPr>
        <w:pStyle w:val="Nadpis2"/>
      </w:pPr>
      <w:bookmarkStart w:id="122" w:name="_Toc391539683"/>
      <w:r w:rsidRPr="008B53A9">
        <w:t>Strategie pro řešení specifických potřeb zeměpisných oblastí nejvíce postižených chudobou / cílových skupin, jimž nejvíce hrozí diskriminace nebo sociální vyloučení a případně přínos k integrovanému přístupu stanovenému za tímto účelem v dohodě o partnerství</w:t>
      </w:r>
      <w:bookmarkEnd w:id="122"/>
    </w:p>
    <w:p w:rsidR="009F444D" w:rsidRPr="008B53A9" w:rsidRDefault="000F7B0A" w:rsidP="008A5FCE">
      <w:pPr>
        <w:pStyle w:val="Standardntext"/>
      </w:pPr>
      <w:r w:rsidRPr="008B53A9">
        <w:t>Není relevantní pro OP PIK.</w:t>
      </w:r>
    </w:p>
    <w:p w:rsidR="00174180" w:rsidRPr="008B53A9" w:rsidRDefault="00174180" w:rsidP="00174180">
      <w:pPr>
        <w:overflowPunct/>
        <w:jc w:val="both"/>
        <w:textAlignment w:val="auto"/>
        <w:rPr>
          <w:rFonts w:ascii="Calibri" w:hAnsi="Calibri" w:cs="Calibri"/>
          <w:color w:val="FF0000"/>
          <w:sz w:val="24"/>
          <w:szCs w:val="24"/>
        </w:rPr>
      </w:pPr>
    </w:p>
    <w:p w:rsidR="004E680E" w:rsidRPr="008B53A9" w:rsidRDefault="00F64D76" w:rsidP="00F735EC">
      <w:pPr>
        <w:pStyle w:val="Nadpis1"/>
      </w:pPr>
      <w:bookmarkStart w:id="123" w:name="_Toc391539684"/>
      <w:r w:rsidRPr="008B53A9">
        <w:lastRenderedPageBreak/>
        <w:t>Specifické</w:t>
      </w:r>
      <w:r w:rsidR="00F735EC" w:rsidRPr="008B53A9">
        <w:t xml:space="preserve"> potřeby zeměpisných oblastí, které jsou </w:t>
      </w:r>
      <w:r w:rsidRPr="008B53A9">
        <w:t>závažně a trvale znevýhodněny přírodními nebo demografickými podmínkami</w:t>
      </w:r>
      <w:bookmarkEnd w:id="123"/>
      <w:r w:rsidR="004E680E" w:rsidRPr="008B53A9">
        <w:t xml:space="preserve"> </w:t>
      </w:r>
    </w:p>
    <w:p w:rsidR="00F735EC" w:rsidRPr="008B53A9" w:rsidRDefault="000F7B0A" w:rsidP="008A5FCE">
      <w:pPr>
        <w:pStyle w:val="Standardntext"/>
      </w:pPr>
      <w:bookmarkStart w:id="124" w:name="_Toc351464430"/>
      <w:r w:rsidRPr="008B53A9">
        <w:t>Není relevantní pro OP PIK.</w:t>
      </w:r>
    </w:p>
    <w:p w:rsidR="00174180" w:rsidRPr="008B53A9" w:rsidRDefault="00174180" w:rsidP="00174180">
      <w:pPr>
        <w:overflowPunct/>
        <w:jc w:val="both"/>
        <w:textAlignment w:val="auto"/>
        <w:rPr>
          <w:rFonts w:ascii="Calibri" w:hAnsi="Calibri" w:cs="Calibri"/>
          <w:color w:val="FF0000"/>
          <w:sz w:val="24"/>
          <w:szCs w:val="24"/>
        </w:rPr>
      </w:pPr>
    </w:p>
    <w:p w:rsidR="009E6172" w:rsidRPr="008B53A9" w:rsidRDefault="00F64D76" w:rsidP="00F735EC">
      <w:pPr>
        <w:pStyle w:val="Nadpis1"/>
      </w:pPr>
      <w:bookmarkStart w:id="125" w:name="_Toc391539685"/>
      <w:bookmarkEnd w:id="124"/>
      <w:r w:rsidRPr="008B53A9">
        <w:lastRenderedPageBreak/>
        <w:t>O</w:t>
      </w:r>
      <w:r w:rsidR="00F735EC" w:rsidRPr="008B53A9">
        <w:t xml:space="preserve">rgány </w:t>
      </w:r>
      <w:r w:rsidRPr="008B53A9">
        <w:t xml:space="preserve">a subjekty </w:t>
      </w:r>
      <w:r w:rsidR="00F735EC" w:rsidRPr="008B53A9">
        <w:t xml:space="preserve">odpovědné za řízení, kontrolu a audit a </w:t>
      </w:r>
      <w:r w:rsidRPr="008B53A9">
        <w:t>úloha</w:t>
      </w:r>
      <w:r w:rsidR="00F735EC" w:rsidRPr="008B53A9">
        <w:t xml:space="preserve"> </w:t>
      </w:r>
      <w:r w:rsidRPr="008B53A9">
        <w:t xml:space="preserve">příslušných </w:t>
      </w:r>
      <w:r w:rsidR="00F735EC" w:rsidRPr="008B53A9">
        <w:t>partnerů</w:t>
      </w:r>
      <w:bookmarkEnd w:id="125"/>
      <w:r w:rsidR="000F25D1" w:rsidRPr="008B53A9">
        <w:t xml:space="preserve">  </w:t>
      </w:r>
    </w:p>
    <w:p w:rsidR="006A127B" w:rsidRPr="008B53A9" w:rsidRDefault="00F64D76" w:rsidP="00F64D76">
      <w:pPr>
        <w:pStyle w:val="Nadpis2"/>
        <w:rPr>
          <w:rFonts w:cs="Calibri"/>
        </w:rPr>
      </w:pPr>
      <w:bookmarkStart w:id="126" w:name="_Toc391539686"/>
      <w:r w:rsidRPr="008B53A9">
        <w:rPr>
          <w:rFonts w:cs="Calibri"/>
        </w:rPr>
        <w:t>Příslušné orgány a subjekty</w:t>
      </w:r>
      <w:bookmarkEnd w:id="126"/>
    </w:p>
    <w:p w:rsidR="00D10CBC" w:rsidRPr="008B53A9" w:rsidRDefault="00D10CBC" w:rsidP="00167303">
      <w:pPr>
        <w:pStyle w:val="Titulek"/>
        <w:keepNext/>
        <w:keepLines/>
      </w:pPr>
      <w:r w:rsidRPr="008B53A9">
        <w:t xml:space="preserve">Tabulka </w:t>
      </w:r>
      <w:r w:rsidR="00C3289B" w:rsidRPr="008B53A9">
        <w:fldChar w:fldCharType="begin"/>
      </w:r>
      <w:r w:rsidR="00C3289B" w:rsidRPr="008B53A9">
        <w:instrText xml:space="preserve"> SEQ Tabulka \* ARABIC \r23 </w:instrText>
      </w:r>
      <w:r w:rsidR="00C3289B" w:rsidRPr="008B53A9">
        <w:fldChar w:fldCharType="separate"/>
      </w:r>
      <w:r w:rsidR="00E54216" w:rsidRPr="008B53A9">
        <w:rPr>
          <w:noProof/>
        </w:rPr>
        <w:t>23</w:t>
      </w:r>
      <w:r w:rsidR="00C3289B" w:rsidRPr="008B53A9">
        <w:rPr>
          <w:noProof/>
        </w:rPr>
        <w:fldChar w:fldCharType="end"/>
      </w:r>
      <w:r w:rsidRPr="008B53A9">
        <w:t xml:space="preserve">: </w:t>
      </w:r>
      <w:r w:rsidR="00F64D76" w:rsidRPr="008B53A9">
        <w:t>Příslušné orgány a subjekty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6"/>
        <w:gridCol w:w="3686"/>
        <w:gridCol w:w="3366"/>
      </w:tblGrid>
      <w:tr w:rsidR="00D1521B" w:rsidRPr="008B53A9">
        <w:tc>
          <w:tcPr>
            <w:tcW w:w="1260" w:type="pct"/>
            <w:shd w:val="clear" w:color="auto" w:fill="B8CCE4"/>
            <w:vAlign w:val="center"/>
          </w:tcPr>
          <w:p w:rsidR="00D1521B" w:rsidRPr="008B53A9" w:rsidRDefault="00F64D76" w:rsidP="00F64D76">
            <w:pPr>
              <w:pStyle w:val="Tabulka"/>
              <w:keepNext/>
              <w:keepLines/>
              <w:rPr>
                <w:rFonts w:cs="Calibri"/>
                <w:b/>
                <w:lang w:val="cs-CZ" w:eastAsia="cs-CZ"/>
              </w:rPr>
            </w:pPr>
            <w:r w:rsidRPr="008B53A9">
              <w:rPr>
                <w:rFonts w:cs="Calibri"/>
                <w:b/>
                <w:lang w:val="cs-CZ" w:eastAsia="cs-CZ"/>
              </w:rPr>
              <w:t>Orgán</w:t>
            </w:r>
            <w:r w:rsidR="00D1521B" w:rsidRPr="008B53A9">
              <w:rPr>
                <w:rFonts w:cs="Calibri"/>
                <w:b/>
                <w:lang w:val="cs-CZ" w:eastAsia="cs-CZ"/>
              </w:rPr>
              <w:t>/</w:t>
            </w:r>
            <w:r w:rsidRPr="008B53A9">
              <w:rPr>
                <w:rFonts w:cs="Calibri"/>
                <w:b/>
                <w:lang w:val="cs-CZ" w:eastAsia="cs-CZ"/>
              </w:rPr>
              <w:t>subjekt</w:t>
            </w:r>
          </w:p>
        </w:tc>
        <w:tc>
          <w:tcPr>
            <w:tcW w:w="1955" w:type="pct"/>
            <w:shd w:val="clear" w:color="auto" w:fill="B8CCE4"/>
            <w:vAlign w:val="center"/>
          </w:tcPr>
          <w:p w:rsidR="00D1521B" w:rsidRPr="008B53A9" w:rsidRDefault="00D1521B" w:rsidP="00F64D76">
            <w:pPr>
              <w:pStyle w:val="Tabulka"/>
              <w:keepNext/>
              <w:keepLines/>
              <w:rPr>
                <w:rFonts w:cs="Calibri"/>
                <w:b/>
                <w:lang w:val="cs-CZ" w:eastAsia="cs-CZ"/>
              </w:rPr>
            </w:pPr>
            <w:r w:rsidRPr="008B53A9">
              <w:rPr>
                <w:rFonts w:cs="Calibri"/>
                <w:b/>
                <w:lang w:val="cs-CZ" w:eastAsia="cs-CZ"/>
              </w:rPr>
              <w:t xml:space="preserve">Název </w:t>
            </w:r>
            <w:r w:rsidR="00F64D76" w:rsidRPr="008B53A9">
              <w:rPr>
                <w:rFonts w:cs="Calibri"/>
                <w:b/>
                <w:lang w:val="cs-CZ" w:eastAsia="cs-CZ"/>
              </w:rPr>
              <w:t>orgánu</w:t>
            </w:r>
            <w:r w:rsidRPr="008B53A9">
              <w:rPr>
                <w:rFonts w:cs="Calibri"/>
                <w:b/>
                <w:lang w:val="cs-CZ" w:eastAsia="cs-CZ"/>
              </w:rPr>
              <w:t>/</w:t>
            </w:r>
            <w:r w:rsidR="00F64D76" w:rsidRPr="008B53A9">
              <w:rPr>
                <w:rFonts w:cs="Calibri"/>
                <w:b/>
                <w:lang w:val="cs-CZ" w:eastAsia="cs-CZ"/>
              </w:rPr>
              <w:t xml:space="preserve">subjektu a </w:t>
            </w:r>
            <w:r w:rsidRPr="008B53A9">
              <w:rPr>
                <w:rFonts w:cs="Calibri"/>
                <w:b/>
                <w:lang w:val="cs-CZ" w:eastAsia="cs-CZ"/>
              </w:rPr>
              <w:t>odbor</w:t>
            </w:r>
            <w:r w:rsidR="00F64D76" w:rsidRPr="008B53A9">
              <w:rPr>
                <w:rFonts w:cs="Calibri"/>
                <w:b/>
                <w:lang w:val="cs-CZ" w:eastAsia="cs-CZ"/>
              </w:rPr>
              <w:t>u</w:t>
            </w:r>
            <w:r w:rsidRPr="008B53A9">
              <w:rPr>
                <w:rFonts w:cs="Calibri"/>
                <w:b/>
                <w:lang w:val="cs-CZ" w:eastAsia="cs-CZ"/>
              </w:rPr>
              <w:t xml:space="preserve"> či oddělení</w:t>
            </w:r>
          </w:p>
        </w:tc>
        <w:tc>
          <w:tcPr>
            <w:tcW w:w="1785" w:type="pct"/>
            <w:shd w:val="clear" w:color="auto" w:fill="B8CCE4"/>
            <w:vAlign w:val="center"/>
          </w:tcPr>
          <w:p w:rsidR="00D1521B" w:rsidRPr="008B53A9" w:rsidRDefault="00F64D76" w:rsidP="00F64D76">
            <w:pPr>
              <w:pStyle w:val="Tabulka"/>
              <w:keepNext/>
              <w:keepLines/>
              <w:rPr>
                <w:rFonts w:cs="Calibri"/>
                <w:b/>
                <w:lang w:val="cs-CZ" w:eastAsia="cs-CZ"/>
              </w:rPr>
            </w:pPr>
            <w:r w:rsidRPr="008B53A9">
              <w:rPr>
                <w:rFonts w:cs="Calibri"/>
                <w:b/>
                <w:lang w:val="cs-CZ" w:eastAsia="cs-CZ"/>
              </w:rPr>
              <w:t>Vedoucí orgánu/subjektu (pozice nebo funkce)</w:t>
            </w:r>
          </w:p>
        </w:tc>
      </w:tr>
      <w:tr w:rsidR="00D1521B" w:rsidRPr="008B53A9">
        <w:trPr>
          <w:trHeight w:val="325"/>
        </w:trPr>
        <w:tc>
          <w:tcPr>
            <w:tcW w:w="1260" w:type="pct"/>
            <w:vAlign w:val="center"/>
          </w:tcPr>
          <w:p w:rsidR="00D1521B" w:rsidRPr="008B53A9" w:rsidRDefault="00D1521B" w:rsidP="007D5FD2">
            <w:pPr>
              <w:pStyle w:val="Tabulka"/>
              <w:jc w:val="left"/>
              <w:rPr>
                <w:rFonts w:cs="Calibri"/>
                <w:b/>
                <w:lang w:val="cs-CZ" w:eastAsia="cs-CZ"/>
              </w:rPr>
            </w:pPr>
            <w:r w:rsidRPr="008B53A9">
              <w:rPr>
                <w:rFonts w:cs="Calibri"/>
                <w:b/>
                <w:lang w:val="cs-CZ" w:eastAsia="cs-CZ"/>
              </w:rPr>
              <w:t>Řídící orgán</w:t>
            </w:r>
          </w:p>
        </w:tc>
        <w:tc>
          <w:tcPr>
            <w:tcW w:w="1955" w:type="pct"/>
            <w:vAlign w:val="center"/>
          </w:tcPr>
          <w:p w:rsidR="00D1521B" w:rsidRPr="008B53A9" w:rsidRDefault="00D1521B" w:rsidP="00976E9C">
            <w:pPr>
              <w:pStyle w:val="Tabulka"/>
              <w:jc w:val="left"/>
              <w:rPr>
                <w:rFonts w:cs="Calibri"/>
                <w:lang w:val="cs-CZ" w:eastAsia="cs-CZ"/>
              </w:rPr>
            </w:pPr>
            <w:r w:rsidRPr="008B53A9">
              <w:rPr>
                <w:rFonts w:cs="Calibri"/>
                <w:lang w:val="cs-CZ" w:eastAsia="cs-CZ"/>
              </w:rPr>
              <w:t>Mi</w:t>
            </w:r>
            <w:r w:rsidR="000E47D9" w:rsidRPr="008B53A9">
              <w:rPr>
                <w:rFonts w:cs="Calibri"/>
                <w:lang w:val="cs-CZ" w:eastAsia="cs-CZ"/>
              </w:rPr>
              <w:t>nisterstvo průmyslu a obchodu</w:t>
            </w:r>
            <w:r w:rsidR="00F05C0C" w:rsidRPr="008B53A9">
              <w:rPr>
                <w:rStyle w:val="Znakapoznpodarou"/>
                <w:rFonts w:cs="Calibri"/>
                <w:lang w:val="cs-CZ" w:eastAsia="cs-CZ"/>
              </w:rPr>
              <w:footnoteReference w:id="90"/>
            </w:r>
            <w:r w:rsidRPr="008B53A9">
              <w:rPr>
                <w:rFonts w:cs="Calibri"/>
                <w:lang w:val="cs-CZ" w:eastAsia="cs-CZ"/>
              </w:rPr>
              <w:t xml:space="preserve"> / </w:t>
            </w:r>
            <w:r w:rsidR="00976E9C" w:rsidRPr="008B53A9">
              <w:rPr>
                <w:rFonts w:cs="Calibri"/>
                <w:lang w:val="cs-CZ" w:eastAsia="cs-CZ"/>
              </w:rPr>
              <w:t>Útvar náměstka ministra pro fondy EU</w:t>
            </w:r>
          </w:p>
        </w:tc>
        <w:tc>
          <w:tcPr>
            <w:tcW w:w="1785" w:type="pct"/>
            <w:vAlign w:val="center"/>
          </w:tcPr>
          <w:p w:rsidR="00D1521B" w:rsidRPr="008B53A9" w:rsidRDefault="00D1521B" w:rsidP="00976E9C">
            <w:pPr>
              <w:pStyle w:val="Tabulka"/>
              <w:jc w:val="left"/>
              <w:rPr>
                <w:rFonts w:cs="Calibri"/>
                <w:lang w:val="cs-CZ" w:eastAsia="cs-CZ"/>
              </w:rPr>
            </w:pPr>
            <w:r w:rsidRPr="008B53A9">
              <w:rPr>
                <w:rFonts w:cs="Calibri"/>
                <w:lang w:val="cs-CZ" w:eastAsia="cs-CZ"/>
              </w:rPr>
              <w:t xml:space="preserve">Ministr / </w:t>
            </w:r>
            <w:r w:rsidR="00976E9C" w:rsidRPr="008B53A9">
              <w:rPr>
                <w:rFonts w:cs="Calibri"/>
                <w:lang w:val="cs-CZ" w:eastAsia="cs-CZ"/>
              </w:rPr>
              <w:t>náměstek ministra pro fondy EU</w:t>
            </w:r>
          </w:p>
        </w:tc>
      </w:tr>
      <w:tr w:rsidR="00D1521B" w:rsidRPr="008B53A9">
        <w:trPr>
          <w:trHeight w:val="325"/>
        </w:trPr>
        <w:tc>
          <w:tcPr>
            <w:tcW w:w="1260" w:type="pct"/>
            <w:vAlign w:val="center"/>
          </w:tcPr>
          <w:p w:rsidR="00D1521B" w:rsidRPr="008B53A9" w:rsidRDefault="00D1521B" w:rsidP="007D5FD2">
            <w:pPr>
              <w:pStyle w:val="Tabulka"/>
              <w:jc w:val="left"/>
              <w:rPr>
                <w:rFonts w:cs="Calibri"/>
                <w:b/>
                <w:lang w:val="cs-CZ" w:eastAsia="cs-CZ"/>
              </w:rPr>
            </w:pPr>
            <w:r w:rsidRPr="008B53A9">
              <w:rPr>
                <w:rFonts w:cs="Calibri"/>
                <w:b/>
                <w:lang w:val="cs-CZ" w:eastAsia="cs-CZ"/>
              </w:rPr>
              <w:t>Certifikační orgán</w:t>
            </w:r>
          </w:p>
        </w:tc>
        <w:tc>
          <w:tcPr>
            <w:tcW w:w="1955" w:type="pct"/>
            <w:vAlign w:val="center"/>
          </w:tcPr>
          <w:p w:rsidR="00D1521B" w:rsidRPr="008B53A9" w:rsidRDefault="000E47D9" w:rsidP="00F05C0C">
            <w:pPr>
              <w:pStyle w:val="Tabulka"/>
              <w:jc w:val="left"/>
              <w:rPr>
                <w:rFonts w:cs="Calibri"/>
                <w:lang w:val="cs-CZ" w:eastAsia="cs-CZ"/>
              </w:rPr>
            </w:pPr>
            <w:r w:rsidRPr="008B53A9">
              <w:rPr>
                <w:rFonts w:cs="Calibri"/>
                <w:lang w:val="cs-CZ" w:eastAsia="cs-CZ"/>
              </w:rPr>
              <w:t>Ministerstvo financí</w:t>
            </w:r>
            <w:r w:rsidR="00F05C0C" w:rsidRPr="008B53A9">
              <w:rPr>
                <w:rStyle w:val="Znakapoznpodarou"/>
                <w:rFonts w:cs="Calibri"/>
                <w:lang w:val="cs-CZ" w:eastAsia="cs-CZ"/>
              </w:rPr>
              <w:footnoteReference w:id="91"/>
            </w:r>
            <w:r w:rsidR="00D1521B" w:rsidRPr="008B53A9">
              <w:rPr>
                <w:rFonts w:cs="Calibri"/>
                <w:lang w:val="cs-CZ" w:eastAsia="cs-CZ"/>
              </w:rPr>
              <w:t xml:space="preserve"> /</w:t>
            </w:r>
            <w:r w:rsidR="00F05C0C" w:rsidRPr="008B53A9">
              <w:rPr>
                <w:rFonts w:cs="Calibri"/>
                <w:lang w:val="cs-CZ" w:eastAsia="cs-CZ"/>
              </w:rPr>
              <w:t xml:space="preserve"> </w:t>
            </w:r>
            <w:r w:rsidR="00AC072C" w:rsidRPr="008B53A9">
              <w:rPr>
                <w:rFonts w:cs="Calibri"/>
                <w:lang w:val="cs-CZ" w:eastAsia="cs-CZ"/>
              </w:rPr>
              <w:t>Národní fond</w:t>
            </w:r>
          </w:p>
        </w:tc>
        <w:tc>
          <w:tcPr>
            <w:tcW w:w="1785" w:type="pct"/>
            <w:vAlign w:val="center"/>
          </w:tcPr>
          <w:p w:rsidR="00D1521B" w:rsidRPr="008B53A9" w:rsidRDefault="00D1521B" w:rsidP="007D5FD2">
            <w:pPr>
              <w:pStyle w:val="Tabulka"/>
              <w:jc w:val="left"/>
              <w:rPr>
                <w:rFonts w:cs="Calibri"/>
                <w:lang w:val="cs-CZ" w:eastAsia="cs-CZ"/>
              </w:rPr>
            </w:pPr>
            <w:r w:rsidRPr="008B53A9">
              <w:rPr>
                <w:rFonts w:cs="Calibri"/>
                <w:lang w:val="cs-CZ" w:eastAsia="cs-CZ"/>
              </w:rPr>
              <w:t>Ministr / Náměstek</w:t>
            </w:r>
          </w:p>
        </w:tc>
      </w:tr>
      <w:tr w:rsidR="00D1521B" w:rsidRPr="008B53A9">
        <w:trPr>
          <w:trHeight w:val="325"/>
        </w:trPr>
        <w:tc>
          <w:tcPr>
            <w:tcW w:w="1260" w:type="pct"/>
            <w:vAlign w:val="center"/>
          </w:tcPr>
          <w:p w:rsidR="00D1521B" w:rsidRPr="008B53A9" w:rsidRDefault="00D1521B" w:rsidP="007D5FD2">
            <w:pPr>
              <w:pStyle w:val="Tabulka"/>
              <w:jc w:val="left"/>
              <w:rPr>
                <w:rFonts w:cs="Calibri"/>
                <w:b/>
                <w:lang w:val="cs-CZ" w:eastAsia="cs-CZ"/>
              </w:rPr>
            </w:pPr>
            <w:r w:rsidRPr="008B53A9">
              <w:rPr>
                <w:rFonts w:cs="Calibri"/>
                <w:b/>
                <w:lang w:val="cs-CZ" w:eastAsia="cs-CZ"/>
              </w:rPr>
              <w:t>Auditní orgán</w:t>
            </w:r>
          </w:p>
        </w:tc>
        <w:tc>
          <w:tcPr>
            <w:tcW w:w="1955" w:type="pct"/>
            <w:vAlign w:val="center"/>
          </w:tcPr>
          <w:p w:rsidR="00D1521B" w:rsidRPr="008B53A9" w:rsidRDefault="000E47D9" w:rsidP="00F05C0C">
            <w:pPr>
              <w:pStyle w:val="Tabulka"/>
              <w:jc w:val="left"/>
              <w:rPr>
                <w:rFonts w:cs="Calibri"/>
                <w:lang w:val="cs-CZ" w:eastAsia="cs-CZ"/>
              </w:rPr>
            </w:pPr>
            <w:r w:rsidRPr="008B53A9">
              <w:rPr>
                <w:rFonts w:cs="Calibri"/>
                <w:lang w:val="cs-CZ" w:eastAsia="cs-CZ"/>
              </w:rPr>
              <w:t>Ministerstvo financí</w:t>
            </w:r>
            <w:r w:rsidR="00F05C0C" w:rsidRPr="008B53A9">
              <w:rPr>
                <w:rStyle w:val="Znakapoznpodarou"/>
                <w:rFonts w:cs="Calibri"/>
                <w:lang w:val="cs-CZ" w:eastAsia="cs-CZ"/>
              </w:rPr>
              <w:footnoteReference w:id="92"/>
            </w:r>
            <w:r w:rsidR="00D1521B" w:rsidRPr="008B53A9">
              <w:rPr>
                <w:rFonts w:cs="Calibri"/>
                <w:lang w:val="cs-CZ" w:eastAsia="cs-CZ"/>
              </w:rPr>
              <w:t xml:space="preserve"> /</w:t>
            </w:r>
            <w:r w:rsidR="00F05C0C" w:rsidRPr="008B53A9">
              <w:rPr>
                <w:rFonts w:cs="Calibri"/>
                <w:lang w:val="cs-CZ" w:eastAsia="cs-CZ"/>
              </w:rPr>
              <w:t xml:space="preserve"> </w:t>
            </w:r>
            <w:r w:rsidR="00D1521B" w:rsidRPr="008B53A9">
              <w:rPr>
                <w:rFonts w:cs="Calibri"/>
                <w:lang w:val="cs-CZ" w:eastAsia="cs-CZ"/>
              </w:rPr>
              <w:t>Auditní orgán</w:t>
            </w:r>
          </w:p>
        </w:tc>
        <w:tc>
          <w:tcPr>
            <w:tcW w:w="1785" w:type="pct"/>
            <w:vAlign w:val="center"/>
          </w:tcPr>
          <w:p w:rsidR="00D1521B" w:rsidRPr="008B53A9" w:rsidRDefault="00D1521B" w:rsidP="007D5FD2">
            <w:pPr>
              <w:pStyle w:val="Tabulka"/>
              <w:jc w:val="left"/>
              <w:rPr>
                <w:rFonts w:cs="Calibri"/>
                <w:color w:val="FF0000"/>
                <w:lang w:val="cs-CZ" w:eastAsia="cs-CZ"/>
              </w:rPr>
            </w:pPr>
            <w:r w:rsidRPr="008B53A9">
              <w:rPr>
                <w:rFonts w:cs="Calibri"/>
                <w:lang w:val="cs-CZ" w:eastAsia="cs-CZ"/>
              </w:rPr>
              <w:t>Ministr / Náměstek</w:t>
            </w:r>
          </w:p>
        </w:tc>
      </w:tr>
      <w:tr w:rsidR="00D1521B" w:rsidRPr="008B53A9">
        <w:tc>
          <w:tcPr>
            <w:tcW w:w="1260" w:type="pct"/>
            <w:vAlign w:val="center"/>
          </w:tcPr>
          <w:p w:rsidR="00D1521B" w:rsidRPr="008B53A9" w:rsidRDefault="00F64D76" w:rsidP="00F64D76">
            <w:pPr>
              <w:pStyle w:val="Tabulka"/>
              <w:jc w:val="left"/>
              <w:rPr>
                <w:rFonts w:cs="Calibri"/>
                <w:b/>
                <w:bCs/>
                <w:lang w:val="cs-CZ" w:eastAsia="cs-CZ"/>
              </w:rPr>
            </w:pPr>
            <w:r w:rsidRPr="008B53A9">
              <w:rPr>
                <w:rFonts w:cs="Calibri"/>
                <w:b/>
                <w:lang w:val="cs-CZ" w:eastAsia="cs-CZ"/>
              </w:rPr>
              <w:t>Subjekt</w:t>
            </w:r>
            <w:r w:rsidR="00D1521B" w:rsidRPr="008B53A9">
              <w:rPr>
                <w:rFonts w:cs="Calibri"/>
                <w:b/>
                <w:lang w:val="cs-CZ" w:eastAsia="cs-CZ"/>
              </w:rPr>
              <w:t>, kter</w:t>
            </w:r>
            <w:r w:rsidRPr="008B53A9">
              <w:rPr>
                <w:rFonts w:cs="Calibri"/>
                <w:b/>
                <w:lang w:val="cs-CZ" w:eastAsia="cs-CZ"/>
              </w:rPr>
              <w:t>ému</w:t>
            </w:r>
            <w:r w:rsidR="00D1521B" w:rsidRPr="008B53A9">
              <w:rPr>
                <w:rFonts w:cs="Calibri"/>
                <w:b/>
                <w:lang w:val="cs-CZ" w:eastAsia="cs-CZ"/>
              </w:rPr>
              <w:t xml:space="preserve"> </w:t>
            </w:r>
            <w:r w:rsidRPr="008B53A9">
              <w:rPr>
                <w:rFonts w:cs="Calibri"/>
                <w:b/>
                <w:lang w:val="cs-CZ" w:eastAsia="cs-CZ"/>
              </w:rPr>
              <w:t>má Komise poukazovat platby</w:t>
            </w:r>
          </w:p>
        </w:tc>
        <w:tc>
          <w:tcPr>
            <w:tcW w:w="1955" w:type="pct"/>
            <w:vAlign w:val="center"/>
          </w:tcPr>
          <w:p w:rsidR="00D1521B" w:rsidRPr="008B53A9" w:rsidRDefault="00D1521B" w:rsidP="00F05C0C">
            <w:pPr>
              <w:pStyle w:val="Tabulka"/>
              <w:jc w:val="left"/>
              <w:rPr>
                <w:rFonts w:cs="Calibri"/>
                <w:lang w:val="cs-CZ" w:eastAsia="cs-CZ"/>
              </w:rPr>
            </w:pPr>
            <w:r w:rsidRPr="008B53A9">
              <w:rPr>
                <w:rFonts w:cs="Calibri"/>
                <w:lang w:val="cs-CZ" w:eastAsia="cs-CZ"/>
              </w:rPr>
              <w:t>Ministerstvo f</w:t>
            </w:r>
            <w:r w:rsidR="000E47D9" w:rsidRPr="008B53A9">
              <w:rPr>
                <w:rFonts w:cs="Calibri"/>
                <w:lang w:val="cs-CZ" w:eastAsia="cs-CZ"/>
              </w:rPr>
              <w:t>inancí</w:t>
            </w:r>
            <w:r w:rsidR="00F05C0C" w:rsidRPr="008B53A9">
              <w:rPr>
                <w:rStyle w:val="Znakapoznpodarou"/>
                <w:rFonts w:cs="Calibri"/>
                <w:lang w:val="cs-CZ" w:eastAsia="cs-CZ"/>
              </w:rPr>
              <w:footnoteReference w:id="93"/>
            </w:r>
            <w:r w:rsidRPr="008B53A9">
              <w:rPr>
                <w:rFonts w:cs="Calibri"/>
                <w:lang w:val="cs-CZ" w:eastAsia="cs-CZ"/>
              </w:rPr>
              <w:t xml:space="preserve"> /</w:t>
            </w:r>
            <w:r w:rsidR="00F05C0C" w:rsidRPr="008B53A9">
              <w:rPr>
                <w:rFonts w:cs="Calibri"/>
                <w:lang w:val="cs-CZ" w:eastAsia="cs-CZ"/>
              </w:rPr>
              <w:t xml:space="preserve"> </w:t>
            </w:r>
            <w:r w:rsidRPr="008B53A9">
              <w:rPr>
                <w:rFonts w:cs="Calibri"/>
                <w:lang w:val="cs-CZ" w:eastAsia="cs-CZ"/>
              </w:rPr>
              <w:t>Národní fond</w:t>
            </w:r>
          </w:p>
        </w:tc>
        <w:tc>
          <w:tcPr>
            <w:tcW w:w="1785" w:type="pct"/>
            <w:vAlign w:val="center"/>
          </w:tcPr>
          <w:p w:rsidR="00D1521B" w:rsidRPr="008B53A9" w:rsidRDefault="00D1521B" w:rsidP="007D5FD2">
            <w:pPr>
              <w:pStyle w:val="Tabulka"/>
              <w:jc w:val="left"/>
              <w:rPr>
                <w:rFonts w:cs="Calibri"/>
                <w:color w:val="FF0000"/>
                <w:lang w:val="cs-CZ" w:eastAsia="cs-CZ"/>
              </w:rPr>
            </w:pPr>
            <w:r w:rsidRPr="008B53A9">
              <w:rPr>
                <w:rFonts w:cs="Calibri"/>
                <w:lang w:val="cs-CZ" w:eastAsia="cs-CZ"/>
              </w:rPr>
              <w:t>Ministr / Náměstek</w:t>
            </w:r>
          </w:p>
        </w:tc>
      </w:tr>
    </w:tbl>
    <w:p w:rsidR="006A127B" w:rsidRPr="008B53A9" w:rsidRDefault="00F64D76" w:rsidP="00F64D76">
      <w:pPr>
        <w:pStyle w:val="Nadpis2"/>
        <w:rPr>
          <w:rFonts w:cs="Calibri"/>
        </w:rPr>
      </w:pPr>
      <w:bookmarkStart w:id="127" w:name="_Toc391539687"/>
      <w:r w:rsidRPr="008B53A9">
        <w:rPr>
          <w:rFonts w:cs="Calibri"/>
        </w:rPr>
        <w:t>Zapojení příslušných partnerů</w:t>
      </w:r>
      <w:bookmarkEnd w:id="127"/>
    </w:p>
    <w:p w:rsidR="006A127B" w:rsidRPr="008B53A9" w:rsidRDefault="00F64D76" w:rsidP="00F64D76">
      <w:pPr>
        <w:pStyle w:val="Nadpis3"/>
        <w:rPr>
          <w:rFonts w:cs="Calibri"/>
        </w:rPr>
      </w:pPr>
      <w:bookmarkStart w:id="128" w:name="_Toc391539688"/>
      <w:r w:rsidRPr="008B53A9">
        <w:rPr>
          <w:rFonts w:cs="Calibri"/>
        </w:rPr>
        <w:t>Opatření přijatá k zapojení příslušných partnerů do přípravy operačního programu a úlohy partnerů při provádění, monitorování a hodnocení operačního programu</w:t>
      </w:r>
      <w:bookmarkEnd w:id="128"/>
    </w:p>
    <w:p w:rsidR="002D7AD5" w:rsidRPr="008B53A9" w:rsidRDefault="002D7AD5" w:rsidP="002D7AD5">
      <w:pPr>
        <w:pStyle w:val="Standardntext"/>
      </w:pPr>
      <w:r w:rsidRPr="008B53A9">
        <w:t xml:space="preserve">V roce 2011 byl na MPO ustanoven </w:t>
      </w:r>
      <w:r w:rsidRPr="008B53A9">
        <w:rPr>
          <w:b/>
        </w:rPr>
        <w:t>Řídící tým pro programovací období k využívání prostředků ze strukturálních fondů EU 2014 – 2020</w:t>
      </w:r>
      <w:r w:rsidRPr="008B53A9">
        <w:t>. Jeho úkolem je projednávat výstupy prací na kohezní politice a operačním programu před jejich předložením na poradu vedení MPO, Ministerstvu pro místní rozvoj a vládě ČR.</w:t>
      </w:r>
    </w:p>
    <w:p w:rsidR="002D7AD5" w:rsidRPr="008B53A9" w:rsidRDefault="002D7AD5" w:rsidP="002D7AD5">
      <w:pPr>
        <w:pStyle w:val="Standardntext"/>
      </w:pPr>
      <w:r w:rsidRPr="008B53A9">
        <w:t xml:space="preserve">Vedle práce Řídícího týmu byly organizovány v roce 2011 a 2012, tj. ještě v období před zahájením prací na programu, tzv. kulaté stoly se sociálními a hospodářskými partnery, na kterých byly diskutovány hlavně otázky týkající se návrhů zaměření intervencí budoucího programu. Jednání formou kulatých stolů získalo na významu a probíhalo i ve fázi vlastní </w:t>
      </w:r>
      <w:r w:rsidRPr="008B53A9">
        <w:lastRenderedPageBreak/>
        <w:t xml:space="preserve">přípravy programu; v roce 2013 např. v rámci </w:t>
      </w:r>
      <w:r w:rsidRPr="008B53A9">
        <w:rPr>
          <w:b/>
        </w:rPr>
        <w:t>Enterprise Europe Network</w:t>
      </w:r>
      <w:r w:rsidRPr="008B53A9">
        <w:rPr>
          <w:rStyle w:val="Znakapoznpodarou"/>
          <w:b/>
        </w:rPr>
        <w:footnoteReference w:id="94"/>
      </w:r>
      <w:r w:rsidRPr="008B53A9">
        <w:rPr>
          <w:b/>
        </w:rPr>
        <w:t xml:space="preserve"> organizovanými Technologickým centrem Akademie věd ČR</w:t>
      </w:r>
      <w:r w:rsidRPr="008B53A9">
        <w:t xml:space="preserve"> ve vybraných regionech ČR za účasti podnikatelů z příslušných regionů, kdy hlavním tématem vedle zaměření OP PIK na oblast VaVaI byly regionální RIS3 připravované příslušnými regionálními RIS3 manažery. Smyslem bylo konzultovat se zástupci firemního sektoru návrh nového programu, zjistit jejich názory na strukturu, specifické cíle, na rozdělení intervenčních oblastí, na navržená opatření, podporované činnosti, apod. Pozitivní z těchto setkání je skutečnost, že prioritní osa programu zaměřená na VaVaI (stěžejní téma kulatých stolů s touto cílovou skupinou) byla hodnocena kladně a navržené intervence byly shledány účelnými. Jako určitý problém hodný pozornosti k řešení z ESIF (ESF) byl obecně deklarován ze strany podnikatelů výrazný nedostatek technicky vzdělaných odborníků ve firmách.</w:t>
      </w:r>
    </w:p>
    <w:p w:rsidR="002D7AD5" w:rsidRPr="008B53A9" w:rsidRDefault="002D7AD5" w:rsidP="002D7AD5">
      <w:pPr>
        <w:pStyle w:val="Standardntext"/>
      </w:pPr>
      <w:r w:rsidRPr="008B53A9">
        <w:t xml:space="preserve">Aktivitou, která se dá zařadit pod princip partnerství a jejíž výsledky již jsou nebo v další fázi budou v programu zohledněny, je realizace externího projektu </w:t>
      </w:r>
      <w:r w:rsidRPr="008B53A9">
        <w:rPr>
          <w:b/>
        </w:rPr>
        <w:t>GEM – Global Entrepreneurship Monitor 2013</w:t>
      </w:r>
      <w:r w:rsidRPr="008B53A9">
        <w:t>. Jde o mezinárodní studii, kterou za ČR zpracovává VŠE za finanční spoluúčasti TA ČR a dále ve spolupráci s MPO. Cílem projektu je měřit rozdíly v podnikatelské aktivitě mezi různými zeměmi, identifikovat faktory, které tuto aktivitu ovlivňují a identifikovat opatření, která mohou podnikatelskou aktivitu podpořit. Výsledky projektu jsou ve vazbě na OP PIK relevantně využitelné pro nadefinování aktivit a intervencí programu v podstatě ve všech stávajících prioritních osách, zejména pak v oblasti rozvoje podnikání a motivace k podnikání, podnikavosti, zvyšování konkurenceschopnosti malých a středních podniků, VaV a inovací, spolupráce podniků a VaV institucí, motivace firem spolupracovat s výzkumnou sférou a vysokými školami, poradenství a nabídce služeb pro podniky, v oblasti energetiky (snižování energetické náročnosti). Se zjištěními GEMu bude pracováno při dalších pracích na programu.</w:t>
      </w:r>
    </w:p>
    <w:p w:rsidR="002D7AD5" w:rsidRPr="008B53A9" w:rsidRDefault="002D7AD5" w:rsidP="002D7AD5">
      <w:pPr>
        <w:pStyle w:val="Standardntext"/>
      </w:pPr>
      <w:r w:rsidRPr="008B53A9">
        <w:t xml:space="preserve">V souladu s čl. 5 obecného nařízení probíhá příprava OP PIK </w:t>
      </w:r>
      <w:r w:rsidRPr="008B53A9">
        <w:rPr>
          <w:b/>
        </w:rPr>
        <w:t>při plném respektování principu partnerství</w:t>
      </w:r>
      <w:r w:rsidRPr="008B53A9">
        <w:t>, tj. zapojení relevantních sociálních a hospodářských partnerů a dalších národních aktérů do přípravy programu (zástupci ministerstev, hospodářských svazů a asociací, zástupci odborových svazů, zaměstnavatelských a podnikatelských svazů, asociace krajů, svazu měst a obcí, vysokých škol a akademické sféry, nevládních organizací, a dalších organizací a institucí). Respektování principu partnerství zahrnuje přípravu programu a v další fázi jeho implementaci; provádění, monitorování, hodnocení. Seznam všech partnerů zapojených do přípravy programu je uveden v kapitole 12.3.</w:t>
      </w:r>
    </w:p>
    <w:p w:rsidR="002D7AD5" w:rsidRPr="008B53A9" w:rsidRDefault="002D7AD5" w:rsidP="002D7AD5">
      <w:pPr>
        <w:pStyle w:val="Standardntext"/>
      </w:pPr>
      <w:r w:rsidRPr="008B53A9">
        <w:t xml:space="preserve">Na základě Metodiky pro tvorbu programových dokumentů ustanovilo MPO jako Řídící orgán operačního programu </w:t>
      </w:r>
      <w:r w:rsidRPr="008B53A9">
        <w:rPr>
          <w:b/>
        </w:rPr>
        <w:t>pracovní skupiny</w:t>
      </w:r>
      <w:r w:rsidRPr="008B53A9">
        <w:t xml:space="preserve"> pro rozpracování prioritních os programu, pro řešení finančních nástrojů a pro řešení horizontálních témat souvisejících s implementací programu (programové indikátory, implementační systém, veřejná podpora, veřejné zakázky, metodika, informační systém, monitoring, atd.). U složení pracovních skupin byl respektován princip partnerství, kdy pracovní skupiny, jejichž členy jsou zástupci Řídícího orgánu věcně se zabývající příslušnými agendami, byly rozšířeny o zástupce relevantních ministerstev (MMR, MPSV, MŠMT, MD, MŽP, MK) a dalších externích odborníků na problematiku řešenou v dané pracovní skupině. Hospodářští a sociální partneři byli vybíráni v rámci konzultací s vedoucími pracovních skupin. Ti, na základě svých zkušeností a dřívější spolupráce, vytipovali </w:t>
      </w:r>
      <w:r w:rsidRPr="008B53A9">
        <w:lastRenderedPageBreak/>
        <w:t xml:space="preserve">okruh zástupců z hospodářských a sociálních partnerů, jejichž odborné zaměření bylo pro přípravu OP PIK a jeho jednotlivých prioritních os relevantní a přínosné.  </w:t>
      </w:r>
    </w:p>
    <w:p w:rsidR="002D7AD5" w:rsidRPr="008B53A9" w:rsidRDefault="002D7AD5" w:rsidP="002D7AD5">
      <w:pPr>
        <w:pStyle w:val="Standardntext"/>
      </w:pPr>
      <w:r w:rsidRPr="008B53A9">
        <w:t xml:space="preserve">V lednu 2013 ustanovilo MPO </w:t>
      </w:r>
      <w:r w:rsidRPr="008B53A9">
        <w:rPr>
          <w:b/>
        </w:rPr>
        <w:t xml:space="preserve">Platformu pro přípravu OP PIK. </w:t>
      </w:r>
      <w:r w:rsidRPr="008B53A9">
        <w:t>Do Platformy byli jmenováni jako členové vedle zástupců MPO zástupci MMR-NOK, MF, zástupci řídicích orgánů relevantních operačních programů (MŠMT, MPSV, MŽP, MZe, MD), agentury CzechInvest, TA ČR a hospodářských a sociálních partnerů, včetně zástupců neziskové sféry. Jednání Platformy se účastní rovněž vedoucí pracovních skupin MPO a zástupci ex-ante hodnotitele a SEA hodnotitele programu. Členové Platformy dohlíží na přípravu programu a zajišťují zohlednění zájmů relevantních partnerů a respektování principu partnerství při jeho přípravě. Jednotlivé instituce, organizace a svazy byly vybírány do Platformy podle relevantnosti zaměření jejich činnosti k operačnímu programu a na základě oslovení Řídícím orgánem OP PIK jmenovaly samy své zástupce. V několika případech požádaly o zastoupení v Platformě přímo. Během přípravy operačního programu jsou konzultovány a připomínkovány pracovní verze programu nejprve v rámci Řídícího orgánu, návazně v pracovních skupinách, dále s jednotlivými věcně příslušnými útvary MPO a následně i s dalšími partnery, mj. v rámci jednání Platformy. Postupně schvalované a připomínkované verze operačního programu jsou aktualizovány, a to také v návaznosti na výstupy SEA a ex-ante hodnocení programu a na základě připomínek ze strany MMR-NOK. Mimo jednání Platformy a pracovních skupin probíhají na principu partnerství rovněž bilaterální jednání. V souvislosti s principem partnerství je Řídící orgán OP PIK zapojen i do činnosti pracovních skupin a platforem řízených MMR: Meziresortní expertní poradní skupina pro přípravu metodického prostředí, PS pro přípravu Dohody o partnerství, PS k rozpracování programů 2014 – 2020, PS k integrovaným přístupům a územní dimenzi, dále je Řídící orgán OP PIK zapojen do činnosti platforem a řídících výborů ostatních řídících orgánů a v neposlední řadě do činnosti Rady pro ESI fondy a jejích tematicky zaměřených pracovních skupin.</w:t>
      </w:r>
    </w:p>
    <w:p w:rsidR="002D7AD5" w:rsidRPr="008B53A9" w:rsidRDefault="002D7AD5" w:rsidP="002D7AD5">
      <w:pPr>
        <w:pStyle w:val="Standardntext"/>
      </w:pPr>
      <w:r w:rsidRPr="008B53A9">
        <w:t xml:space="preserve">V první fázi přípravy programu byly s partnery konzultovány nejprve možnosti jejich zapojení do činnosti příslušných pracovních skupin Řídícího orgánu a následně to byly již otázky vlastního věcného zaměření programu a jeho prioritních os, tj. věcné nastavení intervencí programu, jejich koncentrace či rozšíření, dále otázky forem podpory (dotace, finanční nástroje), příjemců (malé a střední podniky, velké podniky a další subjekty), hraničních oblastí (překryvů a synergií) s ostatními programy. Dále byly projednávány otázky zapracování a zohlednění územní dimenze v programu, indikátorů, finančních alokací a nastavení systému implementace a jeho jednotlivých subjektů.  </w:t>
      </w:r>
    </w:p>
    <w:p w:rsidR="002D7AD5" w:rsidRPr="008B53A9" w:rsidRDefault="002D7AD5" w:rsidP="002D7AD5">
      <w:pPr>
        <w:pStyle w:val="Standardntext"/>
      </w:pPr>
      <w:r w:rsidRPr="008B53A9">
        <w:t xml:space="preserve">Základním nástrojem pro zapojení relevantních partnerů do vlastní implementace, monitorování, a evaluací operačního programu bude </w:t>
      </w:r>
      <w:r w:rsidRPr="008B53A9">
        <w:rPr>
          <w:b/>
        </w:rPr>
        <w:t>Monitorovací výbor OP PIK</w:t>
      </w:r>
      <w:r w:rsidRPr="008B53A9">
        <w:t>. Monitorovací výbor bude ustanoven na návrh Řídicího orgánu nejpozději do 3 měsíců od schválení programu Evropskou komisí. Při sestavování Monitorovacího výboru bude primárně vycházeno z členství v Platformě MPO pro přípravu OP PIK tak, aby se aktéři zapojení do přípravy OP PIK odpovídajícím způsobem podíleli také na jeho provádění.</w:t>
      </w:r>
    </w:p>
    <w:p w:rsidR="002D7AD5" w:rsidRPr="008B53A9" w:rsidRDefault="002D7AD5" w:rsidP="002D7AD5">
      <w:pPr>
        <w:pStyle w:val="Modrnadpis"/>
        <w:ind w:left="0" w:firstLine="0"/>
      </w:pPr>
      <w:r w:rsidRPr="008B53A9">
        <w:t>Hlavní výsledky a závěry z jednání s partnery ve fázi přípravy programu a jejich zohlednění v operačním programu</w:t>
      </w:r>
    </w:p>
    <w:p w:rsidR="002D7AD5" w:rsidRPr="008B53A9" w:rsidRDefault="002D7AD5" w:rsidP="002D7AD5">
      <w:pPr>
        <w:pStyle w:val="Standardntext"/>
      </w:pPr>
      <w:r w:rsidRPr="008B53A9">
        <w:t xml:space="preserve">K OP PIK proběhla tři základní kola připomínkových řízení, ve kterých mohly k návrhu programu vznést připomínky jak členové Platformy, tak členové pracovních skupin. Došlé připomínky byly následně partnerům prezentovány a s nimi projednány. Při připomínkování první verze programu (březen 2013) převažovaly otázky věcného zaměření intervencí </w:t>
      </w:r>
      <w:r w:rsidRPr="008B53A9">
        <w:lastRenderedPageBreak/>
        <w:t xml:space="preserve">programu a národních strategií, ze kterých by měl program vycházet. V této fázi bylo potřeba ze strany Řídícího orgánu vysvětlovat partnerům celkovou filosofii kohezní politiky 2014 - 2020, která je v mnohem větší míře zaměřena na výsledky a na koncentraci zdrojů na menší počet priorit vázaných na tematické cíle a investiční priority dle příslušných nařízení. Diskuse se vedly např. v oblasti energetiky (distribuční a přenosové sítě), v oblasti míry a rozsahu uplatnění finančních nástrojů v programu, o otázce podpory nejen MSP, ale i velkých podniků, což je pro ČR důležitá otázka při vyjednání programu. </w:t>
      </w:r>
    </w:p>
    <w:p w:rsidR="002D7AD5" w:rsidRPr="008B53A9" w:rsidRDefault="002D7AD5" w:rsidP="002D7AD5">
      <w:pPr>
        <w:pStyle w:val="Standardntext"/>
      </w:pPr>
      <w:r w:rsidRPr="008B53A9">
        <w:t>V rámci připomínkování druhé verze programu (červen 2013) a následně čtvrté verze programu (listopad 2013) byly diskutovány otázky vztahující se k implementaci programu, (určení zprostředkujících subjektů, zapojení regionálních partnerů, apod.), návrhy absorpční kapacity a rozložení alokací na jednotlivé prioritní osy, územní dimenze a zejména soulad programu s Dohodou o partnerství. V této fázi bylo docíleno zásadního posunu v zaměření prioritní osy 1, čímž došlo při redukci specifických cílů k efektivnějšímu provázání aktivit mezi OP PIK a OP VVV (podpora aplikovaného průmyslového výzkumu v rámci OP PIK), a prioritní osy 2, kde bylo upřesněno zejména zaměření a rozsah specializovaných služeb pro MSP a odborné vzdělávání v podnicích ve vazbě na OPZ. Dále došlo k zásadním změnám v prioritní ose 3 v oblasti energetiky (inteligentní přenosové sítě, přesun tématu VaVaI v energetice do prioritní osy 1, ekoinovace). Diskutovány byly otázky vazeb mezi programy, zejména vazby mezi OP PIK a OP VVV, kde se předpokládají největší synergické efekty, dále OP PIK a OPZ , OP ŽP, PRV a OP PPR. V souvislosti s posledně jmenovaným programem byla zvážena možnost využití čl. 70 obecného nařízení k podpoře subjektů v rámci prioritní osy 1 mimo programovou oblast OP PIK, tj. z regionu podporovaného v rámci OP PPR. Důležitým tématem bylo využití finančních nástrojů a příjemců v oblasti finančních nástrojů. V otázce řešení územní dimenze a integrovaných nástrojů (zejména ITI) došlo v rámci jednání s relevantními regionálními partnery a MMR-NOK ke shodě ohledně zohlednění této problematiky v operačním programu. V závěrečné fázi tvorby programu (červen 2014) byla témata z oblasti VaV a inovací navrhovaná k podpoře v OP PIK diskutována s relevantními partnery z řad podnikatelů v rámci kulatých stolů, které Řídící orgán organizoval pro naplněni doporučení využít v rámci principu partnerství tzv. „</w:t>
      </w:r>
      <w:r w:rsidRPr="008B53A9">
        <w:rPr>
          <w:b/>
        </w:rPr>
        <w:t>entrepreneurial discovery proces</w:t>
      </w:r>
      <w:r w:rsidRPr="008B53A9">
        <w:t>“. Výsledky těchto setkání budou využity zejména při koncipování jednotlivých programů podpory pro VaV a inovace a systému jejich implementace.</w:t>
      </w:r>
    </w:p>
    <w:p w:rsidR="002D7AD5" w:rsidRPr="008B53A9" w:rsidRDefault="002D7AD5" w:rsidP="002D7AD5">
      <w:pPr>
        <w:pStyle w:val="Standardntext"/>
      </w:pPr>
      <w:r w:rsidRPr="008B53A9">
        <w:t>V rámci přípravy prioritní osy 1 nebyly zaznamenány zásadní připomínky týkající se zvolených oblastí podpory, připomínky se týkaly spíše rozčlenění aktivit do specifických cílů, které byly následně upraveny, a ujasňování obsahu plánovaných podporovaných aktivit, které byly promítnuty do rozpracovaných typových projektů. Zohledněny byly rovněž připomínky týkající se nastavení indikátorové soustavy.</w:t>
      </w:r>
    </w:p>
    <w:p w:rsidR="002D7AD5" w:rsidRPr="008B53A9" w:rsidRDefault="002D7AD5" w:rsidP="002D7AD5">
      <w:pPr>
        <w:pStyle w:val="Standardntext"/>
      </w:pPr>
      <w:r w:rsidRPr="008B53A9">
        <w:t>Připomínky partnerů k návrhům v rámci prioritní osy 2 jsou uplatňovány průběžně při jejich přípravě a projednávání. V úvodní etapě přípravy se připomínky týkaly především stanovení cílů, kterých má být PO 2 dosaženo a navrhovaných aktivit. Dále se řešil zejména přístup k podporám začínajících a rozvojových podniků, podnikatelské infrastruktury, poradenství pro začínající podniky, podpora internacionalizace MSP, sociálního podnikání, odborného vzdělávání zaměstnanců a zaměstnavatelů, a také otázky územní dimenze a formy podpory. Připomínky partnerů byly diskutovány na jednáních pracovní skupiny PO 2, elektronicky a také při osobních setkáních na jednáních platformy a dalších tematických akcích OP PIK. Převážná většina připomínek byla na základě argumentace vypořádána a nebyly zaznamenány zásadní rozpory.</w:t>
      </w:r>
    </w:p>
    <w:p w:rsidR="002D7AD5" w:rsidRPr="008B53A9" w:rsidRDefault="002D7AD5" w:rsidP="002D7AD5">
      <w:pPr>
        <w:pStyle w:val="Standardntext"/>
      </w:pPr>
      <w:r w:rsidRPr="008B53A9">
        <w:lastRenderedPageBreak/>
        <w:t>V průběhu přípravy PO 3 proběhlo několik jednání, na kterých byly mj. se zástupci odborných asociací, energetických expertů a nevládních organizací diskutovány otázky týkající se zaměření podporovaných aktivit a finanční alokace jednotlivých specifických cílů. Veškeré připomínky byly vypořádány v rámci diskuzních setkání případně přes formální připomínkové řízení. Opakovaně zmiňovaným požadavkem bylo navýšení alokace u SC 3.2 z důvodu naplňování Směrnice Evropského parlamentu a Rady 2012/27/EU o energetické účinnosti, která stanovuje zavedení orientačních vnitrostátních cílů energetické účinnosti do roku 2020. Tento požadavek byl s ohledem na relevantnost plně akceptován. Dále bylo například diskutováno zařazení instalace obnovitelných zdrojů energie v podnicích do SC 3.2, kde pracovní skupina dospěla ke konsenzu v podobě zařazení s upřesněním, že se musí jednat o zařízení pro vlastní spotřebu podniku.</w:t>
      </w:r>
    </w:p>
    <w:p w:rsidR="002D7AD5" w:rsidRPr="008B53A9" w:rsidRDefault="002D7AD5" w:rsidP="002D7AD5">
      <w:pPr>
        <w:pStyle w:val="Standardntext"/>
      </w:pPr>
      <w:r w:rsidRPr="008B53A9">
        <w:t>Pokud jde o prioritní osu 4, partneři zapojení do přípravy této prioritní osy uplatnili v zásadě jen několik málo připomínek zásadního charakteru, např. připomínky týkající se typu technologie aplikovatelné v rámci SC 4.1 (řešení založené na družicové telekomunikaci) či vymezení příjemců podpory v SC 4.2 (neomezovat příjemce selektivně dle klasifikace ekonomických činností).</w:t>
      </w:r>
    </w:p>
    <w:p w:rsidR="002D7AD5" w:rsidRPr="008B53A9" w:rsidRDefault="002D7AD5" w:rsidP="002D7AD5">
      <w:pPr>
        <w:pStyle w:val="Standardntext"/>
      </w:pPr>
      <w:r w:rsidRPr="008B53A9">
        <w:t>Povinnou součástí přípravy operačního programu bylo předběžné (ex-ante) hodnocení, které probíhalo paralelně s přípravou programu. Ex-ante hodnotitel byl zapojen do jednání Platformy a dle potřeby se účastnil jednání pracovních skupin či bilaterálních jednání Řídícího orgánu. Verze OP PIK předložená EK je zhodnocena v závěrečné zprávě ex-ante hodnocení, která je přílohou programového dokumentu. Spolupráce řídícího orgánu s ex-ante hodnotitelem probíhala dle doporučení MMR-NOK a EK po celou dobu tvorby programu, tedy až do doby zaslání programu Evropské komisi pro účely formálního vyjednávání.</w:t>
      </w:r>
    </w:p>
    <w:p w:rsidR="002F5A67" w:rsidRPr="008B53A9" w:rsidRDefault="002D7AD5" w:rsidP="002D7AD5">
      <w:pPr>
        <w:pStyle w:val="Standardntext"/>
        <w:rPr>
          <w:lang w:val="cs-CZ"/>
        </w:rPr>
      </w:pPr>
      <w:r w:rsidRPr="008B53A9">
        <w:t>Za účelem informování veřejnosti o přípravě operačního programu a jeho následné implementaci je Řídícím orgánem zřízena webová stránka OP PIK (</w:t>
      </w:r>
      <w:hyperlink r:id="rId44" w:history="1">
        <w:r w:rsidRPr="008B53A9">
          <w:rPr>
            <w:rStyle w:val="Hypertextovodkaz"/>
          </w:rPr>
          <w:t>http://www.mpo.cz/cz/podpora-podnikani/oppik/</w:t>
        </w:r>
      </w:hyperlink>
      <w:r w:rsidRPr="008B53A9">
        <w:t>).</w:t>
      </w:r>
    </w:p>
    <w:p w:rsidR="006A127B" w:rsidRPr="008B53A9" w:rsidRDefault="00F64D76" w:rsidP="00F64D76">
      <w:pPr>
        <w:pStyle w:val="Nadpis3"/>
        <w:rPr>
          <w:rFonts w:cs="Calibri"/>
        </w:rPr>
      </w:pPr>
      <w:bookmarkStart w:id="129" w:name="_Toc391539689"/>
      <w:r w:rsidRPr="008B53A9">
        <w:rPr>
          <w:rFonts w:cs="Calibri"/>
        </w:rPr>
        <w:t>Globální granty (pro ESF, použije-li se)</w:t>
      </w:r>
      <w:bookmarkEnd w:id="129"/>
    </w:p>
    <w:p w:rsidR="00091C87" w:rsidRPr="008B53A9" w:rsidRDefault="000F7B0A" w:rsidP="008A5FCE">
      <w:pPr>
        <w:pStyle w:val="Standardntext"/>
      </w:pPr>
      <w:r w:rsidRPr="008B53A9">
        <w:t>Není relevantní pro OP PIK.</w:t>
      </w:r>
    </w:p>
    <w:p w:rsidR="006A127B" w:rsidRPr="008B53A9" w:rsidRDefault="00F64D76" w:rsidP="00F64D76">
      <w:pPr>
        <w:pStyle w:val="Nadpis3"/>
        <w:rPr>
          <w:rFonts w:cs="Calibri"/>
        </w:rPr>
      </w:pPr>
      <w:bookmarkStart w:id="130" w:name="_Toc391539690"/>
      <w:r w:rsidRPr="008B53A9">
        <w:rPr>
          <w:rFonts w:cs="Calibri"/>
        </w:rPr>
        <w:t>Přidělení částky na vytváření kapacit (pro ESF, použije-li se)</w:t>
      </w:r>
      <w:bookmarkEnd w:id="130"/>
    </w:p>
    <w:p w:rsidR="00091C87" w:rsidRPr="008B53A9" w:rsidRDefault="000F7B0A" w:rsidP="008A5FCE">
      <w:pPr>
        <w:pStyle w:val="Standardntext"/>
      </w:pPr>
      <w:r w:rsidRPr="008B53A9">
        <w:t>Není relevantní pro OP PIK.</w:t>
      </w:r>
    </w:p>
    <w:p w:rsidR="009E6172" w:rsidRPr="008B53A9" w:rsidRDefault="00FF200C" w:rsidP="00FF200C">
      <w:pPr>
        <w:pStyle w:val="Nadpis1"/>
      </w:pPr>
      <w:bookmarkStart w:id="131" w:name="_Toc391539691"/>
      <w:r w:rsidRPr="008B53A9">
        <w:lastRenderedPageBreak/>
        <w:t xml:space="preserve">Koordinace mezi fondy, EZFRV, </w:t>
      </w:r>
      <w:r w:rsidR="001B1FD9" w:rsidRPr="008B53A9">
        <w:t>EMFF</w:t>
      </w:r>
      <w:r w:rsidRPr="008B53A9">
        <w:t xml:space="preserve"> a dalšími unijními a </w:t>
      </w:r>
      <w:r w:rsidR="00F64D76" w:rsidRPr="008B53A9">
        <w:t>vnitrostátními</w:t>
      </w:r>
      <w:r w:rsidRPr="008B53A9">
        <w:t xml:space="preserve"> </w:t>
      </w:r>
      <w:r w:rsidR="00F64D76" w:rsidRPr="008B53A9">
        <w:t>finančními</w:t>
      </w:r>
      <w:r w:rsidRPr="008B53A9">
        <w:t xml:space="preserve"> nástroji a s EIB</w:t>
      </w:r>
      <w:bookmarkEnd w:id="131"/>
    </w:p>
    <w:p w:rsidR="000B1CBB" w:rsidRPr="008B53A9" w:rsidRDefault="000B1CBB" w:rsidP="00396141">
      <w:pPr>
        <w:pStyle w:val="Modrnadpis"/>
        <w:rPr>
          <w:rFonts w:eastAsia="Arial Unicode MS"/>
        </w:rPr>
      </w:pPr>
      <w:r w:rsidRPr="008B53A9">
        <w:t>Zajištění koordinace s ostatními Evropskými strukturálními a investičními fondy</w:t>
      </w:r>
    </w:p>
    <w:p w:rsidR="000B1709" w:rsidRPr="008B53A9" w:rsidRDefault="000B1709" w:rsidP="000B1709">
      <w:pPr>
        <w:pStyle w:val="Standardntext"/>
      </w:pPr>
      <w:r w:rsidRPr="008B53A9">
        <w:t xml:space="preserve">Mezi programy spolufinancované </w:t>
      </w:r>
      <w:r w:rsidR="00627385" w:rsidRPr="008B53A9">
        <w:t xml:space="preserve">v České republice </w:t>
      </w:r>
      <w:r w:rsidRPr="008B53A9">
        <w:t xml:space="preserve">z ESIF </w:t>
      </w:r>
      <w:r w:rsidR="00627385" w:rsidRPr="008B53A9">
        <w:t xml:space="preserve">v </w:t>
      </w:r>
      <w:r w:rsidRPr="008B53A9">
        <w:t>programové</w:t>
      </w:r>
      <w:r w:rsidR="00627385" w:rsidRPr="008B53A9">
        <w:t>m</w:t>
      </w:r>
      <w:r w:rsidRPr="008B53A9">
        <w:t xml:space="preserve"> období let 2014 - 2020, u nichž byla identifikována komplementární či synergická vazba ve vztahu k OP PIK, patří:</w:t>
      </w:r>
    </w:p>
    <w:p w:rsidR="000B1709" w:rsidRPr="008B53A9" w:rsidRDefault="000B1709" w:rsidP="005F43DF">
      <w:pPr>
        <w:pStyle w:val="Standardntext"/>
        <w:numPr>
          <w:ilvl w:val="0"/>
          <w:numId w:val="67"/>
        </w:numPr>
      </w:pPr>
      <w:r w:rsidRPr="008B53A9">
        <w:t>Operační program Výzkum, vývoj a vzdělávání (OP VVV),</w:t>
      </w:r>
    </w:p>
    <w:p w:rsidR="000B1709" w:rsidRPr="008B53A9" w:rsidRDefault="000B1709" w:rsidP="005F43DF">
      <w:pPr>
        <w:pStyle w:val="Standardntext"/>
        <w:numPr>
          <w:ilvl w:val="0"/>
          <w:numId w:val="67"/>
        </w:numPr>
      </w:pPr>
      <w:r w:rsidRPr="008B53A9">
        <w:t>Operační program Zaměstnanost (OP Z),</w:t>
      </w:r>
    </w:p>
    <w:p w:rsidR="000B1709" w:rsidRPr="008B53A9" w:rsidRDefault="000B1709" w:rsidP="005F43DF">
      <w:pPr>
        <w:pStyle w:val="Standardntext"/>
        <w:numPr>
          <w:ilvl w:val="0"/>
          <w:numId w:val="67"/>
        </w:numPr>
      </w:pPr>
      <w:r w:rsidRPr="008B53A9">
        <w:t>Operační program Doprava (OP D),</w:t>
      </w:r>
    </w:p>
    <w:p w:rsidR="000B1709" w:rsidRPr="008B53A9" w:rsidRDefault="000B1709" w:rsidP="005F43DF">
      <w:pPr>
        <w:pStyle w:val="Standardntext"/>
        <w:numPr>
          <w:ilvl w:val="0"/>
          <w:numId w:val="67"/>
        </w:numPr>
      </w:pPr>
      <w:r w:rsidRPr="008B53A9">
        <w:t>Operační program Životní prostředí (OP ŽP),</w:t>
      </w:r>
    </w:p>
    <w:p w:rsidR="000B1709" w:rsidRPr="008B53A9" w:rsidRDefault="000B1709" w:rsidP="005F43DF">
      <w:pPr>
        <w:pStyle w:val="Standardntext"/>
        <w:numPr>
          <w:ilvl w:val="0"/>
          <w:numId w:val="67"/>
        </w:numPr>
      </w:pPr>
      <w:r w:rsidRPr="008B53A9">
        <w:t>Integrovaný regionální operační program (IROP),</w:t>
      </w:r>
    </w:p>
    <w:p w:rsidR="000B1709" w:rsidRPr="008B53A9" w:rsidRDefault="000B1709" w:rsidP="005F43DF">
      <w:pPr>
        <w:pStyle w:val="Standardntext"/>
        <w:numPr>
          <w:ilvl w:val="0"/>
          <w:numId w:val="67"/>
        </w:numPr>
      </w:pPr>
      <w:r w:rsidRPr="008B53A9">
        <w:t>Operační program Praha - pól růstu ČR (OP PPR),</w:t>
      </w:r>
    </w:p>
    <w:p w:rsidR="000B1709" w:rsidRPr="008B53A9" w:rsidRDefault="000B1709" w:rsidP="005F43DF">
      <w:pPr>
        <w:pStyle w:val="Standardntext"/>
        <w:numPr>
          <w:ilvl w:val="0"/>
          <w:numId w:val="67"/>
        </w:numPr>
      </w:pPr>
      <w:r w:rsidRPr="008B53A9">
        <w:t>Operační program Rybářství (OP R),</w:t>
      </w:r>
    </w:p>
    <w:p w:rsidR="000B1709" w:rsidRPr="008B53A9" w:rsidRDefault="000B1709" w:rsidP="005F43DF">
      <w:pPr>
        <w:pStyle w:val="Standardntext"/>
        <w:numPr>
          <w:ilvl w:val="0"/>
          <w:numId w:val="67"/>
        </w:numPr>
      </w:pPr>
      <w:r w:rsidRPr="008B53A9">
        <w:t>Program rozvoje venkova (PRV</w:t>
      </w:r>
      <w:r w:rsidR="00D95362" w:rsidRPr="008B53A9">
        <w:t>)</w:t>
      </w:r>
      <w:r w:rsidR="00310096" w:rsidRPr="008B53A9">
        <w:t>,</w:t>
      </w:r>
    </w:p>
    <w:p w:rsidR="00310096" w:rsidRPr="008B53A9" w:rsidRDefault="00310096" w:rsidP="005F43DF">
      <w:pPr>
        <w:pStyle w:val="Standardntext"/>
        <w:numPr>
          <w:ilvl w:val="0"/>
          <w:numId w:val="67"/>
        </w:numPr>
      </w:pPr>
      <w:r w:rsidRPr="008B53A9">
        <w:t>programy Cíle 2 Evropská územní spolupráce.</w:t>
      </w:r>
    </w:p>
    <w:p w:rsidR="00732320" w:rsidRPr="008B53A9" w:rsidRDefault="000B1709" w:rsidP="000B1709">
      <w:pPr>
        <w:pStyle w:val="Standardntext"/>
      </w:pPr>
      <w:r w:rsidRPr="008B53A9">
        <w:t>Následující přehled podává stručnou informaci o tom, které oblasti intervencí obsažené ve výše uvedených programech jsou předmětem koordinace mezi OP PIK a těmito programy. Bližší specifikace identifikovaných komplementárních a synergických vazeb</w:t>
      </w:r>
      <w:r w:rsidR="00CF4719" w:rsidRPr="008B53A9">
        <w:t>, včetně koordinačních mechanismů,</w:t>
      </w:r>
      <w:r w:rsidRPr="008B53A9">
        <w:t xml:space="preserve"> je součástí </w:t>
      </w:r>
      <w:r w:rsidR="00D3716C" w:rsidRPr="008B53A9">
        <w:t>Nepovinné p</w:t>
      </w:r>
      <w:r w:rsidRPr="008B53A9">
        <w:t xml:space="preserve">řílohy č. </w:t>
      </w:r>
      <w:r w:rsidR="00F734D1" w:rsidRPr="008B53A9">
        <w:t>4</w:t>
      </w:r>
      <w:r w:rsidRPr="008B53A9">
        <w:t>.</w:t>
      </w:r>
    </w:p>
    <w:p w:rsidR="000B1709" w:rsidRPr="008B53A9" w:rsidRDefault="005B0FF9" w:rsidP="000B1709">
      <w:pPr>
        <w:pStyle w:val="Standardntext"/>
      </w:pPr>
      <w:r w:rsidRPr="008B53A9">
        <w:t xml:space="preserve">Mechanismem spolupráce </w:t>
      </w:r>
      <w:r w:rsidR="00706740" w:rsidRPr="008B53A9">
        <w:t xml:space="preserve">jsou a nadále </w:t>
      </w:r>
      <w:r w:rsidR="00A567C4" w:rsidRPr="008B53A9">
        <w:t xml:space="preserve">budou </w:t>
      </w:r>
      <w:r w:rsidRPr="008B53A9">
        <w:t xml:space="preserve">jednak bilaterální </w:t>
      </w:r>
      <w:r w:rsidR="006D168E" w:rsidRPr="008B53A9">
        <w:t>(v případě většího počtu zainteresovaných řídících orgánů</w:t>
      </w:r>
      <w:r w:rsidRPr="008B53A9">
        <w:t xml:space="preserve"> multilaterální</w:t>
      </w:r>
      <w:r w:rsidR="006D168E" w:rsidRPr="008B53A9">
        <w:t>)</w:t>
      </w:r>
      <w:r w:rsidRPr="008B53A9">
        <w:t xml:space="preserve"> diskuse ohledně věcného zaměření příslušných oblastí intervencí a rovněž v</w:t>
      </w:r>
      <w:r w:rsidR="006D168E" w:rsidRPr="008B53A9">
        <w:t>zájemná</w:t>
      </w:r>
      <w:r w:rsidRPr="008B53A9">
        <w:t xml:space="preserve"> účast v relevantních </w:t>
      </w:r>
      <w:r w:rsidR="00B6210A" w:rsidRPr="008B53A9">
        <w:t xml:space="preserve">pracovních skupinách či </w:t>
      </w:r>
      <w:r w:rsidRPr="008B53A9">
        <w:t xml:space="preserve">platformách ustavených </w:t>
      </w:r>
      <w:r w:rsidR="006D168E" w:rsidRPr="008B53A9">
        <w:t>na úrovni operačních programů</w:t>
      </w:r>
      <w:r w:rsidR="005473E3" w:rsidRPr="008B53A9">
        <w:t xml:space="preserve"> i</w:t>
      </w:r>
      <w:r w:rsidR="006D168E" w:rsidRPr="008B53A9">
        <w:t xml:space="preserve"> Dohody o partnerství</w:t>
      </w:r>
      <w:r w:rsidRPr="008B53A9">
        <w:t>.</w:t>
      </w:r>
      <w:r w:rsidR="00B6210A" w:rsidRPr="008B53A9">
        <w:t xml:space="preserve"> Ve fázi realizace se </w:t>
      </w:r>
      <w:r w:rsidR="0062540E" w:rsidRPr="008B53A9">
        <w:t xml:space="preserve">u vybraných aktivit </w:t>
      </w:r>
      <w:r w:rsidR="00B6210A" w:rsidRPr="008B53A9">
        <w:t xml:space="preserve">předpokládá </w:t>
      </w:r>
      <w:r w:rsidR="0062540E" w:rsidRPr="008B53A9">
        <w:t xml:space="preserve">koordinace výzev a dále </w:t>
      </w:r>
      <w:r w:rsidR="00B6210A" w:rsidRPr="008B53A9">
        <w:t>vzájemné zastoupení zástupců řídícího orgánu daného programu na monitorovacích výborech, koordinace prostřednictvím centrálního webového rozhraní MMR-NOK poskytující komplexní informace potenciálním žadatelům, či spolupráce na evaluacích v dané oblasti.</w:t>
      </w:r>
    </w:p>
    <w:p w:rsidR="00B117BE" w:rsidRPr="008B53A9" w:rsidRDefault="00B117BE" w:rsidP="005F43DF">
      <w:pPr>
        <w:pStyle w:val="Standardntext"/>
        <w:keepNext/>
        <w:keepLines/>
        <w:numPr>
          <w:ilvl w:val="0"/>
          <w:numId w:val="31"/>
        </w:numPr>
        <w:rPr>
          <w:b/>
        </w:rPr>
      </w:pPr>
      <w:r w:rsidRPr="008B53A9">
        <w:rPr>
          <w:b/>
        </w:rPr>
        <w:t>Inovace a podnikání</w:t>
      </w:r>
    </w:p>
    <w:p w:rsidR="00B117BE" w:rsidRPr="008B53A9" w:rsidRDefault="00EF1F7A" w:rsidP="00B117BE">
      <w:pPr>
        <w:pStyle w:val="Standardntext"/>
      </w:pPr>
      <w:r w:rsidRPr="008B53A9">
        <w:t xml:space="preserve">Jde o synergickou vazbu uvnitř Operačního programu, resp. mezi prioritní osou 1 a 2. </w:t>
      </w:r>
      <w:r w:rsidR="00B117BE" w:rsidRPr="008B53A9">
        <w:t xml:space="preserve">Aktivity specifických cílů 1 a 2 prioritní osy 2 OP PIK vytvářejí prostor pro </w:t>
      </w:r>
      <w:r w:rsidR="00B135E4" w:rsidRPr="008B53A9">
        <w:t>možnost podnikatelů naučit se</w:t>
      </w:r>
      <w:r w:rsidR="00B117BE" w:rsidRPr="008B53A9">
        <w:t xml:space="preserve"> efektivně využívat služby sofistikovaného inovačního poradenství, na jehož základě se jim otevřou dosud nevyužité možnosti pro růst jejich konkurenceschopnosti na mezinárodním trhu. MSP se tak mohou dostat na vyšší stupeň poznání v oblasti inovací a budou mít možnost využít nové směry pro uplatnění svých podnikatelských záměrů v </w:t>
      </w:r>
      <w:r w:rsidR="00B117BE" w:rsidRPr="008B53A9">
        <w:rPr>
          <w:b/>
        </w:rPr>
        <w:t>prioritní ose 1 OP PIK</w:t>
      </w:r>
      <w:r w:rsidR="00B117BE" w:rsidRPr="008B53A9">
        <w:t>, která je orientována spíše na podnikatelské subjekty se zkušenostmi na poli VaVaI.</w:t>
      </w:r>
    </w:p>
    <w:p w:rsidR="000B1709" w:rsidRPr="008B53A9" w:rsidRDefault="000B1709" w:rsidP="005F43DF">
      <w:pPr>
        <w:pStyle w:val="Standardntext"/>
        <w:keepNext/>
        <w:keepLines/>
        <w:numPr>
          <w:ilvl w:val="0"/>
          <w:numId w:val="31"/>
        </w:numPr>
        <w:rPr>
          <w:b/>
        </w:rPr>
      </w:pPr>
      <w:r w:rsidRPr="008B53A9">
        <w:rPr>
          <w:b/>
        </w:rPr>
        <w:lastRenderedPageBreak/>
        <w:t>Výzkum, vývoj a inovace</w:t>
      </w:r>
    </w:p>
    <w:p w:rsidR="00B135E4" w:rsidRPr="008B53A9" w:rsidRDefault="000B1709" w:rsidP="00732320">
      <w:pPr>
        <w:pStyle w:val="Standardntext"/>
        <w:keepNext/>
        <w:keepLines/>
      </w:pPr>
      <w:r w:rsidRPr="008B53A9">
        <w:t xml:space="preserve">V této oblasti má OP PIK jednoznačnou vazbu na </w:t>
      </w:r>
      <w:r w:rsidRPr="008B53A9">
        <w:rPr>
          <w:b/>
        </w:rPr>
        <w:t>OP VVV</w:t>
      </w:r>
      <w:r w:rsidR="00B135E4" w:rsidRPr="008B53A9">
        <w:t>, který</w:t>
      </w:r>
      <w:r w:rsidRPr="008B53A9">
        <w:t xml:space="preserve"> </w:t>
      </w:r>
      <w:r w:rsidR="00B135E4" w:rsidRPr="008B53A9">
        <w:t>se zaměřuje</w:t>
      </w:r>
      <w:r w:rsidRPr="008B53A9">
        <w:t xml:space="preserve"> na spolupráci výzkumných organizací a podniků ve velmi rané fázi výzkumu, kdy je </w:t>
      </w:r>
      <w:r w:rsidR="00627385" w:rsidRPr="008B53A9">
        <w:t xml:space="preserve">vysoké </w:t>
      </w:r>
      <w:r w:rsidRPr="008B53A9">
        <w:t xml:space="preserve">riziko </w:t>
      </w:r>
      <w:r w:rsidR="00627385" w:rsidRPr="008B53A9">
        <w:t xml:space="preserve">výsledku výzkumu a potenciál jeho </w:t>
      </w:r>
      <w:r w:rsidRPr="008B53A9">
        <w:t>uplatnění až v dlouhodobém horizontu. OP PIK bude naproti tomu podporovat opatření pro zvýšení inovační výkonnosti podniků, zvýšení intenzity a využití výsledků aplikovaného výzkumu a experimentálního vývoje v praxi a do rozvoje spolupráce mezi podnikatelským sektorem a veřejnými, vzdělávacími a vědecko-výzkumnými institucemi.</w:t>
      </w:r>
      <w:r w:rsidR="00C46B27" w:rsidRPr="008B53A9">
        <w:t xml:space="preserve"> Základem vzájemné spolupráce je </w:t>
      </w:r>
      <w:r w:rsidR="00C46B27" w:rsidRPr="008B53A9">
        <w:rPr>
          <w:i/>
        </w:rPr>
        <w:t>Memorandum o spolupráci při přípravě a budoucí realizaci OP PIK a OP VVV</w:t>
      </w:r>
      <w:r w:rsidR="00C46B27" w:rsidRPr="008B53A9">
        <w:t xml:space="preserve"> uzavřené na úrovni příslušných ministrů. </w:t>
      </w:r>
    </w:p>
    <w:p w:rsidR="00201994" w:rsidRPr="008B53A9" w:rsidRDefault="00201994" w:rsidP="00943140">
      <w:pPr>
        <w:pStyle w:val="Standardntext"/>
      </w:pPr>
      <w:r w:rsidRPr="008B53A9">
        <w:t xml:space="preserve">OP PIK má v oblasti VaVaI dále vazbu na </w:t>
      </w:r>
      <w:r w:rsidR="00627385" w:rsidRPr="008B53A9">
        <w:t xml:space="preserve">OP PPR a </w:t>
      </w:r>
      <w:r w:rsidR="00BD3CD0" w:rsidRPr="008B53A9">
        <w:t>několik</w:t>
      </w:r>
      <w:r w:rsidRPr="008B53A9">
        <w:t xml:space="preserve"> program</w:t>
      </w:r>
      <w:r w:rsidR="00BD3CD0" w:rsidRPr="008B53A9">
        <w:t>ů</w:t>
      </w:r>
      <w:r w:rsidRPr="008B53A9">
        <w:t xml:space="preserve"> Cíle 2</w:t>
      </w:r>
      <w:r w:rsidR="00B135E4" w:rsidRPr="008B53A9">
        <w:t>.</w:t>
      </w:r>
      <w:r w:rsidR="00BD3CD0" w:rsidRPr="008B53A9">
        <w:t xml:space="preserve"> Podpora z OP PIK bude mj. umožňovat vícestrannou mezinárodní spolupráci ve výzkumu.</w:t>
      </w:r>
    </w:p>
    <w:p w:rsidR="00693B57" w:rsidRPr="008B53A9" w:rsidRDefault="00693B57" w:rsidP="005F43DF">
      <w:pPr>
        <w:pStyle w:val="Standardntext"/>
        <w:numPr>
          <w:ilvl w:val="0"/>
          <w:numId w:val="31"/>
        </w:numPr>
        <w:spacing w:after="240"/>
        <w:rPr>
          <w:b/>
        </w:rPr>
      </w:pPr>
      <w:r w:rsidRPr="008B53A9">
        <w:rPr>
          <w:b/>
        </w:rPr>
        <w:t>Podpora podnikání MSP</w:t>
      </w:r>
    </w:p>
    <w:p w:rsidR="00693B57" w:rsidRPr="008B53A9" w:rsidRDefault="00693B57" w:rsidP="00693B57">
      <w:pPr>
        <w:pStyle w:val="Standardntext"/>
      </w:pPr>
      <w:r w:rsidRPr="008B53A9">
        <w:t xml:space="preserve">Na zvýšení konkurenceschopnosti malých a středních podniků se kromě OP PIK zaměřuje také </w:t>
      </w:r>
      <w:r w:rsidRPr="008B53A9">
        <w:rPr>
          <w:b/>
        </w:rPr>
        <w:t>PRV</w:t>
      </w:r>
      <w:r w:rsidRPr="008B53A9">
        <w:t xml:space="preserve">. </w:t>
      </w:r>
      <w:r w:rsidR="00114021" w:rsidRPr="008B53A9">
        <w:t>Z</w:t>
      </w:r>
      <w:r w:rsidRPr="008B53A9">
        <w:t>ákladní rozdělení intervencí mezi OP PIK a PRV je z pohledu příjemců (tj. zemědělský podnikatel, definovaný zákonem o zemědělství, a nezemědělský podnikatel) a dále z pohledu výstupu projektu dle Přílohy I. Smlouvy (tzv. annexové a non-annexové položky).</w:t>
      </w:r>
    </w:p>
    <w:p w:rsidR="005530D1" w:rsidRPr="008B53A9" w:rsidRDefault="005530D1" w:rsidP="005F43DF">
      <w:pPr>
        <w:pStyle w:val="Standardntext"/>
        <w:numPr>
          <w:ilvl w:val="0"/>
          <w:numId w:val="31"/>
        </w:numPr>
        <w:rPr>
          <w:b/>
        </w:rPr>
      </w:pPr>
      <w:r w:rsidRPr="008B53A9">
        <w:rPr>
          <w:b/>
        </w:rPr>
        <w:t>Sociální podnikání</w:t>
      </w:r>
    </w:p>
    <w:p w:rsidR="005530D1" w:rsidRPr="008B53A9" w:rsidRDefault="005530D1" w:rsidP="005530D1">
      <w:pPr>
        <w:pStyle w:val="Standardntext"/>
      </w:pPr>
      <w:r w:rsidRPr="008B53A9">
        <w:t xml:space="preserve">Problematikou sociálního podnikání se primárně zabývají </w:t>
      </w:r>
      <w:r w:rsidRPr="008B53A9">
        <w:rPr>
          <w:b/>
        </w:rPr>
        <w:t>OP Z</w:t>
      </w:r>
      <w:r w:rsidRPr="008B53A9">
        <w:t xml:space="preserve">, </w:t>
      </w:r>
      <w:r w:rsidRPr="008B53A9">
        <w:rPr>
          <w:b/>
        </w:rPr>
        <w:t>IROP</w:t>
      </w:r>
      <w:r w:rsidRPr="008B53A9">
        <w:t xml:space="preserve"> a </w:t>
      </w:r>
      <w:r w:rsidRPr="008B53A9">
        <w:rPr>
          <w:b/>
        </w:rPr>
        <w:t>OP PPR</w:t>
      </w:r>
      <w:r w:rsidRPr="008B53A9">
        <w:t>. Zatímco jmenované operační programy se soustřeďují na sociální podnikání jako takové</w:t>
      </w:r>
      <w:r w:rsidR="004578DA" w:rsidRPr="008B53A9">
        <w:t xml:space="preserve"> (ve smyslu podpory vzniku a činnosti sociálních podniků), </w:t>
      </w:r>
      <w:r w:rsidRPr="008B53A9">
        <w:t>předmětem OP PIK je spíše posílení sociálního rozměru podnikání. Jeho podstatou je, aby jakýkoliv malý či střední podnik, který splní dané podmínky a prokáže realizací podpořeného projektu zaměstnávání osob ze znevýhodněných skupin obyvatelstva, byl zvýhodněn oproti jiným žadatelům, kteří v projektu tento typ pracovních míst nevytvoří. Přímá vazba OP PIK na uvedené operační programy se proto v této oblasti nepředpokládá.</w:t>
      </w:r>
    </w:p>
    <w:p w:rsidR="000B1709" w:rsidRPr="008B53A9" w:rsidRDefault="000B1709" w:rsidP="005F43DF">
      <w:pPr>
        <w:pStyle w:val="Standardntext"/>
        <w:numPr>
          <w:ilvl w:val="0"/>
          <w:numId w:val="31"/>
        </w:numPr>
        <w:rPr>
          <w:b/>
        </w:rPr>
      </w:pPr>
      <w:r w:rsidRPr="008B53A9">
        <w:rPr>
          <w:b/>
        </w:rPr>
        <w:t>Odborné vzdělávání</w:t>
      </w:r>
    </w:p>
    <w:p w:rsidR="00B135E4" w:rsidRPr="008B53A9" w:rsidRDefault="00C46B27" w:rsidP="000B1709">
      <w:pPr>
        <w:pStyle w:val="Standardntext"/>
      </w:pPr>
      <w:r w:rsidRPr="008B53A9">
        <w:t xml:space="preserve">Zatímco odborné vzdělávání jako takové je předmětem podpory v rámci </w:t>
      </w:r>
      <w:r w:rsidRPr="008B53A9">
        <w:rPr>
          <w:b/>
        </w:rPr>
        <w:t>OP Z</w:t>
      </w:r>
      <w:r w:rsidRPr="008B53A9">
        <w:t>, OP PIK se orientuje na infrastrukturu pro odborné vzdělávání</w:t>
      </w:r>
      <w:r w:rsidR="003E1F87" w:rsidRPr="008B53A9">
        <w:t xml:space="preserve"> zaměstnanců (zaměstnavatelů) </w:t>
      </w:r>
      <w:r w:rsidR="005D178C" w:rsidRPr="008B53A9">
        <w:t>MSP</w:t>
      </w:r>
      <w:r w:rsidR="00FF6238" w:rsidRPr="008B53A9">
        <w:t xml:space="preserve"> (j</w:t>
      </w:r>
      <w:r w:rsidR="003E1F87" w:rsidRPr="008B53A9">
        <w:t>de o podpor</w:t>
      </w:r>
      <w:r w:rsidR="00FF6238" w:rsidRPr="008B53A9">
        <w:t>u</w:t>
      </w:r>
      <w:r w:rsidR="003E1F87" w:rsidRPr="008B53A9">
        <w:t xml:space="preserve"> tvrdých investic z</w:t>
      </w:r>
      <w:r w:rsidR="00FF6238" w:rsidRPr="008B53A9">
        <w:t> </w:t>
      </w:r>
      <w:r w:rsidR="003E1F87" w:rsidRPr="008B53A9">
        <w:t>ERDF</w:t>
      </w:r>
      <w:r w:rsidR="00FF6238" w:rsidRPr="008B53A9">
        <w:t>)</w:t>
      </w:r>
      <w:r w:rsidRPr="008B53A9">
        <w:t xml:space="preserve">. </w:t>
      </w:r>
      <w:r w:rsidR="00FF6238" w:rsidRPr="008B53A9">
        <w:t xml:space="preserve">MPSV bude podporovat další vzdělávání dospělých stojících mimo počáteční vzdělávání v prioritní ose 1 OP Z (podpora měkkých investic z ESF). </w:t>
      </w:r>
      <w:r w:rsidR="00B135E4" w:rsidRPr="008B53A9">
        <w:t>Oba ř</w:t>
      </w:r>
      <w:r w:rsidRPr="008B53A9">
        <w:t xml:space="preserve">ídící orgány navazují </w:t>
      </w:r>
      <w:r w:rsidR="00B135E4" w:rsidRPr="008B53A9">
        <w:t xml:space="preserve">na dřívější spolupráci </w:t>
      </w:r>
      <w:r w:rsidRPr="008B53A9">
        <w:rPr>
          <w:i/>
        </w:rPr>
        <w:t xml:space="preserve">Memorandem o spolupráci </w:t>
      </w:r>
      <w:r w:rsidR="001C38E4" w:rsidRPr="008B53A9">
        <w:rPr>
          <w:i/>
        </w:rPr>
        <w:t>při přípravě a budoucí realizaci</w:t>
      </w:r>
      <w:r w:rsidRPr="008B53A9">
        <w:rPr>
          <w:i/>
        </w:rPr>
        <w:t xml:space="preserve"> OP Z </w:t>
      </w:r>
      <w:r w:rsidRPr="008B53A9">
        <w:t xml:space="preserve">uzavřeným na úrovni příslušných ministrů. V něm se oba řídící orgány dohodly, že MPO bude „věcným garantem“ za oblast odborného vzdělávání v průmyslových odvětvích ve vazbě na podporu podnikání v rámci prioritní osy 1 OP Z. </w:t>
      </w:r>
    </w:p>
    <w:p w:rsidR="0062540E" w:rsidRPr="008B53A9" w:rsidRDefault="0062540E" w:rsidP="008B53A9">
      <w:pPr>
        <w:pStyle w:val="Standardntext"/>
        <w:numPr>
          <w:ilvl w:val="0"/>
          <w:numId w:val="31"/>
        </w:numPr>
        <w:rPr>
          <w:b/>
        </w:rPr>
      </w:pPr>
      <w:r w:rsidRPr="008B53A9">
        <w:rPr>
          <w:b/>
        </w:rPr>
        <w:t>Brownfield</w:t>
      </w:r>
      <w:r w:rsidR="00BF7E1C" w:rsidRPr="008B53A9">
        <w:rPr>
          <w:b/>
        </w:rPr>
        <w:t>y</w:t>
      </w:r>
    </w:p>
    <w:p w:rsidR="0062540E" w:rsidRPr="008B53A9" w:rsidRDefault="0062540E" w:rsidP="008B53A9">
      <w:pPr>
        <w:pStyle w:val="Standardntext"/>
      </w:pPr>
      <w:r w:rsidRPr="008B53A9">
        <w:t>Vedle OP PIK řeší otázku brownfield</w:t>
      </w:r>
      <w:r w:rsidR="00BF7E1C" w:rsidRPr="008B53A9">
        <w:t>ů</w:t>
      </w:r>
      <w:r w:rsidRPr="008B53A9">
        <w:t xml:space="preserve"> rovněž </w:t>
      </w:r>
      <w:r w:rsidRPr="008B53A9">
        <w:rPr>
          <w:b/>
        </w:rPr>
        <w:t>OP ŽP</w:t>
      </w:r>
      <w:r w:rsidRPr="008B53A9">
        <w:t xml:space="preserve"> a </w:t>
      </w:r>
      <w:r w:rsidR="0023733C" w:rsidRPr="008B53A9">
        <w:t xml:space="preserve">nepřímo také </w:t>
      </w:r>
      <w:r w:rsidRPr="008B53A9">
        <w:rPr>
          <w:b/>
        </w:rPr>
        <w:t>PRV</w:t>
      </w:r>
      <w:r w:rsidRPr="008B53A9">
        <w:t>. Předmětem podpory v OP ŽP je</w:t>
      </w:r>
      <w:r w:rsidR="00E2032C" w:rsidRPr="008B53A9">
        <w:t xml:space="preserve"> sanace vážně kontaminovaných lokalit, u nichž jsou prokázána rizika pro lidské zdraví a ekosystémy</w:t>
      </w:r>
      <w:r w:rsidR="00E2032C" w:rsidRPr="008B53A9">
        <w:rPr>
          <w:rStyle w:val="Znakapoznpodarou"/>
        </w:rPr>
        <w:footnoteReference w:id="95"/>
      </w:r>
      <w:r w:rsidR="00E2032C" w:rsidRPr="008B53A9">
        <w:t>. V rámci OP PIK nebude podporována sanace ekologických zátěží, ale bude podporována demolice a likvidace stavebních materiálů, z nichž některé mohou spadat do vyšší rizikovosti</w:t>
      </w:r>
      <w:r w:rsidR="00270C7E" w:rsidRPr="008B53A9">
        <w:t>.</w:t>
      </w:r>
    </w:p>
    <w:p w:rsidR="0062540E" w:rsidRPr="008B53A9" w:rsidRDefault="0062540E" w:rsidP="008B53A9">
      <w:pPr>
        <w:pStyle w:val="Standardntext"/>
      </w:pPr>
      <w:r w:rsidRPr="008B53A9">
        <w:lastRenderedPageBreak/>
        <w:t xml:space="preserve">V případě PRV jde </w:t>
      </w:r>
      <w:r w:rsidR="00E2032C" w:rsidRPr="008B53A9">
        <w:t>rovněž</w:t>
      </w:r>
      <w:r w:rsidRPr="008B53A9">
        <w:t xml:space="preserve"> o komplementaritu</w:t>
      </w:r>
      <w:r w:rsidR="007A32C8" w:rsidRPr="008B53A9">
        <w:t>,</w:t>
      </w:r>
      <w:r w:rsidRPr="008B53A9">
        <w:t xml:space="preserve"> </w:t>
      </w:r>
      <w:r w:rsidR="007A32C8" w:rsidRPr="008B53A9">
        <w:t xml:space="preserve">kdy výběr projektů </w:t>
      </w:r>
      <w:r w:rsidR="0023733C" w:rsidRPr="008B53A9">
        <w:t xml:space="preserve">PRV </w:t>
      </w:r>
      <w:r w:rsidR="007A32C8" w:rsidRPr="008B53A9">
        <w:t>bude v některých opatřeních posuzován také z hlediska možné revitalizace brownfield</w:t>
      </w:r>
      <w:r w:rsidR="00BF7E1C" w:rsidRPr="008B53A9">
        <w:t>ů</w:t>
      </w:r>
      <w:r w:rsidRPr="008B53A9">
        <w:t>.</w:t>
      </w:r>
    </w:p>
    <w:p w:rsidR="000B1709" w:rsidRPr="008B53A9" w:rsidRDefault="000B1709" w:rsidP="005F43DF">
      <w:pPr>
        <w:pStyle w:val="Standardntext"/>
        <w:numPr>
          <w:ilvl w:val="0"/>
          <w:numId w:val="31"/>
        </w:numPr>
        <w:rPr>
          <w:b/>
        </w:rPr>
      </w:pPr>
      <w:r w:rsidRPr="008B53A9">
        <w:rPr>
          <w:b/>
        </w:rPr>
        <w:t>Bioplynové stanice</w:t>
      </w:r>
    </w:p>
    <w:p w:rsidR="00270C7E" w:rsidRPr="008B53A9" w:rsidRDefault="000B1709" w:rsidP="000B1709">
      <w:pPr>
        <w:pStyle w:val="Standardntext"/>
      </w:pPr>
      <w:r w:rsidRPr="008B53A9">
        <w:t xml:space="preserve">V této oblasti vykazuje OP PIK </w:t>
      </w:r>
      <w:r w:rsidR="00E30E59" w:rsidRPr="008B53A9">
        <w:t xml:space="preserve">komplementární </w:t>
      </w:r>
      <w:r w:rsidRPr="008B53A9">
        <w:t>vazbu na</w:t>
      </w:r>
      <w:r w:rsidRPr="008B53A9">
        <w:rPr>
          <w:b/>
        </w:rPr>
        <w:t xml:space="preserve"> OP ŽP</w:t>
      </w:r>
      <w:r w:rsidR="00EE4823" w:rsidRPr="008B53A9">
        <w:rPr>
          <w:b/>
        </w:rPr>
        <w:t xml:space="preserve"> </w:t>
      </w:r>
      <w:r w:rsidR="00EE4823" w:rsidRPr="008B53A9">
        <w:t xml:space="preserve">a </w:t>
      </w:r>
      <w:r w:rsidR="00EE4823" w:rsidRPr="008B53A9">
        <w:rPr>
          <w:b/>
        </w:rPr>
        <w:t>PRV</w:t>
      </w:r>
      <w:r w:rsidR="00EE4823" w:rsidRPr="008B53A9">
        <w:t xml:space="preserve">. </w:t>
      </w:r>
      <w:r w:rsidR="00E1414C" w:rsidRPr="008B53A9">
        <w:t xml:space="preserve">V OP PIK nebude podporována výstavba nových bioplynových stanic; předmětem podpory bude pouze využití užitečného tepla ze stávajících bioplynových stanic. </w:t>
      </w:r>
      <w:r w:rsidR="00EE4823" w:rsidRPr="008B53A9">
        <w:t>OP ŽP</w:t>
      </w:r>
      <w:r w:rsidR="0014564F" w:rsidRPr="008B53A9">
        <w:t xml:space="preserve"> se</w:t>
      </w:r>
      <w:r w:rsidRPr="008B53A9">
        <w:t xml:space="preserve"> </w:t>
      </w:r>
      <w:r w:rsidR="00E1414C" w:rsidRPr="008B53A9">
        <w:t xml:space="preserve">na rozdíl od OP PIK </w:t>
      </w:r>
      <w:r w:rsidRPr="008B53A9">
        <w:t xml:space="preserve">zaměřuje na výstavbu </w:t>
      </w:r>
      <w:r w:rsidR="00E30E59" w:rsidRPr="008B53A9">
        <w:t xml:space="preserve">nových </w:t>
      </w:r>
      <w:r w:rsidRPr="008B53A9">
        <w:t>bioplynových stanic v</w:t>
      </w:r>
      <w:r w:rsidR="00270C7E" w:rsidRPr="008B53A9">
        <w:t xml:space="preserve"> souvislosti s využitím odpadu.</w:t>
      </w:r>
    </w:p>
    <w:p w:rsidR="000B1709" w:rsidRPr="008B53A9" w:rsidRDefault="00270C7E" w:rsidP="000B1709">
      <w:pPr>
        <w:pStyle w:val="Standardntext"/>
        <w:rPr>
          <w:b/>
        </w:rPr>
      </w:pPr>
      <w:r w:rsidRPr="008B53A9">
        <w:t>V</w:t>
      </w:r>
      <w:r w:rsidR="00E1414C" w:rsidRPr="008B53A9">
        <w:t> PRV bude podporována výstavba koncových zemědělských staveb pro využití tepla (skleník, porodna, apod.)</w:t>
      </w:r>
      <w:r w:rsidR="0098703A" w:rsidRPr="008B53A9">
        <w:t xml:space="preserve"> a výstavba zemědělských bioplynových stanic</w:t>
      </w:r>
      <w:r w:rsidR="00E1414C" w:rsidRPr="008B53A9">
        <w:t>.</w:t>
      </w:r>
    </w:p>
    <w:p w:rsidR="00C902DA" w:rsidRPr="008B53A9" w:rsidRDefault="00C902DA" w:rsidP="005F43DF">
      <w:pPr>
        <w:pStyle w:val="Standardntext"/>
        <w:numPr>
          <w:ilvl w:val="0"/>
          <w:numId w:val="31"/>
        </w:numPr>
        <w:rPr>
          <w:b/>
        </w:rPr>
      </w:pPr>
      <w:r w:rsidRPr="008B53A9">
        <w:rPr>
          <w:b/>
        </w:rPr>
        <w:t>Úspory energie</w:t>
      </w:r>
    </w:p>
    <w:p w:rsidR="00523FA3" w:rsidRPr="008B53A9" w:rsidRDefault="00523FA3" w:rsidP="00F00824">
      <w:pPr>
        <w:pStyle w:val="Standardntext"/>
      </w:pPr>
      <w:r w:rsidRPr="008B53A9">
        <w:t>Oblast energetických úspor je kromě OP PIK obsažena také v </w:t>
      </w:r>
      <w:r w:rsidRPr="008B53A9">
        <w:rPr>
          <w:b/>
        </w:rPr>
        <w:t>OP ŽP</w:t>
      </w:r>
      <w:r w:rsidRPr="008B53A9">
        <w:t xml:space="preserve">, </w:t>
      </w:r>
      <w:r w:rsidRPr="008B53A9">
        <w:rPr>
          <w:b/>
        </w:rPr>
        <w:t>IROP</w:t>
      </w:r>
      <w:r w:rsidRPr="008B53A9">
        <w:t xml:space="preserve">, </w:t>
      </w:r>
      <w:r w:rsidR="002D4D69" w:rsidRPr="008B53A9">
        <w:rPr>
          <w:b/>
        </w:rPr>
        <w:t xml:space="preserve">OP PPR, </w:t>
      </w:r>
      <w:r w:rsidRPr="008B53A9">
        <w:rPr>
          <w:b/>
        </w:rPr>
        <w:t>PRV</w:t>
      </w:r>
      <w:r w:rsidRPr="008B53A9">
        <w:t xml:space="preserve"> a </w:t>
      </w:r>
      <w:r w:rsidRPr="008B53A9">
        <w:rPr>
          <w:b/>
        </w:rPr>
        <w:t>OP R</w:t>
      </w:r>
      <w:r w:rsidRPr="008B53A9">
        <w:t>. Komplementární vazbu lze sledovat spíše z úrovně tematického cíle v tom smyslu, že všechny jmenované operační programy přispějí ke zvýšení energetické efektivnosti ČR, ovšem každý operační program se orientuje na jinou oblast.</w:t>
      </w:r>
    </w:p>
    <w:p w:rsidR="00523FA3" w:rsidRPr="008B53A9" w:rsidRDefault="00523FA3" w:rsidP="005F43DF">
      <w:pPr>
        <w:pStyle w:val="Standardntext"/>
        <w:numPr>
          <w:ilvl w:val="0"/>
          <w:numId w:val="31"/>
        </w:numPr>
        <w:rPr>
          <w:b/>
        </w:rPr>
      </w:pPr>
      <w:r w:rsidRPr="008B53A9">
        <w:rPr>
          <w:b/>
        </w:rPr>
        <w:t>Druhotné suroviny</w:t>
      </w:r>
    </w:p>
    <w:p w:rsidR="00523FA3" w:rsidRPr="008B53A9" w:rsidRDefault="00523FA3" w:rsidP="00523FA3">
      <w:pPr>
        <w:pStyle w:val="Standardntext"/>
      </w:pPr>
      <w:r w:rsidRPr="008B53A9">
        <w:t xml:space="preserve">Problematika zavádění inovativních nízkouhlíkatých technologií v oblasti zpracování a využívání druhotných surovin je řešena pouze v OP PIK. Nicméně tato oblast je sledována z důvodu věcné blízkosti tématu odpadového hospodářství, které je v působnosti </w:t>
      </w:r>
      <w:r w:rsidRPr="008B53A9">
        <w:rPr>
          <w:b/>
        </w:rPr>
        <w:t>OP ŽP</w:t>
      </w:r>
      <w:r w:rsidR="001F3B71" w:rsidRPr="008B53A9">
        <w:t>.</w:t>
      </w:r>
    </w:p>
    <w:p w:rsidR="00E71F34" w:rsidRPr="008B53A9" w:rsidRDefault="00980F42" w:rsidP="005F43DF">
      <w:pPr>
        <w:pStyle w:val="Standardntext"/>
        <w:numPr>
          <w:ilvl w:val="0"/>
          <w:numId w:val="31"/>
        </w:numPr>
        <w:rPr>
          <w:b/>
        </w:rPr>
      </w:pPr>
      <w:r w:rsidRPr="008B53A9">
        <w:rPr>
          <w:b/>
        </w:rPr>
        <w:t xml:space="preserve">Alternativní </w:t>
      </w:r>
      <w:r w:rsidR="006D1839" w:rsidRPr="008B53A9">
        <w:rPr>
          <w:b/>
        </w:rPr>
        <w:t>zdroje energie v d</w:t>
      </w:r>
      <w:r w:rsidRPr="008B53A9">
        <w:rPr>
          <w:b/>
        </w:rPr>
        <w:t>oprav</w:t>
      </w:r>
      <w:r w:rsidR="006D1839" w:rsidRPr="008B53A9">
        <w:rPr>
          <w:b/>
        </w:rPr>
        <w:t>ě</w:t>
      </w:r>
    </w:p>
    <w:p w:rsidR="00C73091" w:rsidRPr="008B53A9" w:rsidRDefault="00C73091" w:rsidP="00E71F34">
      <w:pPr>
        <w:pStyle w:val="Standardntext"/>
      </w:pPr>
      <w:r w:rsidRPr="008B53A9">
        <w:t xml:space="preserve">OP PIK se soustředí na zavádění inovativních nízkouhlíkových technologií v oblasti nízkouhlíkové dopravy v podnicích. Alternativní dopravou se dále zabývá také </w:t>
      </w:r>
      <w:r w:rsidR="00FF022E" w:rsidRPr="008B53A9">
        <w:rPr>
          <w:b/>
        </w:rPr>
        <w:t>IROP</w:t>
      </w:r>
      <w:r w:rsidRPr="008B53A9">
        <w:t xml:space="preserve"> a </w:t>
      </w:r>
      <w:r w:rsidRPr="008B53A9">
        <w:rPr>
          <w:b/>
        </w:rPr>
        <w:t>OP D</w:t>
      </w:r>
      <w:r w:rsidRPr="008B53A9">
        <w:t xml:space="preserve">. V případě podpory MSP je dělící hranicí skutečnost, že v rámci </w:t>
      </w:r>
      <w:r w:rsidR="00FF022E" w:rsidRPr="008B53A9">
        <w:t>IROP</w:t>
      </w:r>
      <w:r w:rsidRPr="008B53A9">
        <w:t xml:space="preserve"> budou, na rozdíl od OP PIK, podporovány subjekty, které zajišťují veřejnou službu. Cílovou skupinou OP D v rámci podpory rozvoje sítě napájecích stanic alternativních energií na silniční síti jsou příjemci podpory definování jako vlastníci/správci dotčené infrastruktury s veřejným přístupem.</w:t>
      </w:r>
    </w:p>
    <w:p w:rsidR="00C902DA" w:rsidRPr="008B53A9" w:rsidRDefault="00C902DA" w:rsidP="005F43DF">
      <w:pPr>
        <w:pStyle w:val="Standardntext"/>
        <w:keepNext/>
        <w:keepLines/>
        <w:numPr>
          <w:ilvl w:val="0"/>
          <w:numId w:val="31"/>
        </w:numPr>
        <w:rPr>
          <w:b/>
        </w:rPr>
      </w:pPr>
      <w:r w:rsidRPr="008B53A9">
        <w:rPr>
          <w:b/>
        </w:rPr>
        <w:t>Soustavy zásobování teplem</w:t>
      </w:r>
    </w:p>
    <w:p w:rsidR="00C902DA" w:rsidRPr="008B53A9" w:rsidRDefault="005B0FF9" w:rsidP="00DB63A3">
      <w:pPr>
        <w:pStyle w:val="Standardntext"/>
        <w:keepNext/>
        <w:keepLines/>
      </w:pPr>
      <w:r w:rsidRPr="008B53A9">
        <w:t xml:space="preserve">Rekonstrukcí soustav zásobování teplem se vedle OP PIK zabývá rovněž </w:t>
      </w:r>
      <w:r w:rsidRPr="008B53A9">
        <w:rPr>
          <w:b/>
        </w:rPr>
        <w:t>OP ŽP</w:t>
      </w:r>
      <w:r w:rsidRPr="008B53A9">
        <w:t>. Oba operační programy se doplňují z hlediska příjemců podpory, kdy OP PIK je orientován na podnikatelské subj</w:t>
      </w:r>
      <w:r w:rsidR="001F3B71" w:rsidRPr="008B53A9">
        <w:t>ekty a OP ŽP na veřejný sektor.</w:t>
      </w:r>
    </w:p>
    <w:p w:rsidR="00C902DA" w:rsidRPr="008B53A9" w:rsidRDefault="00C902DA" w:rsidP="005F43DF">
      <w:pPr>
        <w:pStyle w:val="Standardntext"/>
        <w:numPr>
          <w:ilvl w:val="0"/>
          <w:numId w:val="31"/>
        </w:numPr>
        <w:rPr>
          <w:b/>
        </w:rPr>
      </w:pPr>
      <w:r w:rsidRPr="008B53A9">
        <w:rPr>
          <w:b/>
        </w:rPr>
        <w:t>Vysokorychlostní přístup k internetu</w:t>
      </w:r>
    </w:p>
    <w:p w:rsidR="00C902DA" w:rsidRPr="008B53A9" w:rsidRDefault="005B0FF9" w:rsidP="00A83EAE">
      <w:pPr>
        <w:pStyle w:val="Standardntext"/>
      </w:pPr>
      <w:r w:rsidRPr="008B53A9">
        <w:t xml:space="preserve">OP PIK se zaměřuje na zřizování </w:t>
      </w:r>
      <w:r w:rsidR="00BD3CD0" w:rsidRPr="008B53A9">
        <w:t>či modernizaci</w:t>
      </w:r>
      <w:r w:rsidRPr="008B53A9">
        <w:t xml:space="preserve"> sítí pro vysokorychlostní přístup k internetu. Naproti tomu </w:t>
      </w:r>
      <w:r w:rsidRPr="008B53A9">
        <w:rPr>
          <w:b/>
        </w:rPr>
        <w:t>IROP</w:t>
      </w:r>
      <w:r w:rsidRPr="008B53A9">
        <w:t xml:space="preserve"> se soustředí na </w:t>
      </w:r>
      <w:r w:rsidR="00385D89" w:rsidRPr="008B53A9">
        <w:t>pořízení datových sítí veřejné správy za účelem předcházení a řešení případných krizových situací</w:t>
      </w:r>
      <w:r w:rsidR="001F3B71" w:rsidRPr="008B53A9">
        <w:t>.</w:t>
      </w:r>
      <w:r w:rsidR="006A0400" w:rsidRPr="008B53A9">
        <w:t xml:space="preserve"> Podpořená infrastruktura v rámci IROP bude oproti OP PIK ve vlastnictví státu a nebude využita pro komerční sféru.</w:t>
      </w:r>
    </w:p>
    <w:p w:rsidR="000B1CBB" w:rsidRPr="008B53A9" w:rsidRDefault="000B1CBB" w:rsidP="00396141">
      <w:pPr>
        <w:pStyle w:val="Modrnadpis"/>
      </w:pPr>
      <w:r w:rsidRPr="008B53A9">
        <w:t>Zajištění koordinace s ostatními nástroji EU</w:t>
      </w:r>
    </w:p>
    <w:p w:rsidR="000B1709" w:rsidRPr="008B53A9" w:rsidRDefault="000B1709" w:rsidP="000B1709">
      <w:pPr>
        <w:pStyle w:val="Standardntext"/>
      </w:pPr>
      <w:r w:rsidRPr="008B53A9">
        <w:t xml:space="preserve">Mezi </w:t>
      </w:r>
      <w:r w:rsidRPr="008B53A9">
        <w:rPr>
          <w:b/>
        </w:rPr>
        <w:t>nástroje EU</w:t>
      </w:r>
      <w:r w:rsidRPr="008B53A9">
        <w:t>, u nichž byla identifikována komplementární ve vztahu k OP PIK, patří:</w:t>
      </w:r>
    </w:p>
    <w:p w:rsidR="000B1709" w:rsidRPr="008B53A9" w:rsidRDefault="0087102E" w:rsidP="008A18EF">
      <w:pPr>
        <w:pStyle w:val="Standardntext"/>
        <w:numPr>
          <w:ilvl w:val="0"/>
          <w:numId w:val="4"/>
        </w:numPr>
        <w:spacing w:after="0"/>
      </w:pPr>
      <w:r w:rsidRPr="008B53A9">
        <w:t>Horizont 2020</w:t>
      </w:r>
      <w:r w:rsidR="000B1709" w:rsidRPr="008B53A9">
        <w:t xml:space="preserve"> - rámcový program pro výzkum a inovace</w:t>
      </w:r>
    </w:p>
    <w:p w:rsidR="000B1709" w:rsidRPr="008B53A9" w:rsidRDefault="000B1709" w:rsidP="008A18EF">
      <w:pPr>
        <w:pStyle w:val="Standardntext"/>
        <w:numPr>
          <w:ilvl w:val="0"/>
          <w:numId w:val="4"/>
        </w:numPr>
        <w:spacing w:after="0"/>
      </w:pPr>
      <w:r w:rsidRPr="008B53A9">
        <w:t>Program pro konkurenceschopnost podniků s důrazem na malé a střední podniky 2014-2020 (COSME)</w:t>
      </w:r>
    </w:p>
    <w:p w:rsidR="00525611" w:rsidRPr="008B53A9" w:rsidRDefault="00253374" w:rsidP="00253374">
      <w:pPr>
        <w:pStyle w:val="Standardntext"/>
        <w:numPr>
          <w:ilvl w:val="0"/>
          <w:numId w:val="4"/>
        </w:numPr>
        <w:spacing w:after="0"/>
      </w:pPr>
      <w:r w:rsidRPr="008B53A9">
        <w:t>Program Evropské unie pro zaměstnanost a sociální inovace</w:t>
      </w:r>
      <w:r w:rsidR="00525611" w:rsidRPr="008B53A9">
        <w:t xml:space="preserve"> (</w:t>
      </w:r>
      <w:r w:rsidRPr="008B53A9">
        <w:t>EaSI</w:t>
      </w:r>
      <w:r w:rsidR="00525611" w:rsidRPr="008B53A9">
        <w:t>)</w:t>
      </w:r>
    </w:p>
    <w:p w:rsidR="0098539A" w:rsidRPr="008B53A9" w:rsidRDefault="00A45FC1" w:rsidP="008A18EF">
      <w:pPr>
        <w:pStyle w:val="Standardntext"/>
        <w:numPr>
          <w:ilvl w:val="0"/>
          <w:numId w:val="4"/>
        </w:numPr>
        <w:spacing w:after="0"/>
      </w:pPr>
      <w:r w:rsidRPr="008B53A9">
        <w:lastRenderedPageBreak/>
        <w:t>Kreativní</w:t>
      </w:r>
      <w:r w:rsidR="0098539A" w:rsidRPr="008B53A9">
        <w:t xml:space="preserve"> Evropa (2014-2020)</w:t>
      </w:r>
    </w:p>
    <w:p w:rsidR="00525611" w:rsidRPr="008B53A9" w:rsidRDefault="000B1709" w:rsidP="008A18EF">
      <w:pPr>
        <w:pStyle w:val="Standardntext"/>
        <w:numPr>
          <w:ilvl w:val="0"/>
          <w:numId w:val="4"/>
        </w:numPr>
        <w:ind w:left="714" w:hanging="357"/>
      </w:pPr>
      <w:r w:rsidRPr="008B53A9">
        <w:t>Nástroj pro propojení Evropy (CEF)</w:t>
      </w:r>
    </w:p>
    <w:p w:rsidR="000B1709" w:rsidRPr="008B53A9" w:rsidRDefault="000B1709" w:rsidP="000B1709">
      <w:pPr>
        <w:pStyle w:val="Standardntext"/>
      </w:pPr>
      <w:r w:rsidRPr="008B53A9">
        <w:t xml:space="preserve">Následující přehled podává stručnou informaci o tom, které oblasti intervencí obsažené ve výše uvedených nástrojích EU, jsou předmětem koordinace mezi OP PIK a těmito nástroji. Bližší specifikace identifikovaných komplementárních vazeb je součástí </w:t>
      </w:r>
      <w:r w:rsidR="00D3716C" w:rsidRPr="008B53A9">
        <w:t>Nepovinné p</w:t>
      </w:r>
      <w:r w:rsidRPr="008B53A9">
        <w:t>řílohy č.</w:t>
      </w:r>
      <w:r w:rsidR="00D3716C" w:rsidRPr="008B53A9">
        <w:t xml:space="preserve"> </w:t>
      </w:r>
      <w:r w:rsidR="00F734D1" w:rsidRPr="008B53A9">
        <w:t>4</w:t>
      </w:r>
      <w:r w:rsidRPr="008B53A9">
        <w:t>.</w:t>
      </w:r>
    </w:p>
    <w:p w:rsidR="00C902DA" w:rsidRPr="008B53A9" w:rsidRDefault="00C902DA" w:rsidP="005F43DF">
      <w:pPr>
        <w:pStyle w:val="Standardntext"/>
        <w:numPr>
          <w:ilvl w:val="0"/>
          <w:numId w:val="33"/>
        </w:numPr>
        <w:rPr>
          <w:b/>
        </w:rPr>
      </w:pPr>
      <w:r w:rsidRPr="008B53A9">
        <w:rPr>
          <w:b/>
        </w:rPr>
        <w:t>Výzkum, vývoj a inovace</w:t>
      </w:r>
    </w:p>
    <w:p w:rsidR="00FC7FA8" w:rsidRPr="008B53A9" w:rsidRDefault="00EB4AA0" w:rsidP="00C902DA">
      <w:pPr>
        <w:pStyle w:val="Standardntext"/>
      </w:pPr>
      <w:r w:rsidRPr="008B53A9">
        <w:t xml:space="preserve">OP PIK má v oblasti VaVaI vazbu na dva komunitární programy, kterými jsou </w:t>
      </w:r>
      <w:r w:rsidR="0087102E" w:rsidRPr="008B53A9">
        <w:rPr>
          <w:b/>
        </w:rPr>
        <w:t>Horizont 2020</w:t>
      </w:r>
      <w:r w:rsidRPr="008B53A9">
        <w:t xml:space="preserve"> a </w:t>
      </w:r>
      <w:r w:rsidRPr="008B53A9">
        <w:rPr>
          <w:b/>
        </w:rPr>
        <w:t>COSME</w:t>
      </w:r>
      <w:r w:rsidRPr="008B53A9">
        <w:t>. V případě obou programů se jedná o komplementární vazby na většinu aktivit obou specifický</w:t>
      </w:r>
      <w:r w:rsidR="00270C7E" w:rsidRPr="008B53A9">
        <w:t>ch cílů prioritní osy 1 OP PIK.</w:t>
      </w:r>
    </w:p>
    <w:p w:rsidR="00C902DA" w:rsidRPr="008B53A9" w:rsidRDefault="00C902DA" w:rsidP="005F43DF">
      <w:pPr>
        <w:pStyle w:val="Standardntext"/>
        <w:numPr>
          <w:ilvl w:val="0"/>
          <w:numId w:val="33"/>
        </w:numPr>
        <w:rPr>
          <w:b/>
        </w:rPr>
      </w:pPr>
      <w:r w:rsidRPr="008B53A9">
        <w:rPr>
          <w:b/>
        </w:rPr>
        <w:t>Zvýšení konkurenceschopnosti MSP</w:t>
      </w:r>
    </w:p>
    <w:p w:rsidR="00C902DA" w:rsidRPr="008B53A9" w:rsidRDefault="00270C7E" w:rsidP="00C902DA">
      <w:pPr>
        <w:pStyle w:val="Standardntext"/>
      </w:pPr>
      <w:r w:rsidRPr="008B53A9">
        <w:t>Zde lze</w:t>
      </w:r>
      <w:r w:rsidR="00F82437" w:rsidRPr="008B53A9">
        <w:t xml:space="preserve"> opět </w:t>
      </w:r>
      <w:r w:rsidRPr="008B53A9">
        <w:t xml:space="preserve">identifikovat </w:t>
      </w:r>
      <w:r w:rsidR="00F82437" w:rsidRPr="008B53A9">
        <w:t>vazbu</w:t>
      </w:r>
      <w:r w:rsidRPr="008B53A9">
        <w:t xml:space="preserve"> OP PIK</w:t>
      </w:r>
      <w:r w:rsidR="00F82437" w:rsidRPr="008B53A9">
        <w:t xml:space="preserve"> vůči programům </w:t>
      </w:r>
      <w:r w:rsidR="0087102E" w:rsidRPr="008B53A9">
        <w:rPr>
          <w:b/>
        </w:rPr>
        <w:t>Horizont 2020</w:t>
      </w:r>
      <w:r w:rsidR="00F82437" w:rsidRPr="008B53A9">
        <w:t xml:space="preserve"> a </w:t>
      </w:r>
      <w:r w:rsidR="00F82437" w:rsidRPr="008B53A9">
        <w:rPr>
          <w:b/>
        </w:rPr>
        <w:t>COSME</w:t>
      </w:r>
      <w:r w:rsidRPr="008B53A9">
        <w:t>., přičemž v</w:t>
      </w:r>
      <w:r w:rsidR="00F82437" w:rsidRPr="008B53A9">
        <w:t xml:space="preserve">zájemné vazby </w:t>
      </w:r>
      <w:r w:rsidRPr="008B53A9">
        <w:t xml:space="preserve">je možné </w:t>
      </w:r>
      <w:r w:rsidR="00F82437" w:rsidRPr="008B53A9">
        <w:t xml:space="preserve">vysledovat především </w:t>
      </w:r>
      <w:r w:rsidR="00FB6649" w:rsidRPr="008B53A9">
        <w:t xml:space="preserve">v otázce internacionalizace MSP a </w:t>
      </w:r>
      <w:r w:rsidR="00F82437" w:rsidRPr="008B53A9">
        <w:t>v</w:t>
      </w:r>
      <w:r w:rsidR="00FB6649" w:rsidRPr="008B53A9">
        <w:t>e</w:t>
      </w:r>
      <w:r w:rsidR="00F82437" w:rsidRPr="008B53A9">
        <w:t xml:space="preserve"> </w:t>
      </w:r>
      <w:r w:rsidR="00FB6649" w:rsidRPr="008B53A9">
        <w:t>zlepšení přístupu MSP k financování, včetně rizikového kapitálu.</w:t>
      </w:r>
    </w:p>
    <w:p w:rsidR="0098539A" w:rsidRPr="008B53A9" w:rsidRDefault="00FB6649" w:rsidP="00C902DA">
      <w:pPr>
        <w:pStyle w:val="Standardntext"/>
      </w:pPr>
      <w:r w:rsidRPr="008B53A9">
        <w:t xml:space="preserve">S tím úzce souvisí i problematika přístupu mikropodniků k financování, což je téma společné pro prioritní osu 2 OP PIK a </w:t>
      </w:r>
      <w:r w:rsidR="00253374" w:rsidRPr="008B53A9">
        <w:rPr>
          <w:b/>
        </w:rPr>
        <w:t>EaSI</w:t>
      </w:r>
      <w:r w:rsidRPr="008B53A9">
        <w:t>, konkrétně osa „Mikrofinancování a sociální podnikání“.</w:t>
      </w:r>
    </w:p>
    <w:p w:rsidR="00FB6649" w:rsidRPr="008B53A9" w:rsidRDefault="0098539A" w:rsidP="00C902DA">
      <w:pPr>
        <w:pStyle w:val="Standardntext"/>
      </w:pPr>
      <w:r w:rsidRPr="008B53A9">
        <w:t xml:space="preserve">V případě programu </w:t>
      </w:r>
      <w:r w:rsidR="00A45FC1" w:rsidRPr="008B53A9">
        <w:rPr>
          <w:b/>
        </w:rPr>
        <w:t>Kreativní</w:t>
      </w:r>
      <w:r w:rsidRPr="008B53A9">
        <w:rPr>
          <w:b/>
        </w:rPr>
        <w:t xml:space="preserve"> Evropa</w:t>
      </w:r>
      <w:r w:rsidRPr="008B53A9">
        <w:t xml:space="preserve"> je komplementární vazba spatřována u aktivit </w:t>
      </w:r>
      <w:r w:rsidR="00146DC1" w:rsidRPr="008B53A9">
        <w:t xml:space="preserve">směřujících k </w:t>
      </w:r>
      <w:r w:rsidRPr="008B53A9">
        <w:t xml:space="preserve">posílení finančních možností MSP, kdy příjemci podpory v OP PIK mohou být </w:t>
      </w:r>
      <w:r w:rsidR="00146DC1" w:rsidRPr="008B53A9">
        <w:t>rovněž</w:t>
      </w:r>
      <w:r w:rsidRPr="008B53A9">
        <w:t xml:space="preserve"> žadatelé </w:t>
      </w:r>
      <w:r w:rsidR="00146DC1" w:rsidRPr="008B53A9">
        <w:t xml:space="preserve">z </w:t>
      </w:r>
      <w:r w:rsidRPr="008B53A9">
        <w:t>kulturních a kreativních odvětví.</w:t>
      </w:r>
    </w:p>
    <w:p w:rsidR="00C902DA" w:rsidRPr="008B53A9" w:rsidRDefault="00FB6649" w:rsidP="005D178C">
      <w:pPr>
        <w:pStyle w:val="Standardntext"/>
        <w:numPr>
          <w:ilvl w:val="0"/>
          <w:numId w:val="33"/>
        </w:numPr>
        <w:rPr>
          <w:b/>
        </w:rPr>
      </w:pPr>
      <w:r w:rsidRPr="008B53A9">
        <w:rPr>
          <w:b/>
        </w:rPr>
        <w:t>Energetika</w:t>
      </w:r>
    </w:p>
    <w:p w:rsidR="005A6B88" w:rsidRPr="008B53A9" w:rsidRDefault="00FB6649" w:rsidP="005D178C">
      <w:pPr>
        <w:pStyle w:val="Standardntext"/>
      </w:pPr>
      <w:r w:rsidRPr="008B53A9">
        <w:t xml:space="preserve">V oblasti energetiky </w:t>
      </w:r>
      <w:r w:rsidR="005A6B88" w:rsidRPr="008B53A9">
        <w:t xml:space="preserve">vykazuje OP PIK vazby na </w:t>
      </w:r>
      <w:r w:rsidR="0087102E" w:rsidRPr="008B53A9">
        <w:rPr>
          <w:b/>
        </w:rPr>
        <w:t>Horizont 2020</w:t>
      </w:r>
      <w:r w:rsidR="00A73155" w:rsidRPr="008B53A9">
        <w:t xml:space="preserve">, kde </w:t>
      </w:r>
      <w:r w:rsidR="005A6B88" w:rsidRPr="008B53A9">
        <w:t xml:space="preserve">jde zejména o snižování spotřeby energie, </w:t>
      </w:r>
      <w:r w:rsidR="008D375D" w:rsidRPr="008B53A9">
        <w:t>OZE</w:t>
      </w:r>
      <w:r w:rsidR="005A6B88" w:rsidRPr="008B53A9">
        <w:t xml:space="preserve">, energetickou infrastrukturu, </w:t>
      </w:r>
      <w:r w:rsidR="005A6B88" w:rsidRPr="008B53A9">
        <w:rPr>
          <w:bCs/>
        </w:rPr>
        <w:t>zavádění inovativních nízkouhlíkových technologií, včetně nízkouhlíkové dopravy či oblasti druhotných surovin</w:t>
      </w:r>
      <w:r w:rsidR="00DF6069" w:rsidRPr="008B53A9">
        <w:t>.</w:t>
      </w:r>
    </w:p>
    <w:p w:rsidR="00F00824" w:rsidRPr="008B53A9" w:rsidRDefault="00F00824" w:rsidP="005D178C">
      <w:pPr>
        <w:pStyle w:val="Standardntext"/>
      </w:pPr>
      <w:r w:rsidRPr="008B53A9">
        <w:t>Z</w:t>
      </w:r>
      <w:r w:rsidR="000961BF" w:rsidRPr="008B53A9">
        <w:t> nástroje CEF</w:t>
      </w:r>
      <w:r w:rsidRPr="008B53A9">
        <w:t xml:space="preserve"> lze financovat jen projekty</w:t>
      </w:r>
      <w:r w:rsidR="000961BF" w:rsidRPr="008B53A9">
        <w:t>, které byly zařazeny na seznam Projektů společného zájmu (PCI)</w:t>
      </w:r>
      <w:r w:rsidRPr="008B53A9">
        <w:t xml:space="preserve">. V případě ČR </w:t>
      </w:r>
      <w:r w:rsidR="000961BF" w:rsidRPr="008B53A9">
        <w:t>jde o</w:t>
      </w:r>
      <w:r w:rsidRPr="008B53A9">
        <w:t xml:space="preserve"> jeden konkrétní projekt. </w:t>
      </w:r>
      <w:r w:rsidR="000961BF" w:rsidRPr="008B53A9">
        <w:t>Potřeby samotné ČR jsou vzhledem k přenosové soustavě daleko širší</w:t>
      </w:r>
      <w:r w:rsidR="00CB7BE7" w:rsidRPr="008B53A9">
        <w:t>,</w:t>
      </w:r>
      <w:r w:rsidR="000961BF" w:rsidRPr="008B53A9">
        <w:t xml:space="preserve"> a p</w:t>
      </w:r>
      <w:r w:rsidRPr="008B53A9">
        <w:t>roto</w:t>
      </w:r>
      <w:r w:rsidR="000961BF" w:rsidRPr="008B53A9">
        <w:t xml:space="preserve"> budou v rámci </w:t>
      </w:r>
      <w:r w:rsidRPr="008B53A9">
        <w:t>OP</w:t>
      </w:r>
      <w:r w:rsidR="000961BF" w:rsidRPr="008B53A9">
        <w:t xml:space="preserve"> </w:t>
      </w:r>
      <w:r w:rsidRPr="008B53A9">
        <w:t xml:space="preserve">PIK </w:t>
      </w:r>
      <w:r w:rsidR="000961BF" w:rsidRPr="008B53A9">
        <w:t>podpořeny ostatní projekty, mimo tento PCI projekt</w:t>
      </w:r>
      <w:r w:rsidRPr="008B53A9">
        <w:t>.</w:t>
      </w:r>
    </w:p>
    <w:p w:rsidR="000B1709" w:rsidRPr="008B53A9" w:rsidRDefault="00356BE6" w:rsidP="005F43DF">
      <w:pPr>
        <w:pStyle w:val="Standardntext"/>
        <w:numPr>
          <w:ilvl w:val="0"/>
          <w:numId w:val="33"/>
        </w:numPr>
        <w:rPr>
          <w:b/>
        </w:rPr>
      </w:pPr>
      <w:r w:rsidRPr="008B53A9">
        <w:rPr>
          <w:b/>
        </w:rPr>
        <w:t>ICT</w:t>
      </w:r>
    </w:p>
    <w:p w:rsidR="000B1709" w:rsidRPr="008B53A9" w:rsidRDefault="00356BE6" w:rsidP="000B1709">
      <w:pPr>
        <w:pStyle w:val="Standardntext"/>
      </w:pPr>
      <w:r w:rsidRPr="008B53A9">
        <w:t xml:space="preserve">Také v případě ICT má OP PIK vazbu na </w:t>
      </w:r>
      <w:r w:rsidR="0087102E" w:rsidRPr="008B53A9">
        <w:rPr>
          <w:b/>
        </w:rPr>
        <w:t>Horizont 2020</w:t>
      </w:r>
      <w:r w:rsidR="00A73155" w:rsidRPr="008B53A9">
        <w:t>, kde</w:t>
      </w:r>
      <w:r w:rsidRPr="008B53A9">
        <w:t xml:space="preserve"> lze spatřovat </w:t>
      </w:r>
      <w:r w:rsidR="00A73155" w:rsidRPr="008B53A9">
        <w:t xml:space="preserve">vazby </w:t>
      </w:r>
      <w:r w:rsidRPr="008B53A9">
        <w:t>především v oblasti internetové infrastruktury a vývoji pokročilých a inteligencích systémů.</w:t>
      </w:r>
    </w:p>
    <w:p w:rsidR="001C66E1" w:rsidRPr="008B53A9" w:rsidRDefault="003128E1" w:rsidP="00396141">
      <w:pPr>
        <w:pStyle w:val="Modrnadpis"/>
      </w:pPr>
      <w:r w:rsidRPr="008B53A9">
        <w:t>Zajištění koordinace s relevantními národními nástroji podpory</w:t>
      </w:r>
    </w:p>
    <w:p w:rsidR="000B1709" w:rsidRPr="008B53A9" w:rsidRDefault="000B1709" w:rsidP="000B1709">
      <w:pPr>
        <w:pStyle w:val="Standardntext"/>
      </w:pPr>
      <w:r w:rsidRPr="008B53A9">
        <w:t xml:space="preserve">Mezi </w:t>
      </w:r>
      <w:r w:rsidRPr="008B53A9">
        <w:rPr>
          <w:b/>
        </w:rPr>
        <w:t>národní programy podpory</w:t>
      </w:r>
      <w:r w:rsidRPr="008B53A9">
        <w:t>, u nichž byla identifikována komplementární vazba ve vztahu k OP PIK, patří:</w:t>
      </w:r>
    </w:p>
    <w:p w:rsidR="000B1709" w:rsidRPr="008B53A9" w:rsidRDefault="000B1709" w:rsidP="008A18EF">
      <w:pPr>
        <w:pStyle w:val="Standardntext"/>
        <w:numPr>
          <w:ilvl w:val="0"/>
          <w:numId w:val="4"/>
        </w:numPr>
        <w:spacing w:after="0"/>
        <w:ind w:left="714" w:hanging="357"/>
      </w:pPr>
      <w:r w:rsidRPr="008B53A9">
        <w:t>Programy TA ČR –</w:t>
      </w:r>
      <w:r w:rsidR="00CD130E" w:rsidRPr="008B53A9">
        <w:t xml:space="preserve"> </w:t>
      </w:r>
      <w:r w:rsidRPr="008B53A9">
        <w:t>Beta, Gama, Delt</w:t>
      </w:r>
      <w:r w:rsidR="00FA1DB2" w:rsidRPr="008B53A9">
        <w:t>a</w:t>
      </w:r>
      <w:r w:rsidRPr="008B53A9">
        <w:t>, Epsilon</w:t>
      </w:r>
    </w:p>
    <w:p w:rsidR="000B1709" w:rsidRPr="008B53A9" w:rsidRDefault="000B1709" w:rsidP="008A18EF">
      <w:pPr>
        <w:pStyle w:val="Standardntext"/>
        <w:numPr>
          <w:ilvl w:val="0"/>
          <w:numId w:val="4"/>
        </w:numPr>
      </w:pPr>
      <w:r w:rsidRPr="008B53A9">
        <w:t xml:space="preserve">Programy MPO – </w:t>
      </w:r>
      <w:r w:rsidR="0088090F" w:rsidRPr="008B53A9">
        <w:t xml:space="preserve">Záruka, Inostart, </w:t>
      </w:r>
      <w:r w:rsidRPr="008B53A9">
        <w:t xml:space="preserve">Revit, </w:t>
      </w:r>
      <w:r w:rsidR="0088090F" w:rsidRPr="008B53A9">
        <w:t xml:space="preserve">Program na podporu podnikatelských nemovitostí a infrastruktury, </w:t>
      </w:r>
      <w:r w:rsidR="00C730AF" w:rsidRPr="008B53A9">
        <w:t xml:space="preserve">Efekt 2014, </w:t>
      </w:r>
      <w:r w:rsidRPr="008B53A9">
        <w:t>program podpory projektů zaměřených na budování přístupových sítí nové generace (v přípravě)</w:t>
      </w:r>
    </w:p>
    <w:p w:rsidR="000B1709" w:rsidRPr="008B53A9" w:rsidRDefault="000B1709" w:rsidP="000B1709">
      <w:pPr>
        <w:pStyle w:val="Standardntext"/>
      </w:pPr>
      <w:r w:rsidRPr="008B53A9">
        <w:t xml:space="preserve">Následující přehled podává stručnou informaci o tom, které oblasti intervencí obsažené ve výše uvedených národních programech podpory, jsou předmětem koordinace mezi OP PIK a těmito programy. Bližší specifikace identifikovaných komplementárních vazeb je součástí </w:t>
      </w:r>
      <w:r w:rsidR="00D3716C" w:rsidRPr="008B53A9">
        <w:t xml:space="preserve">Nepovinné přílohy č. </w:t>
      </w:r>
      <w:r w:rsidR="00F734D1" w:rsidRPr="008B53A9">
        <w:t>4</w:t>
      </w:r>
      <w:r w:rsidRPr="008B53A9">
        <w:t>.</w:t>
      </w:r>
    </w:p>
    <w:p w:rsidR="00C902DA" w:rsidRPr="008B53A9" w:rsidRDefault="00C902DA" w:rsidP="005F43DF">
      <w:pPr>
        <w:pStyle w:val="Standardntext"/>
        <w:numPr>
          <w:ilvl w:val="0"/>
          <w:numId w:val="32"/>
        </w:numPr>
        <w:rPr>
          <w:b/>
        </w:rPr>
      </w:pPr>
      <w:r w:rsidRPr="008B53A9">
        <w:rPr>
          <w:b/>
        </w:rPr>
        <w:lastRenderedPageBreak/>
        <w:t>Aplikovaný výzkum a vývoj</w:t>
      </w:r>
    </w:p>
    <w:p w:rsidR="00920D09" w:rsidRPr="008B53A9" w:rsidRDefault="00920D09" w:rsidP="00920D09">
      <w:pPr>
        <w:pStyle w:val="Standardntext"/>
      </w:pPr>
      <w:r w:rsidRPr="008B53A9">
        <w:t xml:space="preserve">Zatímco OP PIK je v této oblasti více zaměřen na průmyslové výzvy a </w:t>
      </w:r>
      <w:r w:rsidR="00BC3665" w:rsidRPr="008B53A9">
        <w:t>KETs</w:t>
      </w:r>
      <w:r w:rsidRPr="008B53A9">
        <w:t xml:space="preserve">, </w:t>
      </w:r>
      <w:r w:rsidR="00CD130E" w:rsidRPr="008B53A9">
        <w:t xml:space="preserve">program </w:t>
      </w:r>
      <w:r w:rsidR="00CD130E" w:rsidRPr="008B53A9">
        <w:rPr>
          <w:b/>
        </w:rPr>
        <w:t>Epsilon TA ČR</w:t>
      </w:r>
      <w:r w:rsidR="00CD130E" w:rsidRPr="008B53A9">
        <w:t xml:space="preserve"> je založen na plnění cílů Národních priorit orientovaného výzkumu, experimentálního vývoje a inovací, nikoliv oborově, a je nastaven flexibilně, aby nenarušil implementaci příslušných operačních programů v období 2014 – 2020.</w:t>
      </w:r>
      <w:r w:rsidRPr="008B53A9">
        <w:t xml:space="preserve"> </w:t>
      </w:r>
      <w:r w:rsidR="00060CF3" w:rsidRPr="008B53A9">
        <w:t xml:space="preserve">Program </w:t>
      </w:r>
      <w:r w:rsidR="00060CF3" w:rsidRPr="008B53A9">
        <w:rPr>
          <w:b/>
        </w:rPr>
        <w:t xml:space="preserve">Delta TA ČR </w:t>
      </w:r>
      <w:r w:rsidR="00060CF3" w:rsidRPr="008B53A9">
        <w:t>se orientuje na podporu mezinárodní spolupráce v aplikovaném výzkumu a experimentálním vývoji se subjekty mimo ČR na základě bilaterálních memorand s obdobnými organizacemi jako je TA ČR.</w:t>
      </w:r>
      <w:r w:rsidR="00270C7E" w:rsidRPr="008B53A9">
        <w:t xml:space="preserve"> </w:t>
      </w:r>
      <w:r w:rsidRPr="008B53A9">
        <w:t xml:space="preserve">Program </w:t>
      </w:r>
      <w:r w:rsidRPr="008B53A9">
        <w:rPr>
          <w:b/>
        </w:rPr>
        <w:t>Beta TA ČR</w:t>
      </w:r>
      <w:r w:rsidRPr="008B53A9">
        <w:t xml:space="preserve"> nevyužívá způsob realizace PCP/SBIR. Zásadní rozdíl je ve vlastnictví výsledku – v programu Beta je vlastníkem zadavatel, tj. státní správa; v OP PIK bude vlastníkem výsledku </w:t>
      </w:r>
      <w:r w:rsidR="00CD130E" w:rsidRPr="008B53A9">
        <w:t>realizátor, tj. soukromý podnik.</w:t>
      </w:r>
    </w:p>
    <w:p w:rsidR="00C902DA" w:rsidRPr="008B53A9" w:rsidRDefault="00C902DA" w:rsidP="005F43DF">
      <w:pPr>
        <w:pStyle w:val="Standardntext"/>
        <w:numPr>
          <w:ilvl w:val="0"/>
          <w:numId w:val="32"/>
        </w:numPr>
        <w:rPr>
          <w:b/>
        </w:rPr>
      </w:pPr>
      <w:r w:rsidRPr="008B53A9">
        <w:rPr>
          <w:b/>
        </w:rPr>
        <w:t>Proof – of – concept</w:t>
      </w:r>
    </w:p>
    <w:p w:rsidR="00EF7E53" w:rsidRPr="008B53A9" w:rsidRDefault="00920D09" w:rsidP="00C902DA">
      <w:pPr>
        <w:pStyle w:val="Standardntext"/>
      </w:pPr>
      <w:r w:rsidRPr="008B53A9">
        <w:t>OP PIK se zaměřuje výhradně na</w:t>
      </w:r>
      <w:r w:rsidR="00270C7E" w:rsidRPr="008B53A9">
        <w:t xml:space="preserve"> </w:t>
      </w:r>
      <w:r w:rsidR="0088604E" w:rsidRPr="008B53A9">
        <w:t>ověření komerčního potenciálu a dotažení výrobku/služby do finálního stádia a jeho uvedení na trh</w:t>
      </w:r>
      <w:r w:rsidRPr="008B53A9">
        <w:t xml:space="preserve">. Zatímco program </w:t>
      </w:r>
      <w:r w:rsidRPr="008B53A9">
        <w:rPr>
          <w:b/>
        </w:rPr>
        <w:t>Gama</w:t>
      </w:r>
      <w:r w:rsidR="00BC3665" w:rsidRPr="008B53A9">
        <w:rPr>
          <w:b/>
        </w:rPr>
        <w:t xml:space="preserve"> TA </w:t>
      </w:r>
      <w:r w:rsidRPr="008B53A9">
        <w:rPr>
          <w:b/>
        </w:rPr>
        <w:t>ČR</w:t>
      </w:r>
      <w:r w:rsidRPr="008B53A9">
        <w:t xml:space="preserve"> se zaměřuje na nastavení systému </w:t>
      </w:r>
      <w:r w:rsidR="0088604E" w:rsidRPr="008B53A9">
        <w:t>proof of concept ve výzkumných organizacích a na další vývoj a uvedení na trh výsledků, které jsou výstupem jiných projektů a vyžadují ještě doplňující aktivity pro uvedení výrobku/služby na trh</w:t>
      </w:r>
      <w:r w:rsidR="00590B07" w:rsidRPr="008B53A9">
        <w:t>.</w:t>
      </w:r>
      <w:r w:rsidR="00D17DBE" w:rsidRPr="008B53A9">
        <w:t xml:space="preserve"> </w:t>
      </w:r>
    </w:p>
    <w:p w:rsidR="00C902DA" w:rsidRPr="008B53A9" w:rsidRDefault="00C902DA" w:rsidP="005F43DF">
      <w:pPr>
        <w:pStyle w:val="Standardntext"/>
        <w:numPr>
          <w:ilvl w:val="0"/>
          <w:numId w:val="32"/>
        </w:numPr>
        <w:rPr>
          <w:b/>
        </w:rPr>
      </w:pPr>
      <w:r w:rsidRPr="008B53A9">
        <w:rPr>
          <w:b/>
        </w:rPr>
        <w:t>Zvýšení konkurenceschopnosti MSP</w:t>
      </w:r>
    </w:p>
    <w:p w:rsidR="00C902DA" w:rsidRPr="008B53A9" w:rsidRDefault="00923777" w:rsidP="00C902DA">
      <w:pPr>
        <w:pStyle w:val="Standardntext"/>
      </w:pPr>
      <w:r w:rsidRPr="008B53A9">
        <w:t>Mezi národní programy v</w:t>
      </w:r>
      <w:r w:rsidR="005516F9" w:rsidRPr="008B53A9">
        <w:t> </w:t>
      </w:r>
      <w:r w:rsidRPr="008B53A9">
        <w:t>této</w:t>
      </w:r>
      <w:r w:rsidR="000239E7" w:rsidRPr="008B53A9">
        <w:t xml:space="preserve"> oblasti patří program záruk pro malé a střední podnikatele </w:t>
      </w:r>
      <w:r w:rsidR="000239E7" w:rsidRPr="008B53A9">
        <w:rPr>
          <w:b/>
        </w:rPr>
        <w:t>ZÁRUKA</w:t>
      </w:r>
      <w:r w:rsidR="005516F9" w:rsidRPr="008B53A9">
        <w:t xml:space="preserve">, </w:t>
      </w:r>
      <w:r w:rsidR="000239E7" w:rsidRPr="008B53A9">
        <w:t xml:space="preserve">program záruk za úvěry začínajícím podnikatelům v Olomouckém a Moravskoslezském kraji </w:t>
      </w:r>
      <w:r w:rsidR="000239E7" w:rsidRPr="008B53A9">
        <w:rPr>
          <w:b/>
        </w:rPr>
        <w:t>INOSTART</w:t>
      </w:r>
      <w:r w:rsidR="005516F9" w:rsidRPr="008B53A9">
        <w:t xml:space="preserve"> a </w:t>
      </w:r>
      <w:r w:rsidR="000239E7" w:rsidRPr="008B53A9">
        <w:t xml:space="preserve">program </w:t>
      </w:r>
      <w:r w:rsidR="000239E7" w:rsidRPr="008B53A9">
        <w:rPr>
          <w:b/>
        </w:rPr>
        <w:t>REVIT</w:t>
      </w:r>
      <w:r w:rsidR="000239E7" w:rsidRPr="008B53A9">
        <w:t xml:space="preserve"> na léta 2014 - 2020</w:t>
      </w:r>
      <w:r w:rsidR="005516F9" w:rsidRPr="008B53A9">
        <w:t xml:space="preserve">. </w:t>
      </w:r>
      <w:r w:rsidR="0053261C" w:rsidRPr="008B53A9">
        <w:t>Jedná se o doplňkové programy k OP PIK; u</w:t>
      </w:r>
      <w:r w:rsidRPr="008B53A9">
        <w:t xml:space="preserve"> všech </w:t>
      </w:r>
      <w:r w:rsidR="0053261C" w:rsidRPr="008B53A9">
        <w:t>těchto</w:t>
      </w:r>
      <w:r w:rsidRPr="008B53A9">
        <w:t xml:space="preserve"> programů se předpokládají komplementarity</w:t>
      </w:r>
      <w:r w:rsidR="00BC3665" w:rsidRPr="008B53A9">
        <w:t xml:space="preserve"> v oblasti finančních nástrojů</w:t>
      </w:r>
      <w:r w:rsidRPr="008B53A9">
        <w:t>.</w:t>
      </w:r>
    </w:p>
    <w:p w:rsidR="00C730AF" w:rsidRPr="008B53A9" w:rsidRDefault="00C730AF" w:rsidP="005F43DF">
      <w:pPr>
        <w:pStyle w:val="Standardntext"/>
        <w:numPr>
          <w:ilvl w:val="0"/>
          <w:numId w:val="32"/>
        </w:numPr>
        <w:rPr>
          <w:b/>
        </w:rPr>
      </w:pPr>
      <w:r w:rsidRPr="008B53A9">
        <w:rPr>
          <w:b/>
        </w:rPr>
        <w:t>Podnikatelské nemovitosti</w:t>
      </w:r>
    </w:p>
    <w:p w:rsidR="00060CF3" w:rsidRPr="008B53A9" w:rsidRDefault="00390A8C" w:rsidP="00060CF3">
      <w:pPr>
        <w:pStyle w:val="Standardntext"/>
      </w:pPr>
      <w:r w:rsidRPr="008B53A9">
        <w:t xml:space="preserve">MPO je správcem národního </w:t>
      </w:r>
      <w:r w:rsidRPr="008B53A9">
        <w:rPr>
          <w:b/>
        </w:rPr>
        <w:t>Programu na podporu podnikatelských nemovitostí a infrastruktury</w:t>
      </w:r>
      <w:r w:rsidR="00732320" w:rsidRPr="008B53A9">
        <w:t>, který</w:t>
      </w:r>
      <w:r w:rsidRPr="008B53A9">
        <w:t xml:space="preserve"> je doplňkový vůči OP PIK. Odlišná je cílová skupina potenciálních příjemců, kdy se OP PIK orientuje na podnikatelské subjekty a národní program pouze na obce a kraje.</w:t>
      </w:r>
    </w:p>
    <w:p w:rsidR="00C902DA" w:rsidRPr="008B53A9" w:rsidRDefault="00C902DA" w:rsidP="005F43DF">
      <w:pPr>
        <w:pStyle w:val="Standardntext"/>
        <w:numPr>
          <w:ilvl w:val="0"/>
          <w:numId w:val="32"/>
        </w:numPr>
        <w:rPr>
          <w:b/>
        </w:rPr>
      </w:pPr>
      <w:r w:rsidRPr="008B53A9">
        <w:rPr>
          <w:b/>
        </w:rPr>
        <w:t>Úspory energie</w:t>
      </w:r>
    </w:p>
    <w:p w:rsidR="00C902DA" w:rsidRPr="008B53A9" w:rsidRDefault="003D7BAA" w:rsidP="00C902DA">
      <w:pPr>
        <w:pStyle w:val="Standardntext"/>
      </w:pPr>
      <w:r w:rsidRPr="008B53A9">
        <w:t>Národním programem v oblasti úspor energie je program Efekt vyhlašovaný každoročně Ministerstvem průmyslu a obchodu. Program je zaměřen především na osvětovou a informační činnost a investiční akce menšího rozsahu. Je doplňkovým programem k energetickým programům podporovaným z ESIF</w:t>
      </w:r>
      <w:r w:rsidR="00732320" w:rsidRPr="008B53A9">
        <w:t>.</w:t>
      </w:r>
    </w:p>
    <w:p w:rsidR="00C902DA" w:rsidRPr="008B53A9" w:rsidRDefault="00C902DA" w:rsidP="005F43DF">
      <w:pPr>
        <w:pStyle w:val="Standardntext"/>
        <w:numPr>
          <w:ilvl w:val="0"/>
          <w:numId w:val="32"/>
        </w:numPr>
        <w:rPr>
          <w:b/>
        </w:rPr>
      </w:pPr>
      <w:r w:rsidRPr="008B53A9">
        <w:rPr>
          <w:b/>
        </w:rPr>
        <w:t>Vysokorychlostní přístup k internetu</w:t>
      </w:r>
    </w:p>
    <w:p w:rsidR="000B1709" w:rsidRPr="008B53A9" w:rsidRDefault="00B000CD" w:rsidP="00A83EAE">
      <w:pPr>
        <w:pStyle w:val="Standardntext"/>
      </w:pPr>
      <w:r w:rsidRPr="008B53A9">
        <w:t>ČR v současné době připravuje návrh národního programu podpory projektů zaměřených na budování přístupových sítí nové generace. Národní program je však zatím v rané fázi přípravy a jeho konkrétní podoba není v tuto chvíli známa.</w:t>
      </w:r>
    </w:p>
    <w:p w:rsidR="000B1CBB" w:rsidRPr="008B53A9" w:rsidRDefault="000B1CBB" w:rsidP="00396141">
      <w:pPr>
        <w:pStyle w:val="Modrnadpis"/>
        <w:rPr>
          <w:rFonts w:eastAsia="Arial Unicode MS"/>
        </w:rPr>
      </w:pPr>
      <w:r w:rsidRPr="008B53A9">
        <w:t>Zajištění koordinace s Evropskou investiční bankou</w:t>
      </w:r>
    </w:p>
    <w:p w:rsidR="000B1CBB" w:rsidRPr="008B53A9" w:rsidRDefault="00886924" w:rsidP="00886924">
      <w:pPr>
        <w:pStyle w:val="Standardntext"/>
      </w:pPr>
      <w:r w:rsidRPr="008B53A9">
        <w:t xml:space="preserve">Ve vztahu ke skupině EIB se nabízí především spolupráce v oblasti finančních nástrojů. ŘO OP PIK počítá s využitím služeb skupiny EIB při zpracování </w:t>
      </w:r>
      <w:r w:rsidR="003B7DC0" w:rsidRPr="008B53A9">
        <w:t>předběžného posouzení</w:t>
      </w:r>
      <w:r w:rsidRPr="008B53A9">
        <w:t xml:space="preserve"> finančních nástrojů podle </w:t>
      </w:r>
      <w:r w:rsidR="00673465" w:rsidRPr="008B53A9">
        <w:t>čl. 3</w:t>
      </w:r>
      <w:r w:rsidR="00192FBA" w:rsidRPr="008B53A9">
        <w:t>7</w:t>
      </w:r>
      <w:r w:rsidR="00673465" w:rsidRPr="008B53A9">
        <w:t xml:space="preserve"> </w:t>
      </w:r>
      <w:r w:rsidR="003B7DC0" w:rsidRPr="008B53A9">
        <w:t xml:space="preserve">odst. 2 </w:t>
      </w:r>
      <w:r w:rsidR="00673465" w:rsidRPr="008B53A9">
        <w:t>o</w:t>
      </w:r>
      <w:r w:rsidRPr="008B53A9">
        <w:t>becného nařízení. V návaznosti na toto vyhodnocení nelze vyloučit ani případnou další spolupráci ve fázi implementace finančních nástrojů OP PIK.</w:t>
      </w:r>
    </w:p>
    <w:p w:rsidR="003B7DC0" w:rsidRPr="008B53A9" w:rsidRDefault="003B7DC0" w:rsidP="003B7DC0">
      <w:pPr>
        <w:pStyle w:val="Standardntext"/>
      </w:pPr>
      <w:r w:rsidRPr="008B53A9">
        <w:lastRenderedPageBreak/>
        <w:t>Co se týče koordinace s existujícími a chystanými finančními nástroji prováděnými skupinou EIB, jedná se o nástroje uvedené v</w:t>
      </w:r>
      <w:r w:rsidR="00D3716C" w:rsidRPr="008B53A9">
        <w:t xml:space="preserve"> Nepovinné příloze č. </w:t>
      </w:r>
      <w:r w:rsidR="00F734D1" w:rsidRPr="008B53A9">
        <w:t>4</w:t>
      </w:r>
      <w:r w:rsidRPr="008B53A9">
        <w:t>, zejména finanční nástroje implementované v rámci unijních programů COSME a Horizont 2020.</w:t>
      </w:r>
    </w:p>
    <w:p w:rsidR="003B7DC0" w:rsidRPr="008B53A9" w:rsidRDefault="003B7DC0" w:rsidP="003B7DC0">
      <w:pPr>
        <w:pStyle w:val="Standardntext"/>
      </w:pPr>
      <w:r w:rsidRPr="008B53A9">
        <w:t xml:space="preserve">Česká republika nemá v úmyslu využít možnost zapojení do společných finančních nástrojů tzv. SME initiative podle čl. 39 </w:t>
      </w:r>
      <w:r w:rsidR="0087102E" w:rsidRPr="008B53A9">
        <w:t>o</w:t>
      </w:r>
      <w:r w:rsidRPr="008B53A9">
        <w:t>becného nařízení.</w:t>
      </w:r>
    </w:p>
    <w:p w:rsidR="00886924" w:rsidRPr="008B53A9" w:rsidRDefault="00886924" w:rsidP="000B1CBB">
      <w:pPr>
        <w:pStyle w:val="Standardntext"/>
      </w:pPr>
    </w:p>
    <w:p w:rsidR="00886924" w:rsidRPr="008B53A9" w:rsidRDefault="00886924" w:rsidP="000B1CBB">
      <w:pPr>
        <w:pStyle w:val="Standardntext"/>
        <w:sectPr w:rsidR="00886924" w:rsidRPr="008B53A9" w:rsidSect="00F258CA">
          <w:headerReference w:type="default" r:id="rId45"/>
          <w:footerReference w:type="default" r:id="rId46"/>
          <w:pgSz w:w="11906" w:h="16838"/>
          <w:pgMar w:top="1418" w:right="1276" w:bottom="1276" w:left="1418" w:header="709" w:footer="709" w:gutter="0"/>
          <w:cols w:space="708"/>
          <w:docGrid w:linePitch="272"/>
        </w:sectPr>
      </w:pPr>
    </w:p>
    <w:p w:rsidR="009E6172" w:rsidRPr="008B53A9" w:rsidRDefault="00FF200C" w:rsidP="00FF200C">
      <w:pPr>
        <w:pStyle w:val="Nadpis1"/>
      </w:pPr>
      <w:bookmarkStart w:id="132" w:name="_Toc391539692"/>
      <w:r w:rsidRPr="008B53A9">
        <w:lastRenderedPageBreak/>
        <w:t>Předběžné podmínky</w:t>
      </w:r>
      <w:bookmarkEnd w:id="132"/>
    </w:p>
    <w:p w:rsidR="00F05C0C" w:rsidRPr="008B53A9" w:rsidRDefault="00F05C0C" w:rsidP="00F05C0C">
      <w:pPr>
        <w:pStyle w:val="Nadpis2"/>
        <w:rPr>
          <w:rFonts w:cs="Calibri"/>
        </w:rPr>
      </w:pPr>
      <w:bookmarkStart w:id="133" w:name="_Toc391539693"/>
      <w:r w:rsidRPr="008B53A9">
        <w:rPr>
          <w:rFonts w:cs="Calibri"/>
        </w:rPr>
        <w:t>Předběžné podmínky</w:t>
      </w:r>
      <w:bookmarkEnd w:id="133"/>
      <w:r w:rsidRPr="008B53A9">
        <w:rPr>
          <w:rFonts w:cs="Calibri"/>
        </w:rPr>
        <w:t xml:space="preserve"> </w:t>
      </w:r>
    </w:p>
    <w:p w:rsidR="00171578" w:rsidRPr="008B53A9" w:rsidRDefault="00171578" w:rsidP="00606577">
      <w:pPr>
        <w:pStyle w:val="Standardntext"/>
      </w:pPr>
      <w:r w:rsidRPr="008B53A9">
        <w:rPr>
          <w:rFonts w:eastAsia="Arial Unicode MS"/>
        </w:rPr>
        <w:t xml:space="preserve">V souvislosti s požadavkem Evropské komise zajistit dosahování prokazatelných výsledků intervencí z Evropských strukturálních a investičních fondů, zavádí obecné nařízení instrument v podobě tzv. předběžných podmínek. Jejich cílem je zajistit, </w:t>
      </w:r>
      <w:r w:rsidRPr="008B53A9">
        <w:t>že budou existovat nezbytné rámcové podmínky pro účinné využívání podpory  ESIF. Předběžná podmínka je podle obecného nařízení „</w:t>
      </w:r>
      <w:r w:rsidRPr="008B53A9">
        <w:rPr>
          <w:i/>
        </w:rPr>
        <w:t>předem přesně vymezený podstatný faktor, který je nezbytným předpokladem pro účinné a efektivní splnění specifického cíle investiční priority […]</w:t>
      </w:r>
      <w:r w:rsidRPr="008B53A9">
        <w:t xml:space="preserve">“. V rámci předběžných podmínek jsou dále definována dílčí kritéria splnění. </w:t>
      </w:r>
    </w:p>
    <w:p w:rsidR="00171578" w:rsidRPr="008B53A9" w:rsidRDefault="00171578" w:rsidP="00606577">
      <w:pPr>
        <w:pStyle w:val="Standardntext"/>
      </w:pPr>
      <w:r w:rsidRPr="008B53A9">
        <w:rPr>
          <w:rFonts w:eastAsia="Arial Unicode MS"/>
        </w:rPr>
        <w:t>Podle obecného nařízení by předběžné podmínky měly být splněny k datu předložení Dohody o partnerství, není-li tomu tak, pak nejpozději do 31. 12. 2016. N</w:t>
      </w:r>
      <w:r w:rsidRPr="008B53A9">
        <w:t>esplnění předběžných podmínek ve lhůtě do 31. 12. 2016 je důvodem pro pozastavení všech nebo části plateb na příslušnou prioritu programu ze strany EK.</w:t>
      </w:r>
      <w:r w:rsidRPr="008B53A9">
        <w:rPr>
          <w:rFonts w:eastAsia="Arial Unicode MS"/>
        </w:rPr>
        <w:t xml:space="preserve"> </w:t>
      </w:r>
      <w:r w:rsidRPr="008B53A9">
        <w:t xml:space="preserve">Opětovné spuštění průběžných plateb bude znovu možné až po splnění předběžné podmínky. </w:t>
      </w:r>
    </w:p>
    <w:p w:rsidR="00171578" w:rsidRPr="008B53A9" w:rsidRDefault="00171578" w:rsidP="00606577">
      <w:pPr>
        <w:pStyle w:val="Standardntext"/>
      </w:pPr>
      <w:r w:rsidRPr="008B53A9">
        <w:t xml:space="preserve">Koordinací naplňování předběžných podmínek na národní úrovni zajišťuje Ministerstvo pro místní rozvoj, které k tomu účelu vydává Akční plán řízení a koordinace předběžných podmínek v programovém období 2014-2020 (dále </w:t>
      </w:r>
      <w:r w:rsidR="00DF4F92" w:rsidRPr="008B53A9">
        <w:t>také „</w:t>
      </w:r>
      <w:r w:rsidRPr="008B53A9">
        <w:t>Akční plán</w:t>
      </w:r>
      <w:r w:rsidR="00DF4F92" w:rsidRPr="008B53A9">
        <w:t>“</w:t>
      </w:r>
      <w:r w:rsidRPr="008B53A9">
        <w:t>). V souladu s  Akčním plánem zajišťuje Ministerstvo průmyslu a obchodu</w:t>
      </w:r>
      <w:r w:rsidR="00F11481" w:rsidRPr="008B53A9">
        <w:t xml:space="preserve"> jako </w:t>
      </w:r>
      <w:r w:rsidRPr="008B53A9">
        <w:t>Řídící orgán OP PIK</w:t>
      </w:r>
      <w:r w:rsidR="00F11481" w:rsidRPr="008B53A9">
        <w:t xml:space="preserve"> </w:t>
      </w:r>
      <w:r w:rsidRPr="008B53A9">
        <w:t>úlohu gestora věcného naplnění některých předběžných podmínek</w:t>
      </w:r>
      <w:r w:rsidR="00F11481" w:rsidRPr="008B53A9">
        <w:t xml:space="preserve"> a p</w:t>
      </w:r>
      <w:r w:rsidRPr="008B53A9">
        <w:t xml:space="preserve">růběžně </w:t>
      </w:r>
      <w:r w:rsidR="00F11481" w:rsidRPr="008B53A9">
        <w:t xml:space="preserve">je </w:t>
      </w:r>
      <w:r w:rsidRPr="008B53A9">
        <w:t>sleduje a vyhodnocuje</w:t>
      </w:r>
      <w:r w:rsidR="00F11481" w:rsidRPr="008B53A9">
        <w:t xml:space="preserve">. </w:t>
      </w:r>
      <w:r w:rsidRPr="008B53A9">
        <w:t>Zvláštní pozornost věnuje Řídící orgán OP PIK zejména tzv. rizikovým předběžným podmínkám, u kterých bylo identifikováno riziko je</w:t>
      </w:r>
      <w:r w:rsidR="001C38E4" w:rsidRPr="008B53A9">
        <w:t xml:space="preserve">jich </w:t>
      </w:r>
      <w:r w:rsidR="001E08D2" w:rsidRPr="008B53A9">
        <w:t xml:space="preserve">nesplnění </w:t>
      </w:r>
      <w:r w:rsidRPr="008B53A9">
        <w:t xml:space="preserve">(riziko časové, implementační a riziko jejich nejasného či příliš obecného výkladu). </w:t>
      </w:r>
    </w:p>
    <w:p w:rsidR="00171578" w:rsidRPr="008B53A9" w:rsidRDefault="00171578" w:rsidP="00606577">
      <w:pPr>
        <w:pStyle w:val="Standardntext"/>
      </w:pPr>
      <w:r w:rsidRPr="008B53A9">
        <w:t>Řídící orgán OP PIK zajišťuje naplnění předběžných podmínek souběžně s přípravou OP PIK v rámci působnosti Ministerstva průmyslu a obchodu ve spolupráci s příslušnými odbornými útvary ministerstva.  Ve spolupráci s nimi jsou definována opatření a harmonogram ke splnění dosud částečně splněných nebo nesplněných předběžných podmínek. Spolupracuje také s dalšími resorty a subjekty, které jsou jejich spolugestory či gestory předběžných podmínek, do jejichž působnosti také příslušné předběžné podmínky spadají. Řídící orgán OP PIK při zpracování programu průběžně aktivně spolupracuje také s Ministerstvem pro místní rozvoj s cílem vyjasnit dosud otevřené či nejasné otázky v souvislosti s předběžnými podmínkami a prostřednictvím Ministerstva pro místní rozvoj také usiluje o vyjasnění těchto otázek na straně EK.</w:t>
      </w:r>
    </w:p>
    <w:p w:rsidR="005021A2" w:rsidRPr="008B53A9" w:rsidRDefault="005021A2" w:rsidP="005021A2">
      <w:pPr>
        <w:pStyle w:val="Standardntext"/>
      </w:pPr>
      <w:r w:rsidRPr="008B53A9">
        <w:t xml:space="preserve">V souladu s principem předběžných podmínek, kterým je vytvoření nezbytných rámcových podmínek pro účinné využívání podpory  ESIF  v rámci plánovaných intervencí, bylo pro OP PIK s ohledem na zvolené investiční priority a specifické cíle identifikováno 9 aplikovatelných tematických předběžných podmínek (1.1, 2.1, 2.2, 3.1, 4.1, 4.2, 4.3, 7.4, 8.2) dle Přílohy XI. obecného nařízení. Jde o tematické předběžné podmínky, které požadují jak existenci strategických dokumentů, tak i implementaci legislativních aktů, včetně přijetí opatření vyplývajících </w:t>
      </w:r>
      <w:r w:rsidR="00686589" w:rsidRPr="008B53A9">
        <w:t>z</w:t>
      </w:r>
      <w:r w:rsidRPr="008B53A9">
        <w:t xml:space="preserve"> nelegislativních dokumentů Evropské unie. Dále jsou pro OP PIK aplikovatelné obecné předběžné podmínky. Z hlediska zaměření intervencí OP PIK dle zvolených investičních priorit považuje Řídící orgán OP PIK za nerelevantní pro OP PIK u předběžné podmínky č. 2.1 „Digitální růst: Strategický rámec politiky pro digitální růst, jež má stimulovat poptávku po cenově dostupných, kvalitních a interoperabilních soukromých a veřejných službách v oblasti IKT a zvýšit míru jejich využívání občany, včetně zranitelných skupin, </w:t>
      </w:r>
      <w:r w:rsidRPr="008B53A9">
        <w:lastRenderedPageBreak/>
        <w:t xml:space="preserve">podniky a orgány veřejné správy včetně přeshraničních iniciativ“ kritérium „ukazatele umožňující měření pokroku opatření v oblastech, jako jsou počítačová gramotnost, začleňování občanů do informační společnosti, přístupnost elektronických technologií a elektronického zdravotnictví v mezích článku 168 SFEU, jež jsou v souladu tam, kde je to vhodné, s příslušnými stávajícími unijními, vnitrostátními nebo regionálními strategiemi pro jednotlivá odvětví“. Intervence do této oblasti se vztahují k investiční prioritě 2c) dle čl. 5 nařízení pro Evropský fond pro regionální rozvoj v rámci Tematického cíle 2 – Zlepšení dostupnosti, využití a kvality informačních a komunikačních technologií“, která není součástí OP PIK. </w:t>
      </w:r>
    </w:p>
    <w:p w:rsidR="005021A2" w:rsidRPr="008B53A9" w:rsidRDefault="005021A2" w:rsidP="005021A2">
      <w:pPr>
        <w:pStyle w:val="Standardntext"/>
      </w:pPr>
      <w:r w:rsidRPr="008B53A9">
        <w:t>Volba předběžných podmínek byla provedena také v souladu s dokumentem Evropské komise „Draft Guidance on Ex Ante Conditionalities“</w:t>
      </w:r>
      <w:r w:rsidRPr="008B53A9">
        <w:rPr>
          <w:rStyle w:val="Znakapoznpodarou"/>
        </w:rPr>
        <w:footnoteReference w:id="96"/>
      </w:r>
      <w:r w:rsidRPr="008B53A9">
        <w:t>. Přehled všech aplikovatelných předběžných podmínek je obsažen v tabulce č. 24. MPO, jako Řídící orgán OP PIK, je současně gestorem/spolugestorem plnění uvedených tematických předběžných podmínek. V případě předběžné podmínky 1.1 je hlavním koordinátorem přípravy Národní strategie pro inteligentní specializaci Ministerstvo školství, mládeže a tělovýchovy (MŠMT) a MPO se na její přípravě aktivně podílí. Podílí se taktéž na plnění dílčích kritérií obecných předběžných podmínek.</w:t>
      </w:r>
    </w:p>
    <w:p w:rsidR="00171578" w:rsidRPr="008B53A9" w:rsidRDefault="00171578" w:rsidP="00171578">
      <w:pPr>
        <w:pStyle w:val="Standardntext"/>
      </w:pPr>
      <w:r w:rsidRPr="008B53A9">
        <w:t xml:space="preserve">Vyhodnocení plnění předběžných podmínek dle daných kritérií bylo provedeno v rámci přípravy OP PIK s využitím </w:t>
      </w:r>
      <w:r w:rsidR="00A60A6E" w:rsidRPr="008B53A9">
        <w:t>„</w:t>
      </w:r>
      <w:r w:rsidRPr="008B53A9">
        <w:t>Draft Guidance on Ex Ante Conditionalities</w:t>
      </w:r>
      <w:r w:rsidR="00A60A6E" w:rsidRPr="008B53A9">
        <w:t>“</w:t>
      </w:r>
      <w:r w:rsidRPr="008B53A9">
        <w:t xml:space="preserve"> a dle dalších pokynů Ministerstva pro místní rozvoj – NOK v souladu s Akčním plánem. V současné fázi je podle vyhodnocení Řídícího orgánu OP PIK s plněním aplikovatelných předběžných podmínek spojeno několik typů rizika. </w:t>
      </w:r>
      <w:r w:rsidR="00E36103" w:rsidRPr="008B53A9">
        <w:t xml:space="preserve">Jde o riziko časové i implementační. </w:t>
      </w:r>
      <w:r w:rsidRPr="008B53A9">
        <w:t xml:space="preserve">Ke splnění všech kritérií předběžných podmínek zbývá dokončit některé strategické či analytické dokumenty </w:t>
      </w:r>
      <w:r w:rsidR="00686589" w:rsidRPr="008B53A9">
        <w:t>a přijmout úpravu právních předpisů. Podrobněji jsou rizika popsána ve vyjádření u konkrétních předběžných podmínek v další části kapitoly.</w:t>
      </w:r>
    </w:p>
    <w:p w:rsidR="005021A2" w:rsidRPr="008B53A9" w:rsidRDefault="005021A2" w:rsidP="005021A2">
      <w:pPr>
        <w:pStyle w:val="Standardntext"/>
      </w:pPr>
      <w:r w:rsidRPr="008B53A9">
        <w:t xml:space="preserve">Z hlediska OP PIK jsou aplikovatelné také předběžné podmínky, které jsou spojeny s výše </w:t>
      </w:r>
      <w:r w:rsidR="00D5692F" w:rsidRPr="008B53A9">
        <w:t>zmíněnými</w:t>
      </w:r>
      <w:r w:rsidRPr="008B53A9">
        <w:t xml:space="preserve"> riziky. Na dopracování strategických dokumentů nebo dalších dokumentů k naplnění kritérií předběžných podmínek je vázáno naplnění předběžných podmínek 1.1, 2.1, 2.2, dále musí být přijata legislativní opatření pro jejich naplnění. V této souvislosti jde o podmínku 3.1, resp. 8.2 - požadavek na zkrácení doby a snížení nákladů na založení podniku. Gestorem příslušných legislativních opatření je Ministerstvo spravedlnosti, které zpracovalo Akční plán ke splnění požadavků předběžných podmínek. Specifický problém spatřuje Řídící orgán OP PIK v souvislosti s</w:t>
      </w:r>
      <w:r w:rsidR="00D5692F" w:rsidRPr="008B53A9">
        <w:t> </w:t>
      </w:r>
      <w:r w:rsidRPr="008B53A9">
        <w:t>předběžn</w:t>
      </w:r>
      <w:r w:rsidR="00D5692F" w:rsidRPr="008B53A9">
        <w:t>ými podmínkami pro Tematický cíl 4 (4.1 a 4.3),</w:t>
      </w:r>
      <w:r w:rsidRPr="008B53A9">
        <w:t xml:space="preserve"> kde bylo identifikováno riziko v podobě probíhajících řízení o porušení Smlouvy, která s ČR vede EK v souvislosti s transpozicí směrnic v oblasti energetiky</w:t>
      </w:r>
      <w:r w:rsidRPr="008B53A9">
        <w:rPr>
          <w:rStyle w:val="Znakapoznpodarou"/>
        </w:rPr>
        <w:footnoteReference w:id="97"/>
      </w:r>
      <w:r w:rsidRPr="008B53A9">
        <w:t xml:space="preserve"> (podrobnosti jsou uvedeny </w:t>
      </w:r>
      <w:r w:rsidR="00D5692F" w:rsidRPr="008B53A9">
        <w:t xml:space="preserve">v </w:t>
      </w:r>
      <w:r w:rsidRPr="008B53A9">
        <w:t>tabul</w:t>
      </w:r>
      <w:r w:rsidR="00D5692F" w:rsidRPr="008B53A9">
        <w:t>ce</w:t>
      </w:r>
      <w:r w:rsidRPr="008B53A9">
        <w:t xml:space="preserve"> č. 24). Řídící orgán usiloval o vyjasnění stanoviska Evropské komise k této otázce již během přípravy OP PIK, nicméně jasné stanovisko EK ČR </w:t>
      </w:r>
      <w:r w:rsidR="00686589" w:rsidRPr="008B53A9">
        <w:t xml:space="preserve">obdržela </w:t>
      </w:r>
      <w:r w:rsidRPr="008B53A9">
        <w:t>až v rámci reakce na Dohodu o partnerství v rámci neformálního dialogu. Dle tohoto stanoviska EK nebude tyto předběžné podmínky považovat za splněné. V rámci řešení situace přistoupil Řídící orgány OP PIK k jednání s MMR a zahájil přímá jednání s EK s cílem dosáhnout řešení těchto případů s ohledem na nutnost naplnění předběžných podmínek. Současně byl zpracován Akční plán pro uvedené předběžné podmínky</w:t>
      </w:r>
      <w:r w:rsidR="009914C7" w:rsidRPr="008B53A9">
        <w:t xml:space="preserve">. V návaznosti na technické jednání s Evropskou komisí dne 30. </w:t>
      </w:r>
      <w:r w:rsidR="009914C7" w:rsidRPr="008B53A9">
        <w:lastRenderedPageBreak/>
        <w:t>4. 2014, kdy EK uvedla, že řízení o porušení Smlouvy nemají dopad na předběžnou podmínku 4.3, byl Akční plán aktualizován pro předběžnou podmínku 4.1.</w:t>
      </w:r>
      <w:r w:rsidRPr="008B53A9">
        <w:t xml:space="preserve"> </w:t>
      </w:r>
      <w:r w:rsidR="00E35843" w:rsidRPr="008B53A9">
        <w:t xml:space="preserve"> Problematika naplnění předběžných podmínek pro Tematický cíl 2 je řešena ve spolupráci s dalšími resorty a subjekty, zodpovědnými za realizaci opatření ke splnění podmínek či dopracování příslušných strategických dokumentů</w:t>
      </w:r>
      <w:r w:rsidR="00242E72" w:rsidRPr="008B53A9">
        <w:t xml:space="preserve"> a</w:t>
      </w:r>
      <w:r w:rsidR="00E35843" w:rsidRPr="008B53A9">
        <w:t xml:space="preserve"> </w:t>
      </w:r>
      <w:r w:rsidR="00242E72" w:rsidRPr="008B53A9">
        <w:t>byly zpracovány Akční plány ke splnění předběžných podmínek 2.1 a 2.2.</w:t>
      </w:r>
      <w:r w:rsidR="00895285" w:rsidRPr="008B53A9">
        <w:t xml:space="preserve"> K OP PIK jsou připojeny výše zmíněné akční plány, jakož i další akční plány k předběžným podmínkám, které spadají do působnosti jiných resortů – akční plán pro předběžnou podmínku 1.1 (RIS3 Strategie, gesce MŠMT) a obecnou předběžnou podmínku EIA (gesce MŽP).</w:t>
      </w:r>
    </w:p>
    <w:p w:rsidR="00171578" w:rsidRPr="008B53A9" w:rsidRDefault="00171578" w:rsidP="00171578">
      <w:pPr>
        <w:pStyle w:val="Standardntext"/>
        <w:rPr>
          <w:lang w:val="cs-CZ"/>
        </w:rPr>
      </w:pPr>
      <w:r w:rsidRPr="008B53A9">
        <w:t xml:space="preserve">Podrobné informace k opatřením a harmonogramu splnění dosud částečně splněných nebo nesplněných </w:t>
      </w:r>
      <w:r w:rsidR="00873DA7" w:rsidRPr="008B53A9">
        <w:t xml:space="preserve">tematických </w:t>
      </w:r>
      <w:r w:rsidRPr="008B53A9">
        <w:t xml:space="preserve">předběžných podmínek je obsažen v tabulce </w:t>
      </w:r>
      <w:r w:rsidR="00873DA7" w:rsidRPr="008B53A9">
        <w:t>26</w:t>
      </w:r>
      <w:r w:rsidRPr="008B53A9">
        <w:t>.</w:t>
      </w:r>
    </w:p>
    <w:p w:rsidR="00D562E4" w:rsidRPr="008B53A9" w:rsidRDefault="00D562E4" w:rsidP="00171578">
      <w:pPr>
        <w:pStyle w:val="Standardntext"/>
        <w:rPr>
          <w:lang w:val="cs-CZ"/>
        </w:rPr>
      </w:pPr>
      <w:r w:rsidRPr="008B53A9">
        <w:rPr>
          <w:lang w:val="cs-CZ"/>
        </w:rPr>
        <w:t>Stav předběžných podmínek je zachycen k datu 23.6.2014.</w:t>
      </w:r>
    </w:p>
    <w:p w:rsidR="00381155" w:rsidRPr="008B53A9" w:rsidRDefault="00381155" w:rsidP="005021A2">
      <w:pPr>
        <w:pStyle w:val="Standardntext"/>
        <w:sectPr w:rsidR="00381155" w:rsidRPr="008B53A9" w:rsidSect="00F258CA">
          <w:headerReference w:type="default" r:id="rId47"/>
          <w:footerReference w:type="default" r:id="rId48"/>
          <w:pgSz w:w="11906" w:h="16838"/>
          <w:pgMar w:top="1418" w:right="1276" w:bottom="1276" w:left="1418" w:header="709" w:footer="709" w:gutter="0"/>
          <w:cols w:space="708"/>
          <w:docGrid w:linePitch="272"/>
        </w:sectPr>
      </w:pPr>
    </w:p>
    <w:p w:rsidR="00BF3FE5" w:rsidRPr="008B53A9" w:rsidRDefault="00BF3FE5" w:rsidP="00FF200C">
      <w:pPr>
        <w:pStyle w:val="Titulek"/>
      </w:pPr>
      <w:r w:rsidRPr="008B53A9">
        <w:lastRenderedPageBreak/>
        <w:t>Tabulka</w:t>
      </w:r>
      <w:r w:rsidR="00FF200C" w:rsidRPr="008B53A9">
        <w:t xml:space="preserve">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24</w:t>
      </w:r>
      <w:r w:rsidR="00C3289B" w:rsidRPr="008B53A9">
        <w:rPr>
          <w:noProof/>
        </w:rPr>
        <w:fldChar w:fldCharType="end"/>
      </w:r>
      <w:r w:rsidRPr="008B53A9">
        <w:t xml:space="preserve">: </w:t>
      </w:r>
      <w:r w:rsidR="00F64D76" w:rsidRPr="008B53A9">
        <w:t>Určení příslušných předběžných podmínek a posouzení jejich plnění</w:t>
      </w:r>
    </w:p>
    <w:tbl>
      <w:tblPr>
        <w:tblW w:w="14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752"/>
        <w:gridCol w:w="1701"/>
        <w:gridCol w:w="1276"/>
        <w:gridCol w:w="1843"/>
        <w:gridCol w:w="1134"/>
        <w:gridCol w:w="2126"/>
        <w:gridCol w:w="4394"/>
      </w:tblGrid>
      <w:tr w:rsidR="0089670B" w:rsidRPr="008B53A9">
        <w:tc>
          <w:tcPr>
            <w:tcW w:w="1752" w:type="dxa"/>
            <w:shd w:val="clear" w:color="auto" w:fill="B8CCE4"/>
            <w:vAlign w:val="center"/>
          </w:tcPr>
          <w:p w:rsidR="0089670B" w:rsidRPr="008B53A9" w:rsidRDefault="0089670B" w:rsidP="0089670B">
            <w:pPr>
              <w:pStyle w:val="Tabulka"/>
              <w:rPr>
                <w:rFonts w:cs="Calibri"/>
                <w:b/>
                <w:lang w:val="cs-CZ" w:eastAsia="cs-CZ"/>
              </w:rPr>
            </w:pPr>
            <w:r w:rsidRPr="008B53A9">
              <w:rPr>
                <w:rFonts w:cs="Calibri"/>
                <w:b/>
                <w:lang w:val="cs-CZ" w:eastAsia="cs-CZ"/>
              </w:rPr>
              <w:t>Předběžná podmínka</w:t>
            </w:r>
          </w:p>
        </w:tc>
        <w:tc>
          <w:tcPr>
            <w:tcW w:w="1701" w:type="dxa"/>
            <w:shd w:val="clear" w:color="auto" w:fill="B8CCE4"/>
            <w:vAlign w:val="center"/>
          </w:tcPr>
          <w:p w:rsidR="0089670B" w:rsidRPr="008B53A9" w:rsidRDefault="0089670B" w:rsidP="0089670B">
            <w:pPr>
              <w:pStyle w:val="Tabulka"/>
              <w:rPr>
                <w:rFonts w:cs="Calibri"/>
                <w:b/>
                <w:lang w:val="cs-CZ" w:eastAsia="cs-CZ"/>
              </w:rPr>
            </w:pPr>
            <w:r w:rsidRPr="008B53A9">
              <w:rPr>
                <w:rFonts w:cs="Calibri"/>
                <w:b/>
                <w:lang w:val="cs-CZ" w:eastAsia="cs-CZ"/>
              </w:rPr>
              <w:t>Prioritní osy, kterých se podmínka týká</w:t>
            </w:r>
          </w:p>
        </w:tc>
        <w:tc>
          <w:tcPr>
            <w:tcW w:w="1276" w:type="dxa"/>
            <w:shd w:val="clear" w:color="auto" w:fill="B8CCE4"/>
            <w:vAlign w:val="center"/>
          </w:tcPr>
          <w:p w:rsidR="0089670B" w:rsidRPr="008B53A9" w:rsidRDefault="0089670B" w:rsidP="0089670B">
            <w:pPr>
              <w:pStyle w:val="Tabulka"/>
              <w:rPr>
                <w:rFonts w:cs="Calibri"/>
                <w:b/>
                <w:lang w:val="cs-CZ" w:eastAsia="cs-CZ"/>
              </w:rPr>
            </w:pPr>
            <w:r w:rsidRPr="008B53A9">
              <w:rPr>
                <w:rFonts w:cs="Calibri"/>
                <w:b/>
                <w:lang w:val="cs-CZ" w:eastAsia="cs-CZ"/>
              </w:rPr>
              <w:t>Předběžná podmínka splněna: ano/ne/částečně</w:t>
            </w:r>
          </w:p>
        </w:tc>
        <w:tc>
          <w:tcPr>
            <w:tcW w:w="1843" w:type="dxa"/>
            <w:shd w:val="clear" w:color="auto" w:fill="B8CCE4"/>
            <w:vAlign w:val="center"/>
          </w:tcPr>
          <w:p w:rsidR="0089670B" w:rsidRPr="008B53A9" w:rsidRDefault="0089670B" w:rsidP="0089670B">
            <w:pPr>
              <w:pStyle w:val="Tabulka"/>
              <w:rPr>
                <w:rFonts w:cs="Calibri"/>
                <w:b/>
                <w:lang w:val="cs-CZ" w:eastAsia="cs-CZ"/>
              </w:rPr>
            </w:pPr>
            <w:r w:rsidRPr="008B53A9">
              <w:rPr>
                <w:rFonts w:cs="Calibri"/>
                <w:b/>
                <w:lang w:val="cs-CZ" w:eastAsia="cs-CZ"/>
              </w:rPr>
              <w:t>Kritéria</w:t>
            </w:r>
          </w:p>
        </w:tc>
        <w:tc>
          <w:tcPr>
            <w:tcW w:w="1134" w:type="dxa"/>
            <w:shd w:val="clear" w:color="auto" w:fill="B8CCE4"/>
            <w:vAlign w:val="center"/>
          </w:tcPr>
          <w:p w:rsidR="0089670B" w:rsidRPr="008B53A9" w:rsidRDefault="0089670B" w:rsidP="0089670B">
            <w:pPr>
              <w:pStyle w:val="Tabulka"/>
              <w:rPr>
                <w:rFonts w:cs="Calibri"/>
                <w:b/>
                <w:lang w:val="cs-CZ" w:eastAsia="cs-CZ"/>
              </w:rPr>
            </w:pPr>
            <w:r w:rsidRPr="008B53A9">
              <w:rPr>
                <w:rFonts w:cs="Calibri"/>
                <w:b/>
                <w:lang w:val="cs-CZ" w:eastAsia="cs-CZ"/>
              </w:rPr>
              <w:t>Kritéria splněna</w:t>
            </w:r>
          </w:p>
          <w:p w:rsidR="0089670B" w:rsidRPr="008B53A9" w:rsidRDefault="0089670B" w:rsidP="0089670B">
            <w:pPr>
              <w:pStyle w:val="Tabulka"/>
              <w:rPr>
                <w:rFonts w:cs="Calibri"/>
                <w:b/>
                <w:lang w:val="cs-CZ" w:eastAsia="cs-CZ"/>
              </w:rPr>
            </w:pPr>
            <w:r w:rsidRPr="008B53A9">
              <w:rPr>
                <w:rFonts w:cs="Calibri"/>
                <w:b/>
                <w:lang w:val="cs-CZ" w:eastAsia="cs-CZ"/>
              </w:rPr>
              <w:t>ano/ne</w:t>
            </w:r>
          </w:p>
        </w:tc>
        <w:tc>
          <w:tcPr>
            <w:tcW w:w="2126" w:type="dxa"/>
            <w:shd w:val="clear" w:color="auto" w:fill="B8CCE4"/>
            <w:vAlign w:val="center"/>
          </w:tcPr>
          <w:p w:rsidR="0089670B" w:rsidRPr="008B53A9" w:rsidRDefault="0089670B" w:rsidP="0089670B">
            <w:pPr>
              <w:pStyle w:val="Tabulka"/>
              <w:rPr>
                <w:rFonts w:cs="Calibri"/>
                <w:b/>
                <w:lang w:val="cs-CZ" w:eastAsia="cs-CZ"/>
              </w:rPr>
            </w:pPr>
            <w:r w:rsidRPr="008B53A9">
              <w:rPr>
                <w:rFonts w:cs="Calibri"/>
                <w:b/>
                <w:lang w:val="cs-CZ" w:eastAsia="cs-CZ"/>
              </w:rPr>
              <w:t>Odkaz</w:t>
            </w:r>
          </w:p>
        </w:tc>
        <w:tc>
          <w:tcPr>
            <w:tcW w:w="4394" w:type="dxa"/>
            <w:shd w:val="clear" w:color="auto" w:fill="B8CCE4"/>
            <w:vAlign w:val="center"/>
          </w:tcPr>
          <w:p w:rsidR="0089670B" w:rsidRPr="008B53A9" w:rsidRDefault="0089670B" w:rsidP="0089670B">
            <w:pPr>
              <w:pStyle w:val="Tabulka"/>
              <w:rPr>
                <w:rFonts w:cs="Calibri"/>
                <w:b/>
                <w:lang w:val="cs-CZ" w:eastAsia="cs-CZ"/>
              </w:rPr>
            </w:pPr>
            <w:r w:rsidRPr="008B53A9">
              <w:rPr>
                <w:rFonts w:cs="Calibri"/>
                <w:b/>
                <w:lang w:val="cs-CZ" w:eastAsia="cs-CZ"/>
              </w:rPr>
              <w:t>Vysvětlení</w:t>
            </w:r>
            <w:r w:rsidRPr="008B53A9">
              <w:rPr>
                <w:rStyle w:val="Znakapoznpodarou"/>
                <w:rFonts w:eastAsia="Calibri" w:cs="Calibri"/>
                <w:b/>
                <w:lang w:val="cs-CZ" w:eastAsia="cs-CZ"/>
              </w:rPr>
              <w:footnoteReference w:id="98"/>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t xml:space="preserve">Existence administrativní kapacity pro provádění a uplatňování právních předpisů a politiky Unie v oblasti boje pro diskriminaci v případě fondů ESI </w:t>
            </w: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Všechny prioritní osy OP PIK</w:t>
            </w: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Ano </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(plnění probíhá průběžně a bude probíhat po celé programové období 2014-2020)</w:t>
            </w: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Ustanovení v souladu s institucionálním a právním rámcem členských států za účelem zapojení subjektů odpovědných za prosazování rovného zacházení se všemi osobami v rámci přípravy a provádění programů včetně poskytování poradenství v otázkách rovnosti v rámci činností týkajících se fondů </w:t>
            </w:r>
            <w:r w:rsidRPr="008B53A9">
              <w:rPr>
                <w:rFonts w:cs="Calibri"/>
                <w:lang w:val="cs-CZ" w:eastAsia="cs-CZ"/>
              </w:rPr>
              <w:lastRenderedPageBreak/>
              <w:t>ESI.</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49" w:history="1">
              <w:r w:rsidR="0089670B" w:rsidRPr="008B53A9">
                <w:rPr>
                  <w:rStyle w:val="Hypertextovodkaz"/>
                  <w:rFonts w:cs="Calibri"/>
                  <w:color w:val="auto"/>
                  <w:u w:val="none"/>
                  <w:lang w:val="cs-CZ" w:eastAsia="cs-CZ"/>
                </w:rPr>
                <w:t>http://www.ochrance.cz/en/discrimination/</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Veřejný ochránce práv byl pověřen rolí národního tělesa pro rovné zacházení a ochrany před diskriminací v souladu s unijním právem. Převážnou část úkolů zajišťuje ÚV ČR – Sekce pro lidská práva, podřízená ministru pro lidská práva, rovné příležitosti a legislativu, v součinnosti s  ŘO jednotlivých OP. V rámci agendy nediskriminace je kontaktní osobou, zabývající se implementací a aplikací antidiskriminačního práva, která je zároveň odpovědná za koordinací aktivit a spolupráci s Úřadem vlády a MPSV, komunikační úředník OP PIK. Ve fázi implementace operačního programu bude také zajištěna účast zástupce gestora (ÚV ČR – Sekce pro lidská práva) v Monitorovacím výboru OP PIK. </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Opatření za účelem vzdělávání zaměstnanců orgánů zapojených do řízení a kontroly fondů ESI v oblasti právních předpisů a politiky Unie proti diskriminaci </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Ve spolupráci ÚV ČR – Sekce pro lidská práva a veřejného ochránce práv jsou připraveny programy školení relevantních zaměstnanců k tématu rovného zacházení a zákazu diskriminace. MMR-NOK zajišťuje na horizontální úrovni proškolení zaměstnanců implementujících fondy EU v rámci Systému vzdělávání. Zaměstnanci ŘO OP PIK jsou zapojeni do Systému vzdělávání a účastní se průběžně a dle potřeby příslušných školení s problematikou nediskriminace a rovného zacházení.</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t>Existence administrativní kapacity pro provádění a uplatňování právních předpisů a politiky Unie v oblasti rovnosti mezi ženami a muži v případě fondů ESI</w:t>
            </w: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Všechny prioritní osy OP PIK</w:t>
            </w: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p w:rsidR="0089670B" w:rsidRPr="008B53A9" w:rsidRDefault="0089670B" w:rsidP="00142A82">
            <w:pPr>
              <w:pStyle w:val="Tabulka"/>
              <w:jc w:val="left"/>
              <w:rPr>
                <w:rFonts w:cs="Calibri"/>
                <w:lang w:val="cs-CZ" w:eastAsia="cs-CZ"/>
              </w:rPr>
            </w:pPr>
            <w:r w:rsidRPr="008B53A9">
              <w:rPr>
                <w:rFonts w:cs="Calibri"/>
                <w:lang w:val="cs-CZ" w:eastAsia="cs-CZ"/>
              </w:rPr>
              <w:t>(plnění probíhá průběžně a bude probíhat po celé programové období 2014-2020)</w:t>
            </w: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Ustanovení v souladu s institucionálním a právním rámcem členských států za účelem zapojení subjektů odpovědných za rovnost mezi ženami a muži v rámci přípravy a provádění programů, včetně poskytování poradenství v otázkách rovnosti mezi ženami a </w:t>
            </w:r>
            <w:r w:rsidRPr="008B53A9">
              <w:rPr>
                <w:rFonts w:cs="Calibri"/>
                <w:lang w:val="cs-CZ" w:eastAsia="cs-CZ"/>
              </w:rPr>
              <w:lastRenderedPageBreak/>
              <w:t>muži v rámci činností týkajících se fondů ESI;</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ano</w:t>
            </w:r>
          </w:p>
        </w:tc>
        <w:tc>
          <w:tcPr>
            <w:tcW w:w="2126" w:type="dxa"/>
            <w:shd w:val="clear" w:color="auto" w:fill="auto"/>
          </w:tcPr>
          <w:p w:rsidR="0089670B" w:rsidRPr="008B53A9" w:rsidRDefault="008B53A9" w:rsidP="00142A82">
            <w:pPr>
              <w:pStyle w:val="Tabulka"/>
              <w:jc w:val="left"/>
              <w:rPr>
                <w:rStyle w:val="Hypertextovodkaz"/>
                <w:rFonts w:cs="Calibri"/>
                <w:color w:val="auto"/>
                <w:u w:val="none"/>
                <w:lang w:val="cs-CZ" w:eastAsia="cs-CZ"/>
              </w:rPr>
            </w:pPr>
            <w:hyperlink r:id="rId50" w:history="1">
              <w:r w:rsidR="0089670B" w:rsidRPr="008B53A9">
                <w:rPr>
                  <w:rStyle w:val="Hypertextovodkaz"/>
                  <w:rFonts w:cs="Calibri"/>
                  <w:color w:val="auto"/>
                  <w:u w:val="none"/>
                  <w:lang w:val="cs-CZ" w:eastAsia="cs-CZ"/>
                </w:rPr>
                <w:t>http://www.ochrance.cz/en/discrimination/</w:t>
              </w:r>
            </w:hyperlink>
          </w:p>
          <w:p w:rsidR="0089670B" w:rsidRPr="008B53A9" w:rsidRDefault="0089670B" w:rsidP="00142A82">
            <w:pPr>
              <w:pStyle w:val="Tabulka"/>
              <w:jc w:val="left"/>
              <w:rPr>
                <w:rStyle w:val="Hypertextovodkaz"/>
                <w:rFonts w:cs="Calibri"/>
                <w:color w:val="auto"/>
                <w:u w:val="none"/>
                <w:lang w:val="cs-CZ" w:eastAsia="cs-CZ"/>
              </w:rPr>
            </w:pPr>
          </w:p>
          <w:p w:rsidR="0089670B" w:rsidRPr="008B53A9" w:rsidRDefault="008B53A9" w:rsidP="00142A82">
            <w:pPr>
              <w:pStyle w:val="Tabulka"/>
              <w:jc w:val="left"/>
              <w:rPr>
                <w:rFonts w:cs="Calibri"/>
                <w:lang w:val="cs-CZ" w:eastAsia="cs-CZ"/>
              </w:rPr>
            </w:pPr>
            <w:hyperlink r:id="rId51" w:history="1">
              <w:r w:rsidR="0089670B" w:rsidRPr="008B53A9">
                <w:rPr>
                  <w:rStyle w:val="Hypertextovodkaz"/>
                  <w:rFonts w:cs="Calibri"/>
                  <w:color w:val="auto"/>
                  <w:u w:val="none"/>
                  <w:lang w:val="cs-CZ" w:eastAsia="cs-CZ"/>
                </w:rPr>
                <w:t>http://www.mpsv.cz/cs/12152</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K prosazování práva na rovné zacházení přispívá veřejný ochránce práv. Další aktivity bude dále zajišťovat MPSV jako koordinátor agendy.</w:t>
            </w:r>
          </w:p>
          <w:p w:rsidR="0089670B" w:rsidRPr="008B53A9" w:rsidRDefault="0089670B" w:rsidP="00142A82">
            <w:pPr>
              <w:pStyle w:val="Tabulka"/>
              <w:jc w:val="left"/>
              <w:rPr>
                <w:rFonts w:cs="Calibri"/>
                <w:lang w:val="cs-CZ" w:eastAsia="cs-CZ"/>
              </w:rPr>
            </w:pPr>
            <w:r w:rsidRPr="008B53A9">
              <w:rPr>
                <w:rFonts w:cs="Calibri"/>
                <w:lang w:val="cs-CZ" w:eastAsia="cs-CZ"/>
              </w:rPr>
              <w:t xml:space="preserve">V  OPPIK bude zajištěno, aby podpořené projekty přispívaly k naplňování principu rovnosti žen a mužů u relevantních intervencí. V OPPIK budou mít ke všem programům podpory stejný přístup ženy i muži, zároveň princip rovnosti žen a mužů bude zahrnut do výběrových kritérií jednotlivých subprogramů podpory. V případě, že hodnotitelská komise shledá, že projekt nebude projekt podpořen. Aktivity v PO 5 – Technická pomoc budou přístupné všem, bez rozdílu pohlaví. Rovnost mužů a žen bude zajištěna také ve složení </w:t>
            </w:r>
            <w:r w:rsidRPr="008B53A9">
              <w:rPr>
                <w:rFonts w:cs="Calibri"/>
                <w:lang w:val="cs-CZ" w:eastAsia="cs-CZ"/>
              </w:rPr>
              <w:lastRenderedPageBreak/>
              <w:t>Monitorovacího výboru. V rámci agendy rovných příležitostí je kontaktní osobou, zabývající se implementací a aplikaci práva rovnosti žen a mužů, která je zároveň odpovědná za koordinaci aktivit a spolupráci s MPSV, komunikační úředník OP PIK.</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za účelem vzdělávání zaměstnanců orgánů zapojených do řízení a kontroly fondů ESI v oblasti právních předpisů a politiky Unie týkajících se rovnosti mezi ženami a muži a zohledňování rovnosti mezi ženami a muži.</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MMR-NOK zajišťuje na horizontální úrovni proškolení zaměstnanců implementujících fondy EU v rámci Systému vzdělávání, MPSV zajišťuje obsahovou náplň vzdělávání a lektorské zajištění.</w:t>
            </w:r>
          </w:p>
          <w:p w:rsidR="0089670B" w:rsidRPr="008B53A9" w:rsidRDefault="0089670B" w:rsidP="00142A82">
            <w:pPr>
              <w:pStyle w:val="Tabulka"/>
              <w:jc w:val="left"/>
              <w:rPr>
                <w:rFonts w:cs="Calibri"/>
                <w:lang w:val="cs-CZ" w:eastAsia="cs-CZ"/>
              </w:rPr>
            </w:pPr>
            <w:r w:rsidRPr="008B53A9">
              <w:rPr>
                <w:rFonts w:cs="Calibri"/>
                <w:lang w:val="cs-CZ" w:eastAsia="cs-CZ"/>
              </w:rPr>
              <w:t>Zaměstnanci ŘO OP PIK jsou zapojeni do Systému vzdělávání a účastní se průběžně a dle potřeby příslušných školení s problematikou rovnosti mezi ženami a muži.</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p w:rsidR="0089670B" w:rsidRPr="008B53A9" w:rsidRDefault="0089670B" w:rsidP="00142A82">
            <w:pPr>
              <w:pStyle w:val="Tabulka"/>
              <w:jc w:val="left"/>
              <w:rPr>
                <w:rFonts w:cs="Calibri"/>
                <w:lang w:val="cs-CZ" w:eastAsia="cs-CZ"/>
              </w:rPr>
            </w:pP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t xml:space="preserve">Existence administrativní kapacity k provádění a uplatňování Úmluvy OSN o právech osob se zdravotním postižením (UNCRPD) v </w:t>
            </w:r>
            <w:r w:rsidRPr="008B53A9">
              <w:rPr>
                <w:rFonts w:cs="Calibri"/>
                <w:b/>
                <w:lang w:val="cs-CZ" w:eastAsia="cs-CZ"/>
              </w:rPr>
              <w:lastRenderedPageBreak/>
              <w:t>oblasti fondů ESI v souladu s rozhodnutím Rady 2010/48/ES</w:t>
            </w:r>
            <w:r w:rsidRPr="008B53A9">
              <w:rPr>
                <w:rStyle w:val="Znakapoznpodarou"/>
                <w:rFonts w:cs="Calibri"/>
                <w:b/>
                <w:vertAlign w:val="baseline"/>
                <w:lang w:val="cs-CZ" w:eastAsia="cs-CZ"/>
              </w:rPr>
              <w:footnoteReference w:id="99"/>
            </w:r>
          </w:p>
          <w:p w:rsidR="0089670B" w:rsidRPr="008B53A9" w:rsidRDefault="0089670B" w:rsidP="00142A82">
            <w:pPr>
              <w:pStyle w:val="Tabulka"/>
              <w:jc w:val="left"/>
              <w:rPr>
                <w:rFonts w:cs="Calibri"/>
                <w:b/>
                <w:lang w:val="cs-CZ" w:eastAsia="cs-CZ"/>
              </w:rPr>
            </w:pP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Všechny prioritní osy OP PIK</w:t>
            </w: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p w:rsidR="0089670B" w:rsidRPr="008B53A9" w:rsidRDefault="0089670B" w:rsidP="00142A82">
            <w:pPr>
              <w:pStyle w:val="Tabulka"/>
              <w:jc w:val="left"/>
              <w:rPr>
                <w:rFonts w:cs="Calibri"/>
                <w:lang w:val="cs-CZ" w:eastAsia="cs-CZ"/>
              </w:rPr>
            </w:pPr>
            <w:r w:rsidRPr="008B53A9">
              <w:rPr>
                <w:rFonts w:cs="Calibri"/>
                <w:lang w:val="cs-CZ" w:eastAsia="cs-CZ"/>
              </w:rPr>
              <w:t xml:space="preserve">(plnění probíhá průběžně a bude probíhat po celé programové období </w:t>
            </w:r>
            <w:r w:rsidRPr="008B53A9">
              <w:rPr>
                <w:rFonts w:cs="Calibri"/>
                <w:lang w:val="cs-CZ" w:eastAsia="cs-CZ"/>
              </w:rPr>
              <w:lastRenderedPageBreak/>
              <w:t>2014-2020)</w:t>
            </w: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 xml:space="preserve">Opatření v souladu s institucionálním a právním rámcem členských států pro konzultaci a zapojení subjektů odpovědných za ochranu práv zdravotně postižených osob </w:t>
            </w:r>
            <w:r w:rsidRPr="008B53A9">
              <w:rPr>
                <w:rFonts w:cs="Calibri"/>
                <w:lang w:val="cs-CZ" w:eastAsia="cs-CZ"/>
              </w:rPr>
              <w:lastRenderedPageBreak/>
              <w:t>nebo organizací je zastupujících a ostatních příslušných zúčastněných stran do přípravy a provádění programů;</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52" w:history="1">
              <w:r w:rsidR="0089670B" w:rsidRPr="008B53A9">
                <w:rPr>
                  <w:rStyle w:val="Hypertextovodkaz"/>
                  <w:rFonts w:cs="Calibri"/>
                  <w:color w:val="auto"/>
                  <w:u w:val="none"/>
                  <w:lang w:val="cs-CZ" w:eastAsia="cs-CZ"/>
                </w:rPr>
                <w:t>http://www.vlada.cz/cz/ppov/vvzpo/dokumenty/narodni-plan-vytvareni-rovnych-prilezitosti-pro-osoby-se-zdravotnim-postizenim-na-obdobi-2010---2014-70026/</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Převážnou část úkolů zajišťuje MPSV ve spolupráci s Vládním výborem pro zdravotně postižené občany a s určenými kontaktními pracovníky ŘO jednotlivých OP.</w:t>
            </w:r>
          </w:p>
          <w:p w:rsidR="0089670B" w:rsidRPr="008B53A9" w:rsidRDefault="0089670B" w:rsidP="00142A82">
            <w:pPr>
              <w:pStyle w:val="Tabulka"/>
              <w:jc w:val="left"/>
              <w:rPr>
                <w:rFonts w:cs="Calibri"/>
                <w:lang w:val="cs-CZ" w:eastAsia="cs-CZ"/>
              </w:rPr>
            </w:pPr>
            <w:r w:rsidRPr="008B53A9">
              <w:rPr>
                <w:rFonts w:cs="Calibri"/>
                <w:lang w:val="cs-CZ" w:eastAsia="cs-CZ"/>
              </w:rPr>
              <w:t xml:space="preserve">V rámci agendy ochrany práv zdravotně postižených za ŘO OP PIK je kontaktní osobou, zabývající se implementací a aplikací práv zdravotně postižených, která je zároveň zodpovědná za koordinaci aktivit a spolupráci </w:t>
            </w:r>
            <w:r w:rsidRPr="008B53A9">
              <w:rPr>
                <w:rFonts w:cs="Calibri"/>
                <w:lang w:val="cs-CZ" w:eastAsia="cs-CZ"/>
              </w:rPr>
              <w:lastRenderedPageBreak/>
              <w:t>s MPSV, komunikační úředník OP PIK.</w:t>
            </w:r>
          </w:p>
          <w:p w:rsidR="0089670B" w:rsidRPr="008B53A9" w:rsidRDefault="0089670B" w:rsidP="00142A82">
            <w:pPr>
              <w:pStyle w:val="Tabulka"/>
              <w:jc w:val="left"/>
              <w:rPr>
                <w:rFonts w:cs="Calibri"/>
                <w:lang w:val="cs-CZ" w:eastAsia="cs-CZ"/>
              </w:rPr>
            </w:pPr>
            <w:r w:rsidRPr="008B53A9">
              <w:rPr>
                <w:rFonts w:cs="Calibri"/>
                <w:lang w:val="cs-CZ" w:eastAsia="cs-CZ"/>
              </w:rPr>
              <w:t>Ve fázi implementace operačního programu bude zajištěna účast zástupce MPSV také v Monitorovacím výboru OP PIK.</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Opatření pro vzdělávání zaměstnanců orgánů zapojených do řízení a fondů ESI v oblasti práva a politik EU a členských států týkajících se zdravotně postižených osob, včetně přístupnosti a praktického uplatňování ustanovení UNCRPD provedených v právu Unie, případně členských </w:t>
            </w:r>
            <w:r w:rsidRPr="008B53A9">
              <w:rPr>
                <w:rFonts w:cs="Calibri"/>
                <w:lang w:val="cs-CZ" w:eastAsia="cs-CZ"/>
              </w:rPr>
              <w:lastRenderedPageBreak/>
              <w:t>států;</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53" w:history="1">
              <w:r w:rsidR="0089670B" w:rsidRPr="008B53A9">
                <w:rPr>
                  <w:rStyle w:val="Hypertextovodkaz"/>
                  <w:rFonts w:cs="Calibri"/>
                  <w:color w:val="auto"/>
                  <w:u w:val="none"/>
                  <w:lang w:val="cs-CZ" w:eastAsia="cs-CZ"/>
                </w:rPr>
                <w:t>http://www.vlada.cz/cz/ppov/vvzpo/dokumenty/zprava-o-plneni-opatreni-narodniho-planu-vytvareni-rovnych-prilezitosti-pro-osoby-se-zdravotnim-postizenim-na-obdobi-2010-2014-v-roce-2012-110987/</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 vzdělávání zaměstnanců orgánů podílejících se na řízení a kontrole ESI fondů je plněno již nyní. MMR-NOK zajišťuje na horizontální úrovni proškolení zaměstnanců implementujících fondy EU v rámci Systému vzdělávání, MPSV zajišťuje obsahovou náplň vzdělávání a lektorské zajištění. Zaměstnanci OP PIK jsou zapojeni do Systému vzdělávání, který na horizontální úrovni zastřešuje MMR-NOK, a účastní se průběžně a dle potřeby příslušných vzdělávacích akcí.</w:t>
            </w:r>
          </w:p>
          <w:p w:rsidR="0089670B" w:rsidRPr="008B53A9" w:rsidRDefault="0089670B" w:rsidP="00142A82">
            <w:pPr>
              <w:pStyle w:val="Tabulka"/>
              <w:jc w:val="left"/>
              <w:rPr>
                <w:rFonts w:cs="Calibri"/>
                <w:lang w:val="cs-CZ" w:eastAsia="cs-CZ"/>
              </w:rPr>
            </w:pPr>
            <w:r w:rsidRPr="008B53A9">
              <w:rPr>
                <w:rFonts w:cs="Calibri"/>
                <w:lang w:val="cs-CZ" w:eastAsia="cs-CZ"/>
              </w:rPr>
              <w:t xml:space="preserve">Specifické naplňování na národní úrovni je uvedeno v rámci Dohody o partnerství. </w:t>
            </w:r>
          </w:p>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za účelem sledování provádění článku 9 UNCRPD ve vztahu k fondům ESI v rámci přípravy a provádění programů.</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54" w:history="1">
              <w:r w:rsidR="0089670B" w:rsidRPr="008B53A9">
                <w:rPr>
                  <w:rStyle w:val="Hypertextovodkaz"/>
                  <w:rFonts w:cs="Calibri"/>
                  <w:color w:val="auto"/>
                  <w:u w:val="none"/>
                  <w:lang w:val="cs-CZ" w:eastAsia="cs-CZ"/>
                </w:rPr>
                <w:t>http://www.vlada.cz/cz/ppov/vvzpo/dokumenty/narodni-plan-vytvareni-rovnych-prilezitosti-pro-osoby-se-zdravotnim-postizenim-na-obdobi-2010---2014-70026/</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Výše uvedený Národní plán,  obsahuje opatření k vyrovnávání příležitostí pro osoby se zdravotním postižením. Plnění těchto opatření je každý rok hodnoceno.  Národní plán je koncipován dle jednotlivých článků CRPD a v kapitole č. 4 se přímo věnuje Přístupnosti staveb, dopravy a přístupu k informacím. Na další léta se bude vytvářet další národní plán pro období 2015-2020, ve kterém předpokládáme, že se přístupnost opět promítne do jedné z konkrétních kapitol.</w:t>
            </w:r>
          </w:p>
          <w:p w:rsidR="0089670B" w:rsidRPr="008B53A9" w:rsidRDefault="0089670B" w:rsidP="00142A82">
            <w:pPr>
              <w:pStyle w:val="Tabulka"/>
              <w:jc w:val="left"/>
              <w:rPr>
                <w:rFonts w:cs="Calibri"/>
                <w:lang w:val="cs-CZ" w:eastAsia="cs-CZ"/>
              </w:rPr>
            </w:pPr>
            <w:r w:rsidRPr="008B53A9">
              <w:rPr>
                <w:rFonts w:cs="Calibri"/>
                <w:lang w:val="cs-CZ" w:eastAsia="cs-CZ"/>
              </w:rPr>
              <w:t>Požadavky na přístupnost veřejných budov, dopravy a přístupu k informacím je upravena relevantními právními předpisy. Současná právní úprava tak již nyní poskytuje záruky toho, že finanční prostředky z ESI fondů nepovedou k podpoře projektů, jejichž výstupy by byly pro osoby se zdravotním postižením nepřístupné (v rozporu s čl. 9 CRPD).</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t xml:space="preserve">Existence opatření pro účinné uplatňování právních předpisů Unie o veřejných zakázkách v oblasti fondů </w:t>
            </w:r>
            <w:r w:rsidRPr="008B53A9">
              <w:rPr>
                <w:rFonts w:cs="Calibri"/>
                <w:b/>
                <w:lang w:val="cs-CZ" w:eastAsia="cs-CZ"/>
              </w:rPr>
              <w:lastRenderedPageBreak/>
              <w:t>ESI.</w:t>
            </w:r>
          </w:p>
          <w:p w:rsidR="0089670B" w:rsidRPr="008B53A9" w:rsidRDefault="0089670B" w:rsidP="00142A82">
            <w:pPr>
              <w:pStyle w:val="Tabulka"/>
              <w:jc w:val="left"/>
              <w:rPr>
                <w:rFonts w:cs="Calibri"/>
                <w:b/>
                <w:lang w:val="cs-CZ" w:eastAsia="cs-CZ"/>
              </w:rPr>
            </w:pP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Všechny prioritní osy OP PIK</w:t>
            </w: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p w:rsidR="0089670B" w:rsidRPr="008B53A9" w:rsidRDefault="0089670B" w:rsidP="00142A82">
            <w:pPr>
              <w:pStyle w:val="Tabulka"/>
              <w:jc w:val="left"/>
              <w:rPr>
                <w:rFonts w:cs="Calibri"/>
                <w:lang w:val="cs-CZ" w:eastAsia="cs-CZ"/>
              </w:rPr>
            </w:pPr>
            <w:r w:rsidRPr="008B53A9">
              <w:rPr>
                <w:rFonts w:cs="Calibri"/>
                <w:lang w:val="cs-CZ" w:eastAsia="cs-CZ"/>
              </w:rPr>
              <w:t>(plnění probíhá průběžně a bude probíhat celé programové období 2014 - 2020 )</w:t>
            </w: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pro účinné uplatňování předpisů Unie o veřejných zakázkách prostřednictvím odpovídajících mechanismů.</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55" w:history="1">
              <w:r w:rsidR="0089670B" w:rsidRPr="008B53A9">
                <w:rPr>
                  <w:rStyle w:val="Hypertextovodkaz"/>
                  <w:rFonts w:cs="Calibri"/>
                  <w:color w:val="auto"/>
                  <w:u w:val="none"/>
                  <w:lang w:val="cs-CZ" w:eastAsia="cs-CZ"/>
                </w:rPr>
                <w:t>http://www.portal-vz.cz/cs/Jak-na-zadavani-verejnych-zakazek/Legislativa-a-Judikatura/Legislativa/Narodni-legislativa-aktualni-a-uplne-zneni-z-(1)</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56" w:history="1">
              <w:r w:rsidR="0089670B" w:rsidRPr="008B53A9">
                <w:rPr>
                  <w:rStyle w:val="Hypertextovodkaz"/>
                  <w:rFonts w:cs="Calibri"/>
                  <w:color w:val="auto"/>
                  <w:u w:val="none"/>
                  <w:lang w:val="cs-CZ" w:eastAsia="cs-CZ"/>
                </w:rPr>
                <w:t>http://www.portal-vz.cz/cs/Jak-na-zadavani-verejnych-zakazek/Metodiky-stanoviska</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57" w:history="1">
              <w:r w:rsidR="0089670B" w:rsidRPr="008B53A9">
                <w:rPr>
                  <w:rStyle w:val="Hypertextovodkaz"/>
                  <w:rFonts w:cs="Calibri"/>
                  <w:color w:val="auto"/>
                  <w:u w:val="none"/>
                  <w:lang w:val="cs-CZ" w:eastAsia="cs-CZ"/>
                </w:rPr>
                <w:t>http://www.strukturalni-fondy.cz/cs/Fondy-EU/Narodni-organ-pro-koordinaci/Dokumenty</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 xml:space="preserve">V OP PIK bude zadávání veřejných zakázek upraveno platnými právními předpisy (zákon č. 137/2006 Sb., o veřejných zakázkách) pro zakázky, které spadají pod režim tohoto zákona, resp. závaznými pokyny pro zadávání veřejných zakázek pro zakázky, které nespadají pod režim zákona -  Metodickým pokynem pro oblast zadávání zakázek pro programové období 2014-2020 (UV ČR č. 44 ze dne 15.1.2014). </w:t>
            </w:r>
            <w:r w:rsidRPr="008B53A9">
              <w:rPr>
                <w:rFonts w:cs="Calibri"/>
                <w:lang w:val="cs-CZ" w:eastAsia="cs-CZ"/>
              </w:rPr>
              <w:lastRenderedPageBreak/>
              <w:t>Metodické pokyny zpracované na národní úrovni (MMR) budou rozpracovány do pokynů pro příjemce v OP PIK.  ŘO OP PIK počítá s prováděním 2-stupňové kontroly zadávání veřej. zakázek (1. stupeň na úrovni zprostředkujícího subjektu, 2. stupeň na úrovní Řídícího orgánu).</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jež zajišťují transparentní postupy zadávání veřejných zakázek.</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58" w:history="1">
              <w:r w:rsidR="0089670B" w:rsidRPr="008B53A9">
                <w:rPr>
                  <w:rStyle w:val="Hypertextovodkaz"/>
                  <w:rFonts w:cs="Calibri"/>
                  <w:color w:val="auto"/>
                  <w:u w:val="none"/>
                  <w:lang w:val="cs-CZ" w:eastAsia="cs-CZ"/>
                </w:rPr>
                <w:t>http://www.portal-vz.cz/cs/Jak-na-zadavani-verejnych-zakazek/Legislativa-a-Judikatura/Legislativa/Narodni-legislativa-aktualni-a-uplne-zneni-z-(1)</w:t>
              </w:r>
            </w:hyperlink>
          </w:p>
          <w:p w:rsidR="0089670B" w:rsidRPr="008B53A9" w:rsidRDefault="008B53A9" w:rsidP="00142A82">
            <w:pPr>
              <w:pStyle w:val="Tabulka"/>
              <w:jc w:val="left"/>
              <w:rPr>
                <w:rFonts w:cs="Calibri"/>
                <w:lang w:val="cs-CZ" w:eastAsia="cs-CZ"/>
              </w:rPr>
            </w:pPr>
            <w:hyperlink r:id="rId59" w:history="1">
              <w:r w:rsidR="0089670B" w:rsidRPr="008B53A9">
                <w:rPr>
                  <w:rStyle w:val="Hypertextovodkaz"/>
                  <w:rFonts w:cs="Calibri"/>
                  <w:color w:val="auto"/>
                  <w:u w:val="none"/>
                  <w:lang w:val="cs-CZ" w:eastAsia="cs-CZ"/>
                </w:rPr>
                <w:t>http://www.portal-vz.cz/cs/Jak-na-zadavani-verejnych-zakazek/Metodiky-stanoviska/Metodicke-pokyny</w:t>
              </w:r>
            </w:hyperlink>
          </w:p>
          <w:p w:rsidR="0089670B" w:rsidRPr="008B53A9" w:rsidRDefault="008B53A9" w:rsidP="00142A82">
            <w:pPr>
              <w:pStyle w:val="Tabulka"/>
              <w:jc w:val="left"/>
              <w:rPr>
                <w:rFonts w:cs="Calibri"/>
                <w:lang w:val="cs-CZ" w:eastAsia="cs-CZ"/>
              </w:rPr>
            </w:pPr>
            <w:hyperlink r:id="rId60" w:history="1">
              <w:r w:rsidR="0089670B" w:rsidRPr="008B53A9">
                <w:rPr>
                  <w:rStyle w:val="Hypertextovodkaz"/>
                  <w:rFonts w:cs="Calibri"/>
                  <w:color w:val="auto"/>
                  <w:u w:val="none"/>
                  <w:lang w:val="cs-CZ" w:eastAsia="cs-CZ"/>
                </w:rPr>
                <w:t>http://www.vestnikverejnychzakazek.cz/</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Postupy zadávání veřejných zakázek v OP PIK jsou upraveny platnou legislativou a schválenými metodickými dokumenty a rozpracovány v řídící dokumentaci OP PIK a pokynech pro žadatele/příjemce podpory z OP PIK.  </w:t>
            </w:r>
          </w:p>
          <w:p w:rsidR="0089670B" w:rsidRPr="008B53A9" w:rsidRDefault="0089670B" w:rsidP="00142A82">
            <w:pPr>
              <w:pStyle w:val="Tabulka"/>
              <w:jc w:val="left"/>
              <w:rPr>
                <w:rFonts w:cs="Calibri"/>
                <w:lang w:val="cs-CZ" w:eastAsia="cs-CZ"/>
              </w:rPr>
            </w:pPr>
            <w:r w:rsidRPr="008B53A9">
              <w:rPr>
                <w:rFonts w:cs="Calibri"/>
                <w:lang w:val="cs-CZ" w:eastAsia="cs-CZ"/>
              </w:rPr>
              <w:t xml:space="preserve">V OP PIK bude prováděna kontrola zadávacího řízení před vydáním rozhodnutí o poskytnutí dotace ve 2 fázích (před vyhlášením zakázky a po výběru nejvhodnější nabídky) . </w:t>
            </w:r>
          </w:p>
          <w:p w:rsidR="0089670B" w:rsidRPr="008B53A9" w:rsidRDefault="0089670B" w:rsidP="00142A82">
            <w:pPr>
              <w:pStyle w:val="Tabulka"/>
              <w:jc w:val="left"/>
              <w:rPr>
                <w:rFonts w:cs="Calibri"/>
                <w:lang w:val="cs-CZ" w:eastAsia="cs-CZ"/>
              </w:rPr>
            </w:pPr>
            <w:r w:rsidRPr="008B53A9">
              <w:rPr>
                <w:rFonts w:cs="Calibri"/>
                <w:lang w:val="cs-CZ" w:eastAsia="cs-CZ"/>
              </w:rPr>
              <w:t xml:space="preserve">V případě porušení zákona č. 137/2006 Sb. nebo metodického pokynu pro zadávání zakázek mimo režim zákona, budou uplatněny vůči příjemci sankce (sankce nebudou uplatněny, pokud porušení nenaplňuje znaky porušení legislativy ČR, EU a současně nemá finanční dopad). Příjemce bude mít možnost se odvolat k přezkumné komisi. ŘO bude pořádat školení pro pracovníky implementační struktury </w:t>
            </w:r>
            <w:r w:rsidRPr="008B53A9">
              <w:rPr>
                <w:rFonts w:cs="Calibri"/>
                <w:lang w:val="cs-CZ" w:eastAsia="cs-CZ"/>
              </w:rPr>
              <w:lastRenderedPageBreak/>
              <w:t>i žadatele vč. doporučení jak předcházet chybám.</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p w:rsidR="0089670B" w:rsidRPr="008B53A9" w:rsidRDefault="0089670B" w:rsidP="00142A82">
            <w:pPr>
              <w:pStyle w:val="Tabulka"/>
              <w:jc w:val="left"/>
              <w:rPr>
                <w:rFonts w:cs="Calibri"/>
                <w:lang w:val="cs-CZ" w:eastAsia="cs-CZ"/>
              </w:rPr>
            </w:pPr>
            <w:r w:rsidRPr="008B53A9">
              <w:rPr>
                <w:rFonts w:cs="Calibri"/>
                <w:lang w:val="cs-CZ" w:eastAsia="cs-CZ"/>
              </w:rPr>
              <w:t>Viz Příloha č. II.</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pro odbornou přípravu a šíření informací pro zaměstnance podílející se na provádění fondů ESI.</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61" w:history="1">
              <w:r w:rsidR="0089670B" w:rsidRPr="008B53A9">
                <w:rPr>
                  <w:rStyle w:val="Hypertextovodkaz"/>
                  <w:rFonts w:cs="Calibri"/>
                  <w:color w:val="auto"/>
                  <w:u w:val="none"/>
                  <w:lang w:val="cs-CZ" w:eastAsia="cs-CZ"/>
                </w:rPr>
                <w:t>http://www.portal-vz.cz/cs/Spoluprace-a-vymena-informaci/Info-forum/Otazky-a-odpovedi</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MMR-NOK zajišťuje na horizontální úrovni proškolení zaměstnanců implementujících fondy EU v rámci Systému vzdělávání, MMR (OPVZK) zajišťuje obsahovou náplň vzdělávání a lektorské zajištění.</w:t>
            </w:r>
          </w:p>
          <w:p w:rsidR="0089670B" w:rsidRPr="008B53A9" w:rsidRDefault="0089670B" w:rsidP="00142A82">
            <w:pPr>
              <w:pStyle w:val="Tabulka"/>
              <w:jc w:val="left"/>
              <w:rPr>
                <w:rFonts w:cs="Calibri"/>
                <w:lang w:val="cs-CZ" w:eastAsia="cs-CZ"/>
              </w:rPr>
            </w:pPr>
            <w:r w:rsidRPr="008B53A9">
              <w:rPr>
                <w:rFonts w:cs="Calibri"/>
                <w:lang w:val="cs-CZ" w:eastAsia="cs-CZ"/>
              </w:rPr>
              <w:t>MPO jako Řídící orgán OP PIK průběžně proškoluje zaměstnance v závislosti na aktuální potřebě. Důraz je kladen především na proškolení zaměstnanců v oblasti nových právních předpisů a jejich aplikace do praxe. Zaměstnanci OP PIK jsou zapojeni do Systému vzdělávání.</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Opatření k posílení správní kapacity pro provádění a uplatňování předpisů Unie o veřejných zakázkách </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 současné době je opatření ze strany ŘO naplňováno, bude kromě jiného záviset na vývoji a počtu vyhlašovaných výzev. Termín doplnění správních kapacit bude u jednotlivých programů rozdílný. Předpokládá se průběžné plnění počínaje od 1. pololetí 2014, rovněž v závislosti na nabídce trhu práce. Opatření budou řešena na Pracovní skupině Veřejné zakázky. Při stanovování konkrétních opatření jednotlivých ŘO bude přihlédnuto ke specifikům jednotlivých programů, která mají dopad na počet a složitost veřejných zakázek.</w:t>
            </w:r>
          </w:p>
          <w:p w:rsidR="00E662FC" w:rsidRPr="008B53A9" w:rsidRDefault="0089670B" w:rsidP="00E662FC">
            <w:pPr>
              <w:pStyle w:val="Tabulka"/>
              <w:jc w:val="left"/>
              <w:rPr>
                <w:rFonts w:cs="Calibri"/>
                <w:lang w:val="cs-CZ" w:eastAsia="cs-CZ"/>
              </w:rPr>
            </w:pPr>
            <w:r w:rsidRPr="008B53A9">
              <w:rPr>
                <w:rFonts w:cs="Calibri"/>
                <w:lang w:val="cs-CZ" w:eastAsia="cs-CZ"/>
              </w:rPr>
              <w:lastRenderedPageBreak/>
              <w:t>V rámci OP PIK je správní kapacita zajištěna, průběžné doplnění administrativní kapacity bude řešeno dle potřeb. V souvislosti se vzrůstající náročností agendy týkající se zadávání veřejných zakázek byl na MPO zřízen referát kontroly výběrových řízení. V případě potřeby bude v budoucnosti posílen o další zaměstnance.</w:t>
            </w:r>
          </w:p>
          <w:p w:rsidR="0089670B" w:rsidRPr="008B53A9" w:rsidRDefault="0089670B" w:rsidP="00E662FC">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lastRenderedPageBreak/>
              <w:t>Existence opatření pro účinné uplatňování právních předpisů Unie o veřejné podpoře v oblasti fondů ESI</w:t>
            </w: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PO1 -  Rozvoj výzkumu a vývoje pro inovace</w:t>
            </w:r>
          </w:p>
          <w:p w:rsidR="0089670B" w:rsidRPr="008B53A9" w:rsidRDefault="0089670B" w:rsidP="00142A82">
            <w:pPr>
              <w:pStyle w:val="Tabulka"/>
              <w:jc w:val="left"/>
              <w:rPr>
                <w:rFonts w:cs="Calibri"/>
                <w:lang w:val="cs-CZ" w:eastAsia="cs-CZ"/>
              </w:rPr>
            </w:pPr>
            <w:r w:rsidRPr="008B53A9">
              <w:rPr>
                <w:rFonts w:cs="Calibri"/>
                <w:lang w:val="cs-CZ" w:eastAsia="cs-CZ"/>
              </w:rPr>
              <w:t>PO2 - Rozvoj podnikání a konkurenceschopnosti malých a středních podniků</w:t>
            </w:r>
          </w:p>
          <w:p w:rsidR="0089670B" w:rsidRPr="008B53A9" w:rsidRDefault="0089670B" w:rsidP="00142A82">
            <w:pPr>
              <w:pStyle w:val="Tabulka"/>
              <w:jc w:val="left"/>
              <w:rPr>
                <w:rFonts w:cs="Calibri"/>
                <w:lang w:val="cs-CZ" w:eastAsia="cs-CZ"/>
              </w:rPr>
            </w:pPr>
            <w:r w:rsidRPr="008B53A9">
              <w:rPr>
                <w:rFonts w:cs="Calibri"/>
                <w:lang w:val="cs-CZ" w:eastAsia="cs-CZ"/>
              </w:rPr>
              <w:t xml:space="preserve">PO3 - Účinné nakládání energií, rozvoj energetické infrastruktury a obnovitelných zdrojů energie, podpora zavádění nových technologií v oblasti nakládání energií a </w:t>
            </w:r>
            <w:r w:rsidRPr="008B53A9">
              <w:rPr>
                <w:rFonts w:cs="Calibri"/>
                <w:lang w:val="cs-CZ" w:eastAsia="cs-CZ"/>
              </w:rPr>
              <w:lastRenderedPageBreak/>
              <w:t>druhotných surovin</w:t>
            </w:r>
          </w:p>
          <w:p w:rsidR="0089670B" w:rsidRPr="008B53A9" w:rsidRDefault="0089670B" w:rsidP="00142A82">
            <w:pPr>
              <w:pStyle w:val="Tabulka"/>
              <w:jc w:val="left"/>
              <w:rPr>
                <w:rFonts w:cs="Calibri"/>
                <w:lang w:val="cs-CZ" w:eastAsia="cs-CZ"/>
              </w:rPr>
            </w:pPr>
            <w:r w:rsidRPr="008B53A9">
              <w:rPr>
                <w:rFonts w:cs="Calibri"/>
                <w:lang w:val="cs-CZ" w:eastAsia="cs-CZ"/>
              </w:rPr>
              <w:t>PO4 - Rozvoj vysokorychlostních přístupových sítí k internetu a informačních a komunikačních technologií</w:t>
            </w:r>
          </w:p>
          <w:p w:rsidR="0089670B" w:rsidRPr="008B53A9" w:rsidRDefault="0089670B" w:rsidP="00142A82">
            <w:pPr>
              <w:pStyle w:val="Tabulka"/>
              <w:jc w:val="left"/>
              <w:rPr>
                <w:rFonts w:cs="Calibri"/>
                <w:lang w:val="cs-CZ" w:eastAsia="cs-CZ"/>
              </w:rPr>
            </w:pP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Částečně – plnění probíhá průběžně v závislosti na schvalování předpisů EK</w:t>
            </w: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pro účinné uplatňování pravidel Unie o státních podporách</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Zákon č. 215/2004 Sb., </w:t>
            </w:r>
            <w:hyperlink r:id="rId62" w:history="1">
              <w:r w:rsidRPr="008B53A9">
                <w:rPr>
                  <w:rStyle w:val="Hypertextovodkaz"/>
                  <w:rFonts w:cs="Calibri"/>
                  <w:color w:val="auto"/>
                  <w:u w:val="none"/>
                  <w:lang w:val="cs-CZ" w:eastAsia="cs-CZ"/>
                </w:rPr>
                <w:t>http://www.uohs.cz/cs/legislativa/verejna-podpora.html</w:t>
              </w:r>
            </w:hyperlink>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 xml:space="preserve">Metodika finančních toků a kontroly </w:t>
            </w:r>
            <w:hyperlink r:id="rId63" w:history="1">
              <w:r w:rsidRPr="008B53A9">
                <w:rPr>
                  <w:rStyle w:val="Hypertextovodkaz"/>
                  <w:rFonts w:cs="Calibri"/>
                  <w:color w:val="auto"/>
                  <w:u w:val="none"/>
                  <w:lang w:val="cs-CZ" w:eastAsia="cs-CZ"/>
                </w:rPr>
                <w:t>http://www.mfcr.cz/cs/legislativa/metodiky/2014/metodika-financnich-toku-a-kontroly-prog-17121</w:t>
              </w:r>
            </w:hyperlink>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 xml:space="preserve">Manuál služeb obecného hospodářského zájmu </w:t>
            </w:r>
            <w:hyperlink r:id="rId64" w:history="1">
              <w:r w:rsidRPr="008B53A9">
                <w:rPr>
                  <w:rStyle w:val="Hypertextovodkaz"/>
                  <w:rFonts w:cs="Calibri"/>
                  <w:color w:val="auto"/>
                  <w:u w:val="none"/>
                  <w:lang w:val="cs-CZ" w:eastAsia="cs-CZ"/>
                </w:rPr>
                <w:t>http://www.uohs.cz/cs/verejna-podpora/manualy-metodiky-a-dalsi-</w:t>
              </w:r>
              <w:r w:rsidRPr="008B53A9">
                <w:rPr>
                  <w:rStyle w:val="Hypertextovodkaz"/>
                  <w:rFonts w:cs="Calibri"/>
                  <w:color w:val="auto"/>
                  <w:u w:val="none"/>
                  <w:lang w:val="cs-CZ" w:eastAsia="cs-CZ"/>
                </w:rPr>
                <w:lastRenderedPageBreak/>
                <w:t>dokumenty.html</w:t>
              </w:r>
            </w:hyperlink>
            <w:r w:rsidRPr="008B53A9">
              <w:rPr>
                <w:rFonts w:cs="Calibri"/>
                <w:lang w:val="cs-CZ" w:eastAsia="cs-CZ"/>
              </w:rPr>
              <w:t>)</w:t>
            </w:r>
          </w:p>
          <w:p w:rsidR="0089670B" w:rsidRPr="008B53A9" w:rsidRDefault="0089670B" w:rsidP="00142A82">
            <w:pPr>
              <w:pStyle w:val="Tabulka"/>
              <w:jc w:val="left"/>
              <w:rPr>
                <w:rFonts w:cs="Calibri"/>
                <w:lang w:val="cs-CZ" w:eastAsia="cs-CZ"/>
              </w:rPr>
            </w:pPr>
            <w:r w:rsidRPr="008B53A9">
              <w:rPr>
                <w:rFonts w:cs="Calibri"/>
                <w:lang w:val="cs-CZ" w:eastAsia="cs-CZ"/>
              </w:rPr>
              <w:t>Centrální registr podpor malého rozsahu</w:t>
            </w:r>
          </w:p>
          <w:p w:rsidR="0089670B" w:rsidRPr="008B53A9" w:rsidRDefault="008B53A9" w:rsidP="00142A82">
            <w:pPr>
              <w:pStyle w:val="Tabulka"/>
              <w:jc w:val="left"/>
              <w:rPr>
                <w:rFonts w:cs="Calibri"/>
                <w:lang w:val="cs-CZ" w:eastAsia="cs-CZ"/>
              </w:rPr>
            </w:pPr>
            <w:hyperlink r:id="rId65" w:history="1">
              <w:r w:rsidR="0089670B" w:rsidRPr="008B53A9">
                <w:rPr>
                  <w:rStyle w:val="Hypertextovodkaz"/>
                  <w:rFonts w:cs="Calibri"/>
                  <w:color w:val="auto"/>
                  <w:u w:val="none"/>
                  <w:lang w:val="cs-CZ" w:eastAsia="cs-CZ"/>
                </w:rPr>
                <w:t>http://eagri.cz/public/web/mze/farmar/registr-podpor-de-minimis/</w:t>
              </w:r>
            </w:hyperlink>
          </w:p>
          <w:p w:rsidR="00F304D1" w:rsidRPr="008B53A9" w:rsidRDefault="00F304D1" w:rsidP="00142A82">
            <w:pPr>
              <w:pStyle w:val="Tabulka"/>
              <w:jc w:val="left"/>
              <w:rPr>
                <w:rFonts w:cs="Calibri"/>
                <w:lang w:val="cs-CZ" w:eastAsia="cs-CZ"/>
              </w:rPr>
            </w:pPr>
            <w:r w:rsidRPr="008B53A9">
              <w:rPr>
                <w:rFonts w:cs="Calibri"/>
                <w:lang w:val="cs-CZ" w:eastAsia="cs-CZ"/>
              </w:rPr>
              <w:t>Viz Příloha II.</w:t>
            </w: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Oblast veřejné podpory se řídí právem EU, zákonem č. 215/2004 Sb. MMR a ÚOHS vydávají příslušné metodické dokumenty.</w:t>
            </w:r>
            <w:r w:rsidRPr="008B53A9" w:rsidDel="007913FB">
              <w:rPr>
                <w:rFonts w:cs="Calibri"/>
                <w:lang w:val="cs-CZ" w:eastAsia="cs-CZ"/>
              </w:rPr>
              <w:t xml:space="preserve"> </w:t>
            </w:r>
            <w:r w:rsidRPr="008B53A9">
              <w:rPr>
                <w:rFonts w:cs="Calibri"/>
                <w:lang w:val="cs-CZ" w:eastAsia="cs-CZ"/>
              </w:rPr>
              <w:t>V návaznosti na ně a další uvedené předpisy v této tabulce vydává ŘO OPPIK interní metodický manuál, ve kterém upravuje postupy pro veřejnou podporu a zapracovává pravidla veřejné podpory do dokumentace výzev včetně pravidel pro podpory malého rozsahu.</w:t>
            </w:r>
          </w:p>
          <w:p w:rsidR="0089670B" w:rsidRPr="008B53A9" w:rsidRDefault="0089670B" w:rsidP="00142A82">
            <w:pPr>
              <w:pStyle w:val="Tabulka"/>
              <w:jc w:val="left"/>
              <w:rPr>
                <w:rFonts w:cs="Calibri"/>
                <w:lang w:val="cs-CZ" w:eastAsia="cs-CZ"/>
              </w:rPr>
            </w:pPr>
            <w:r w:rsidRPr="008B53A9">
              <w:rPr>
                <w:rFonts w:cs="Calibri"/>
                <w:lang w:val="cs-CZ" w:eastAsia="cs-CZ"/>
              </w:rPr>
              <w:t>Dle § 3a odst. 4 zákona č. 215/2004 Sb., má poskytovatel podpory malého rozsahu povinnost uvést v právním úkonu poskytnutí podpory de minimis název přímo použitelného předpisu Evropské unie, podle kterého byla podpora malého rozsahu poskytnuta.</w:t>
            </w:r>
          </w:p>
          <w:p w:rsidR="0089670B" w:rsidRPr="008B53A9" w:rsidRDefault="0089670B" w:rsidP="00142A82">
            <w:pPr>
              <w:pStyle w:val="Tabulka"/>
              <w:jc w:val="left"/>
              <w:rPr>
                <w:rFonts w:cs="Calibri"/>
                <w:lang w:val="cs-CZ" w:eastAsia="cs-CZ"/>
              </w:rPr>
            </w:pPr>
            <w:r w:rsidRPr="008B53A9">
              <w:rPr>
                <w:rFonts w:cs="Calibri"/>
                <w:lang w:val="cs-CZ" w:eastAsia="cs-CZ"/>
              </w:rPr>
              <w:t>Navracení podpory, dodržování Deggendorf a kontrolní postupy: upraveno v interním metodickém manuálu. Kumulace VP: upraveno v dokumentaci k výzvám.</w:t>
            </w:r>
          </w:p>
          <w:p w:rsidR="0089670B" w:rsidRPr="008B53A9" w:rsidRDefault="0089670B" w:rsidP="00142A82">
            <w:pPr>
              <w:pStyle w:val="Tabulka"/>
              <w:jc w:val="left"/>
              <w:rPr>
                <w:rFonts w:cs="Calibri"/>
                <w:lang w:val="cs-CZ" w:eastAsia="cs-CZ"/>
              </w:rPr>
            </w:pPr>
            <w:r w:rsidRPr="008B53A9">
              <w:rPr>
                <w:rFonts w:cs="Calibri"/>
                <w:lang w:val="cs-CZ" w:eastAsia="cs-CZ"/>
              </w:rPr>
              <w:t>Podrobnosti viz Příloha II.</w:t>
            </w:r>
          </w:p>
          <w:p w:rsidR="0089670B" w:rsidRPr="008B53A9" w:rsidRDefault="0089670B" w:rsidP="00142A82">
            <w:pPr>
              <w:pStyle w:val="Tabulka"/>
              <w:jc w:val="left"/>
              <w:rPr>
                <w:rFonts w:cs="Calibri"/>
                <w:lang w:val="cs-CZ" w:eastAsia="cs-CZ"/>
              </w:rPr>
            </w:pPr>
            <w:r w:rsidRPr="008B53A9">
              <w:rPr>
                <w:rFonts w:cs="Calibri"/>
                <w:lang w:val="cs-CZ" w:eastAsia="cs-CZ"/>
              </w:rPr>
              <w:t xml:space="preserve">Specifické naplňování na národní úrovni je </w:t>
            </w:r>
            <w:r w:rsidRPr="008B53A9">
              <w:rPr>
                <w:rFonts w:cs="Calibri"/>
                <w:lang w:val="cs-CZ" w:eastAsia="cs-CZ"/>
              </w:rPr>
              <w:lastRenderedPageBreak/>
              <w:t>uvedeno v rámci Dohody o partnerství.</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pro odbornou přípravu a šíření informací pro zaměstnance podílející se na provádění fondů ESI</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B53A9" w:rsidP="00142A82">
            <w:pPr>
              <w:pStyle w:val="Tabulka"/>
              <w:jc w:val="left"/>
              <w:rPr>
                <w:rStyle w:val="Hypertextovodkaz"/>
                <w:rFonts w:cs="Calibri"/>
                <w:color w:val="auto"/>
                <w:u w:val="none"/>
                <w:lang w:val="cs-CZ" w:eastAsia="cs-CZ"/>
              </w:rPr>
            </w:pPr>
            <w:hyperlink r:id="rId66" w:history="1">
              <w:r w:rsidR="0089670B" w:rsidRPr="008B53A9">
                <w:rPr>
                  <w:rStyle w:val="Hypertextovodkaz"/>
                  <w:rFonts w:cs="Calibri"/>
                  <w:color w:val="auto"/>
                  <w:u w:val="none"/>
                  <w:lang w:val="cs-CZ" w:eastAsia="cs-CZ"/>
                </w:rPr>
                <w:t>www.uohs.cz/cs/verejna-podpora/akuality-z-verejne-podpory.html</w:t>
              </w:r>
            </w:hyperlink>
          </w:p>
          <w:p w:rsidR="0089670B" w:rsidRPr="008B53A9" w:rsidRDefault="008B53A9" w:rsidP="00142A82">
            <w:pPr>
              <w:pStyle w:val="Tabulka"/>
              <w:jc w:val="left"/>
              <w:rPr>
                <w:rFonts w:cs="Calibri"/>
                <w:lang w:val="cs-CZ" w:eastAsia="cs-CZ"/>
              </w:rPr>
            </w:pPr>
            <w:hyperlink r:id="rId67" w:history="1">
              <w:r w:rsidR="0089670B" w:rsidRPr="008B53A9">
                <w:rPr>
                  <w:rStyle w:val="Hypertextovodkaz"/>
                  <w:rFonts w:cs="Calibri"/>
                  <w:color w:val="auto"/>
                  <w:u w:val="none"/>
                  <w:lang w:val="cs-CZ" w:eastAsia="cs-CZ"/>
                </w:rPr>
                <w:t>http://www.vzdelavaninsrr.cz/</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68" w:history="1">
              <w:r w:rsidR="0089670B" w:rsidRPr="008B53A9">
                <w:rPr>
                  <w:rStyle w:val="Hypertextovodkaz"/>
                  <w:rFonts w:cs="Calibri"/>
                  <w:color w:val="auto"/>
                  <w:u w:val="none"/>
                  <w:lang w:val="cs-CZ" w:eastAsia="cs-CZ"/>
                </w:rPr>
                <w:t>www.strukturalni-fondy.cz</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ÚOHS školí průběžně poskytovatele VP. MMR-NOK zajišťuje na horizontální úrovni proškolení zaměstnanců implementujících fondy EU v rámci Systému vzdělávání. </w:t>
            </w:r>
          </w:p>
          <w:p w:rsidR="0089670B" w:rsidRPr="008B53A9" w:rsidRDefault="0089670B" w:rsidP="00142A82">
            <w:pPr>
              <w:pStyle w:val="Tabulka"/>
              <w:jc w:val="left"/>
              <w:rPr>
                <w:rFonts w:cs="Calibri"/>
                <w:lang w:val="cs-CZ" w:eastAsia="cs-CZ"/>
              </w:rPr>
            </w:pPr>
            <w:r w:rsidRPr="008B53A9">
              <w:rPr>
                <w:rFonts w:cs="Calibri"/>
                <w:lang w:val="cs-CZ" w:eastAsia="cs-CZ"/>
              </w:rPr>
              <w:t>Zaměstnanci odpovědní za oblast veřejné podpory  v OP PIK jsou zapojeni do Systému vzdělávání a  již nyní se účastní různých školení k tomuto tématu, vč. zahraničních (např. organizovaných ÚOHS, EIPA, NOK MMR). Probíhá aktivní konzultace s ÚOHS a zároveň je zajištěna účast na pracovní skupině MMR k veřejné podpoře za účasti ÚOHS a dále na PS TAČR k vědě a výzkumu. Tyto skupiny slouží ke sdílení a šíření informací navenek mezi zainteresovanými subjekty. V rámci přípravy OP PIK se problematika veřejné podpory již nyní diskutuje na příslušných pracovních skupinách, které tvoří obsah OP. Tyto skupiny slouží k šíření a sdílení informací o veřejné podpoře uvnitř ŘO OP PIK.</w:t>
            </w:r>
          </w:p>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k zajištění správní kapacity pro provádění a uplatňování právních předpisů Unie o státních podporách</w:t>
            </w:r>
          </w:p>
        </w:tc>
        <w:tc>
          <w:tcPr>
            <w:tcW w:w="1134" w:type="dxa"/>
            <w:shd w:val="clear" w:color="auto" w:fill="auto"/>
          </w:tcPr>
          <w:p w:rsidR="0089670B" w:rsidRPr="008B53A9" w:rsidRDefault="003767D9"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Specifické naplňování na národní úrovni je uvedeno v rámci Dohody o partnerství.</w:t>
            </w:r>
          </w:p>
          <w:p w:rsidR="0089670B" w:rsidRPr="008B53A9" w:rsidRDefault="0089670B" w:rsidP="00142A82">
            <w:pPr>
              <w:pStyle w:val="Tabulka"/>
              <w:jc w:val="left"/>
              <w:rPr>
                <w:rFonts w:cs="Calibri"/>
                <w:lang w:val="cs-CZ" w:eastAsia="cs-CZ"/>
              </w:rPr>
            </w:pPr>
            <w:r w:rsidRPr="008B53A9">
              <w:rPr>
                <w:rFonts w:cs="Calibri"/>
                <w:lang w:val="cs-CZ" w:eastAsia="cs-CZ"/>
              </w:rPr>
              <w:t xml:space="preserve">Na MPO je v rámci ŘO OP PIK  v současné době správní kapacita zajištěna. Agenda veřejné podpory je v gesci oddělení operačního programu, veřejné podpory a evaluace. Oblast veřejné podpory je zajišťována stabilním týmem kvalifikovaných zaměstnanců. Pracovníci tohoto oddělení metodicky řídí pracovníky zprostředkujícího subjektu, kteří jsou pověření agendou veřejné podpory a poskytují v případě potřeby ad hoc konzultace k problematice veřejné podpory pracovníkům implementační struktury. Stejný mechanismus bude aplikován i v případě OP PIK. V současné době je správní kapacita zajištěna, agendu zajišťují 2 pracovníci řídícího orgánu a 1 pracovník na agentuře CzechInvest. </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t xml:space="preserve">Existence opatření pro účinné uplatňování právních předpisů Unie pro oblast životního </w:t>
            </w:r>
            <w:r w:rsidRPr="008B53A9">
              <w:rPr>
                <w:rFonts w:cs="Calibri"/>
                <w:b/>
                <w:lang w:val="cs-CZ" w:eastAsia="cs-CZ"/>
              </w:rPr>
              <w:lastRenderedPageBreak/>
              <w:t xml:space="preserve">prostředí týkajících se EIA a SEA. </w:t>
            </w: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 xml:space="preserve">PO3 - Účinné nakládání energií, rozvoj energetické infrastruktury a obnovitelných zdrojů energie, podpora zavádění </w:t>
            </w:r>
            <w:r w:rsidRPr="008B53A9">
              <w:rPr>
                <w:rFonts w:cs="Calibri"/>
                <w:lang w:val="cs-CZ" w:eastAsia="cs-CZ"/>
              </w:rPr>
              <w:lastRenderedPageBreak/>
              <w:t>nových technologií v oblasti nakládání energií a druhotných surovin</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 xml:space="preserve">a  částečně: </w:t>
            </w:r>
          </w:p>
          <w:p w:rsidR="0089670B" w:rsidRPr="008B53A9" w:rsidRDefault="0089670B" w:rsidP="00142A82">
            <w:pPr>
              <w:pStyle w:val="Tabulka"/>
              <w:jc w:val="left"/>
              <w:rPr>
                <w:rFonts w:cs="Calibri"/>
                <w:lang w:val="cs-CZ" w:eastAsia="cs-CZ"/>
              </w:rPr>
            </w:pPr>
            <w:r w:rsidRPr="008B53A9">
              <w:rPr>
                <w:rFonts w:cs="Calibri"/>
                <w:lang w:val="cs-CZ" w:eastAsia="cs-CZ"/>
              </w:rPr>
              <w:t>PO1 -  Rozvoj výzkumu a vývoje pro inovace</w:t>
            </w:r>
          </w:p>
          <w:p w:rsidR="0089670B" w:rsidRPr="008B53A9" w:rsidRDefault="0089670B" w:rsidP="00142A82">
            <w:pPr>
              <w:pStyle w:val="Tabulka"/>
              <w:jc w:val="left"/>
              <w:rPr>
                <w:rFonts w:cs="Calibri"/>
                <w:lang w:val="cs-CZ" w:eastAsia="cs-CZ"/>
              </w:rPr>
            </w:pPr>
            <w:r w:rsidRPr="008B53A9">
              <w:rPr>
                <w:rFonts w:cs="Calibri"/>
                <w:lang w:val="cs-CZ" w:eastAsia="cs-CZ"/>
              </w:rPr>
              <w:t>PO2 - Rozvoj podnikání a konkurenceschopnosti malých a středních podniků</w:t>
            </w:r>
          </w:p>
          <w:p w:rsidR="0089670B" w:rsidRPr="008B53A9" w:rsidRDefault="0089670B" w:rsidP="00142A82">
            <w:pPr>
              <w:pStyle w:val="Tabulka"/>
              <w:jc w:val="left"/>
              <w:rPr>
                <w:rFonts w:cs="Calibri"/>
                <w:lang w:val="cs-CZ" w:eastAsia="cs-CZ"/>
              </w:rPr>
            </w:pPr>
            <w:r w:rsidRPr="008B53A9">
              <w:rPr>
                <w:rFonts w:cs="Calibri"/>
                <w:lang w:val="cs-CZ" w:eastAsia="cs-CZ"/>
              </w:rPr>
              <w:t>PO4 - Rozvoj vysokorychlostních přístupových sítí k internetu a informačních a komunikačních technologií</w:t>
            </w: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Částečně</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Opatření pro účinné uplatňování směrnice Evropského parlamentu a Rady 2011/92/EU</w:t>
            </w:r>
            <w:r w:rsidRPr="008B53A9">
              <w:rPr>
                <w:rStyle w:val="Znakapoznpodarou"/>
                <w:rFonts w:cs="Calibri"/>
                <w:lang w:val="cs-CZ" w:eastAsia="cs-CZ"/>
              </w:rPr>
              <w:footnoteReference w:id="100"/>
            </w:r>
            <w:r w:rsidRPr="008B53A9">
              <w:rPr>
                <w:rFonts w:cs="Calibri"/>
                <w:lang w:val="cs-CZ" w:eastAsia="cs-CZ"/>
              </w:rPr>
              <w:t xml:space="preserve"> (EIA) a směrnice Evropského </w:t>
            </w:r>
            <w:r w:rsidRPr="008B53A9">
              <w:rPr>
                <w:rFonts w:cs="Calibri"/>
                <w:lang w:val="cs-CZ" w:eastAsia="cs-CZ"/>
              </w:rPr>
              <w:lastRenderedPageBreak/>
              <w:t>parlamentu a Rady 2001/42/ES</w:t>
            </w:r>
            <w:r w:rsidRPr="008B53A9">
              <w:rPr>
                <w:rStyle w:val="Znakapoznpodarou"/>
                <w:rFonts w:cs="Calibri"/>
                <w:lang w:val="cs-CZ" w:eastAsia="cs-CZ"/>
              </w:rPr>
              <w:footnoteReference w:id="101"/>
            </w:r>
            <w:r w:rsidRPr="008B53A9">
              <w:rPr>
                <w:rFonts w:cs="Calibri"/>
                <w:lang w:val="cs-CZ" w:eastAsia="cs-CZ"/>
              </w:rPr>
              <w:t xml:space="preserve"> (SEA),</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iCs/>
                <w:lang w:val="cs-CZ" w:eastAsia="cs-CZ"/>
              </w:rPr>
              <w:lastRenderedPageBreak/>
              <w:t xml:space="preserve"> částečně</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Příslušná ustanovení zákona č. 100/2001 Sb., o posuzování vlivů na životní prostředí, týkající se posuzování vlivů koncepcí na životní prostředí.</w:t>
            </w:r>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69" w:history="1">
              <w:r w:rsidR="0089670B" w:rsidRPr="008B53A9">
                <w:rPr>
                  <w:rStyle w:val="Hypertextovodkaz"/>
                  <w:rFonts w:cs="Calibri"/>
                  <w:color w:val="auto"/>
                  <w:u w:val="none"/>
                  <w:lang w:val="cs-CZ" w:eastAsia="cs-CZ"/>
                </w:rPr>
                <w:t>http://portal.cenia.cz/eiasea/static/sea_legislativa</w:t>
              </w:r>
            </w:hyperlink>
          </w:p>
          <w:p w:rsidR="0089670B" w:rsidRPr="008B53A9" w:rsidRDefault="0089670B" w:rsidP="00142A82">
            <w:pPr>
              <w:pStyle w:val="Tabulka"/>
              <w:jc w:val="left"/>
              <w:rPr>
                <w:rFonts w:cs="Calibri"/>
                <w:lang w:val="cs-CZ" w:eastAsia="cs-CZ"/>
              </w:rPr>
            </w:pPr>
            <w:r w:rsidRPr="008B53A9">
              <w:rPr>
                <w:rFonts w:cs="Calibri"/>
                <w:lang w:val="cs-CZ" w:eastAsia="cs-CZ"/>
              </w:rPr>
              <w:t>§ 19 zákona č. 100/2001 Sb., o posuzování vlivů na životní prostředí:</w:t>
            </w:r>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70" w:history="1">
              <w:r w:rsidR="0089670B" w:rsidRPr="008B53A9">
                <w:rPr>
                  <w:rStyle w:val="Hypertextovodkaz"/>
                  <w:rFonts w:eastAsia="SimSun" w:cs="Calibri"/>
                  <w:color w:val="auto"/>
                  <w:u w:val="none"/>
                  <w:lang w:val="cs-CZ" w:eastAsia="cs-CZ"/>
                </w:rPr>
                <w:t>http://portal.cenia.cz/eiasea/static/eia_legislativa</w:t>
              </w:r>
            </w:hyperlink>
          </w:p>
        </w:tc>
        <w:tc>
          <w:tcPr>
            <w:tcW w:w="4394" w:type="dxa"/>
            <w:shd w:val="clear" w:color="auto" w:fill="auto"/>
          </w:tcPr>
          <w:p w:rsidR="00E0001D" w:rsidRPr="008B53A9" w:rsidRDefault="00E0001D" w:rsidP="00632C00">
            <w:pPr>
              <w:pStyle w:val="Tabulka"/>
              <w:spacing w:before="100" w:beforeAutospacing="1" w:after="0"/>
              <w:jc w:val="left"/>
              <w:rPr>
                <w:rFonts w:cs="Calibri"/>
                <w:lang w:val="cs-CZ" w:eastAsia="cs-CZ"/>
              </w:rPr>
            </w:pPr>
            <w:r w:rsidRPr="008B53A9">
              <w:rPr>
                <w:rFonts w:cs="Calibri"/>
                <w:lang w:val="cs-CZ" w:eastAsia="cs-CZ"/>
              </w:rPr>
              <w:lastRenderedPageBreak/>
              <w:t xml:space="preserve">Všechny požadavky směrnice SEA jsou v českém právním řádu plněny. </w:t>
            </w:r>
          </w:p>
          <w:p w:rsidR="00E0001D" w:rsidRPr="008B53A9" w:rsidRDefault="00E0001D" w:rsidP="00632C00">
            <w:pPr>
              <w:spacing w:before="100" w:beforeAutospacing="1"/>
              <w:jc w:val="both"/>
              <w:rPr>
                <w:rFonts w:cs="Cambria"/>
                <w:color w:val="000000"/>
              </w:rPr>
            </w:pPr>
            <w:r w:rsidRPr="008B53A9">
              <w:rPr>
                <w:rFonts w:cs="Calibri"/>
              </w:rPr>
              <w:t xml:space="preserve">V rámci infringementového řízení ke směrnici EIA bylo na jednání s EK dohodnuto řešení spočívající v úpravě české legislativy, kterou budou v termínu do konce roku 2014 vyřešeny všechny výtky EK. </w:t>
            </w:r>
            <w:r w:rsidRPr="008B53A9">
              <w:rPr>
                <w:rFonts w:cs="Cambria"/>
                <w:color w:val="000000"/>
              </w:rPr>
              <w:t xml:space="preserve">Za účelem vypracování návrhu novelizace byla zřízena pracovní skupina, jež je v úzkém kontaktu </w:t>
            </w:r>
            <w:r w:rsidRPr="008B53A9">
              <w:rPr>
                <w:rFonts w:cs="Cambria"/>
                <w:color w:val="000000"/>
              </w:rPr>
              <w:lastRenderedPageBreak/>
              <w:t xml:space="preserve">s Evropskou komisí. Paragrafované znění novely zákona EIA, stavebního zákona a souvisejících právních předpisů bylo v březnu 2014 předloženo do mezirezortního připomínkového řízení, které bylo ukončeno na konci dubna 2014.  Novela byla následně upravena na základě připomínek Evropské komise a dne 10. 6. 2014 odsouhlasena Evropskou komisí. Nyní bude pokračováno v souladu se stanoveným harmonogramem tak, aby byla novela účinná od 1. 1. 2015. Součástí novelizace je i oblast účasti veřejnosti a jejího přístupu k soudní ochraně. </w:t>
            </w:r>
          </w:p>
          <w:p w:rsidR="0089670B" w:rsidRPr="008B53A9" w:rsidRDefault="00E0001D" w:rsidP="00632C00">
            <w:pPr>
              <w:spacing w:before="100" w:beforeAutospacing="1"/>
              <w:jc w:val="both"/>
            </w:pPr>
            <w:r w:rsidRPr="008B53A9">
              <w:rPr>
                <w:rFonts w:cs="Calibri"/>
              </w:rPr>
              <w:t>Viz Příloha II a Akční plán pro obecnou předběžnou podmínku v gesci MŽP.</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pro odbornou přípravu a šíření informací pro zaměstnance podílející se na provádění směrnic EIA a SEA</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§21 a 22 zákona č. 100/2001 Sb., o posuzování vlivů na životní prostředí</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§21 zákona č. 312/2002 Sb., o úřednících územních samosprávných celků a o změně některých zákonů</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 xml:space="preserve">Usnesení Vlády ČR ze dne 30. listopadu 2005 </w:t>
            </w:r>
            <w:r w:rsidRPr="008B53A9">
              <w:rPr>
                <w:rFonts w:cs="Calibri"/>
                <w:lang w:val="cs-CZ" w:eastAsia="cs-CZ"/>
              </w:rPr>
              <w:lastRenderedPageBreak/>
              <w:t>č. 1542</w:t>
            </w:r>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71" w:history="1">
              <w:r w:rsidR="0089670B" w:rsidRPr="008B53A9">
                <w:rPr>
                  <w:rStyle w:val="Hypertextovodkaz"/>
                  <w:rFonts w:cs="Calibri"/>
                  <w:color w:val="auto"/>
                  <w:u w:val="none"/>
                  <w:lang w:val="cs-CZ" w:eastAsia="cs-CZ"/>
                </w:rPr>
                <w:t>http://www.mzp.cz/cz/posuzovani_vlivu_zivotni_prostredi</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72" w:history="1">
              <w:r w:rsidR="0089670B" w:rsidRPr="008B53A9">
                <w:rPr>
                  <w:rStyle w:val="Hypertextovodkaz"/>
                  <w:rFonts w:cs="Calibri"/>
                  <w:color w:val="auto"/>
                  <w:u w:val="none"/>
                  <w:lang w:val="cs-CZ" w:eastAsia="cs-CZ"/>
                </w:rPr>
                <w:t>http://portal.cenia.cz/eiasea/view/eia100_cr</w:t>
              </w:r>
            </w:hyperlink>
            <w:r w:rsidR="0089670B" w:rsidRPr="008B53A9">
              <w:rPr>
                <w:rFonts w:cs="Calibri"/>
                <w:lang w:val="cs-CZ" w:eastAsia="cs-CZ"/>
              </w:rPr>
              <w:t xml:space="preserve"> (+ záložka legislativa, pokyny a sdělení atd.)</w:t>
            </w:r>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73" w:history="1">
              <w:r w:rsidR="0089670B" w:rsidRPr="008B53A9">
                <w:rPr>
                  <w:rStyle w:val="Hypertextovodkaz"/>
                  <w:rFonts w:cs="Calibri"/>
                  <w:color w:val="auto"/>
                  <w:u w:val="none"/>
                  <w:lang w:val="cs-CZ" w:eastAsia="cs-CZ"/>
                </w:rPr>
                <w:t>http://portal.cenia.cz/eiasea/view/eia100_cr</w:t>
              </w:r>
            </w:hyperlink>
          </w:p>
          <w:p w:rsidR="006E2389" w:rsidRPr="008B53A9" w:rsidRDefault="008B53A9" w:rsidP="00142A82">
            <w:pPr>
              <w:pStyle w:val="Tabulka"/>
              <w:jc w:val="left"/>
              <w:rPr>
                <w:rFonts w:cs="Calibri"/>
                <w:lang w:val="cs-CZ" w:eastAsia="cs-CZ"/>
              </w:rPr>
            </w:pPr>
            <w:hyperlink r:id="rId74" w:history="1">
              <w:r w:rsidR="0089670B" w:rsidRPr="008B53A9">
                <w:rPr>
                  <w:rStyle w:val="Hypertextovodkaz"/>
                  <w:rFonts w:cs="Calibri"/>
                  <w:color w:val="auto"/>
                  <w:u w:val="none"/>
                  <w:lang w:val="cs-CZ" w:eastAsia="cs-CZ"/>
                </w:rPr>
                <w:t>http://portal.cenia.cz/eiasea/view/SEA100_koncepce</w:t>
              </w:r>
            </w:hyperlink>
          </w:p>
        </w:tc>
        <w:tc>
          <w:tcPr>
            <w:tcW w:w="4394" w:type="dxa"/>
            <w:shd w:val="clear" w:color="auto" w:fill="auto"/>
          </w:tcPr>
          <w:p w:rsidR="0089670B" w:rsidRPr="008B53A9" w:rsidRDefault="0089670B" w:rsidP="00632C00">
            <w:pPr>
              <w:pStyle w:val="Tabulka"/>
              <w:spacing w:before="0"/>
              <w:jc w:val="left"/>
              <w:rPr>
                <w:rFonts w:cs="Calibri"/>
                <w:lang w:val="cs-CZ" w:eastAsia="cs-CZ"/>
              </w:rPr>
            </w:pPr>
            <w:r w:rsidRPr="008B53A9">
              <w:rPr>
                <w:rFonts w:cs="Calibri"/>
                <w:lang w:val="cs-CZ" w:eastAsia="cs-CZ"/>
              </w:rPr>
              <w:lastRenderedPageBreak/>
              <w:t>MŽP je ústředním správním úřadem v oblasti posuzování vlivů na životní prostředí a vykonává vrchní státní dozor v této oblasti dle zákona č. 100/2001 Sb., o posuzování vlivů na životní prostředí</w:t>
            </w:r>
            <w:r w:rsidR="005856E9" w:rsidRPr="008B53A9">
              <w:rPr>
                <w:rFonts w:cs="Calibri"/>
                <w:lang w:val="cs-CZ" w:eastAsia="cs-CZ"/>
              </w:rPr>
              <w:t xml:space="preserve">. </w:t>
            </w:r>
            <w:r w:rsidRPr="008B53A9">
              <w:rPr>
                <w:rFonts w:cs="Calibri"/>
                <w:lang w:val="cs-CZ" w:eastAsia="cs-CZ"/>
              </w:rPr>
              <w:t xml:space="preserve"> MŽP metodicky vede všechny pracovníky provádějící směrnice EIA a SEA. MŽP koná pro pracovníky EIA a SEA pravidelné porady, v součinnosti s MMR bude realizovat i školení pro pracovníky řídících orgánů.</w:t>
            </w:r>
          </w:p>
          <w:p w:rsidR="0089670B" w:rsidRPr="008B53A9" w:rsidRDefault="0089670B" w:rsidP="00632C00">
            <w:pPr>
              <w:pStyle w:val="Tabulka"/>
              <w:spacing w:before="0"/>
              <w:jc w:val="left"/>
              <w:rPr>
                <w:rFonts w:cs="Calibri"/>
                <w:lang w:val="cs-CZ" w:eastAsia="cs-CZ"/>
              </w:rPr>
            </w:pPr>
            <w:r w:rsidRPr="008B53A9">
              <w:rPr>
                <w:rFonts w:cs="Calibri"/>
                <w:lang w:val="cs-CZ" w:eastAsia="cs-CZ"/>
              </w:rPr>
              <w:t xml:space="preserve">Informace z oblasti EIA a SEA jsou šířeny prostřednictvím informačního systému a vydáváním </w:t>
            </w:r>
            <w:r w:rsidR="005856E9" w:rsidRPr="008B53A9">
              <w:rPr>
                <w:rFonts w:cs="Calibri"/>
                <w:lang w:val="cs-CZ" w:eastAsia="cs-CZ"/>
              </w:rPr>
              <w:t xml:space="preserve"> </w:t>
            </w:r>
            <w:r w:rsidRPr="008B53A9">
              <w:rPr>
                <w:rFonts w:cs="Calibri"/>
                <w:lang w:val="cs-CZ" w:eastAsia="cs-CZ"/>
              </w:rPr>
              <w:t xml:space="preserve">metodických pokynů. Zajišťuje MŽP. Všichni pracovníci provádějící směrnice EIA a SEA jsou kvalifikováni rovněž k </w:t>
            </w:r>
            <w:r w:rsidRPr="008B53A9">
              <w:rPr>
                <w:rFonts w:cs="Calibri"/>
                <w:lang w:val="cs-CZ" w:eastAsia="cs-CZ"/>
              </w:rPr>
              <w:lastRenderedPageBreak/>
              <w:t>provádění poradenství v oblasti EIA a SEA.</w:t>
            </w:r>
          </w:p>
          <w:p w:rsidR="0089670B" w:rsidRPr="008B53A9" w:rsidRDefault="0089670B" w:rsidP="00632C00">
            <w:pPr>
              <w:pStyle w:val="Tabulka"/>
              <w:spacing w:before="0"/>
              <w:jc w:val="left"/>
              <w:rPr>
                <w:rFonts w:cs="Calibri"/>
                <w:lang w:val="cs-CZ" w:eastAsia="cs-CZ"/>
              </w:rPr>
            </w:pPr>
            <w:r w:rsidRPr="008B53A9">
              <w:rPr>
                <w:rFonts w:cs="Calibri"/>
                <w:lang w:val="cs-CZ" w:eastAsia="cs-CZ"/>
              </w:rPr>
              <w:t>MMR-NOK zajišťuje na horizontální úrovni proškolení zaměstnanců implementujících fondy EU v rámci Systému vzdělávání, MŽP zajišťuje obsahovou náplň vzdělávání a lektorské zajištění. Zaměstnanci ŘO OP PIK jsou zapojeni do Systému vzdělávání.</w:t>
            </w:r>
          </w:p>
          <w:p w:rsidR="0089670B" w:rsidRPr="008B53A9" w:rsidRDefault="0089670B" w:rsidP="00632C00">
            <w:pPr>
              <w:pStyle w:val="Tabulka"/>
              <w:spacing w:before="0"/>
              <w:jc w:val="left"/>
              <w:rPr>
                <w:rFonts w:cs="Calibri"/>
                <w:lang w:val="cs-CZ" w:eastAsia="cs-CZ"/>
              </w:rPr>
            </w:pPr>
            <w:r w:rsidRPr="008B53A9">
              <w:rPr>
                <w:rFonts w:cs="Calibri"/>
                <w:lang w:val="cs-CZ" w:eastAsia="cs-CZ"/>
              </w:rPr>
              <w:t>Specifické naplňování na národní úrovni je uvedeno v rámci Dohody o partnerství.</w:t>
            </w:r>
          </w:p>
          <w:p w:rsidR="0089670B" w:rsidRPr="008B53A9" w:rsidRDefault="0089670B" w:rsidP="00632C00">
            <w:pPr>
              <w:pStyle w:val="Tabulka"/>
              <w:spacing w:before="0"/>
              <w:jc w:val="left"/>
              <w:rPr>
                <w:rFonts w:cs="Calibri"/>
                <w:lang w:val="cs-CZ" w:eastAsia="cs-CZ"/>
              </w:rPr>
            </w:pPr>
            <w:r w:rsidRPr="008B53A9">
              <w:rPr>
                <w:rFonts w:cs="Calibri"/>
                <w:lang w:val="cs-CZ" w:eastAsia="cs-CZ"/>
              </w:rPr>
              <w:t>Viz Příloha č. II</w:t>
            </w:r>
            <w:r w:rsidR="005856E9" w:rsidRPr="008B53A9">
              <w:rPr>
                <w:rFonts w:cs="Calibri"/>
                <w:lang w:val="cs-CZ" w:eastAsia="cs-CZ"/>
              </w:rPr>
              <w:t xml:space="preserve"> a Akční plán .</w:t>
            </w:r>
          </w:p>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k zajištění dostatečné správní kapacity</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§21 a 22 zákona č. 100/2001 Sb., o posuzování vlivů na životní prostředí</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§21 zákona č. 312/2002 Sb., o úřednících územních samosprávných celků a o změně některých zákonů</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 xml:space="preserve">Usnesení Vlády ČR ze dne 30. listopadu 2005 </w:t>
            </w:r>
            <w:r w:rsidRPr="008B53A9">
              <w:rPr>
                <w:rFonts w:cs="Calibri"/>
                <w:lang w:val="cs-CZ" w:eastAsia="cs-CZ"/>
              </w:rPr>
              <w:lastRenderedPageBreak/>
              <w:t>č. 1542</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Zákon č. 111/2009 Sb., o základních registrech</w:t>
            </w:r>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75" w:history="1">
              <w:r w:rsidR="0089670B" w:rsidRPr="008B53A9">
                <w:rPr>
                  <w:rStyle w:val="Hypertextovodkaz"/>
                  <w:rFonts w:cs="Calibri"/>
                  <w:color w:val="auto"/>
                  <w:u w:val="none"/>
                  <w:lang w:val="cs-CZ" w:eastAsia="cs-CZ"/>
                </w:rPr>
                <w:t>http://www.mzp.cz/cz/posuzovani_vlivu_zivotni_prostredi</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76" w:history="1">
              <w:r w:rsidR="0089670B" w:rsidRPr="008B53A9">
                <w:rPr>
                  <w:rStyle w:val="Hypertextovodkaz"/>
                  <w:rFonts w:cs="Calibri"/>
                  <w:color w:val="auto"/>
                  <w:u w:val="none"/>
                  <w:lang w:val="cs-CZ" w:eastAsia="cs-CZ"/>
                </w:rPr>
                <w:t>http://portal.cenia.cz/eiasea/view/eia100_cr</w:t>
              </w:r>
            </w:hyperlink>
            <w:r w:rsidR="0089670B" w:rsidRPr="008B53A9">
              <w:rPr>
                <w:rStyle w:val="Hypertextovodkaz"/>
                <w:rFonts w:cs="Calibri"/>
                <w:color w:val="auto"/>
                <w:u w:val="none"/>
                <w:lang w:val="cs-CZ" w:eastAsia="cs-CZ"/>
              </w:rPr>
              <w:t xml:space="preserve"> </w:t>
            </w:r>
          </w:p>
          <w:p w:rsidR="0089670B" w:rsidRPr="008B53A9" w:rsidRDefault="0089670B" w:rsidP="00142A82">
            <w:pPr>
              <w:pStyle w:val="Tabulka"/>
              <w:jc w:val="left"/>
              <w:rPr>
                <w:rFonts w:cs="Calibri"/>
                <w:lang w:val="cs-CZ" w:eastAsia="cs-CZ"/>
              </w:rPr>
            </w:pPr>
          </w:p>
          <w:p w:rsidR="0089670B" w:rsidRPr="008B53A9" w:rsidRDefault="008B53A9" w:rsidP="00AD402A">
            <w:pPr>
              <w:pStyle w:val="Tabulka"/>
              <w:jc w:val="left"/>
              <w:rPr>
                <w:rStyle w:val="Hypertextovodkaz"/>
                <w:rFonts w:cs="Calibri"/>
                <w:color w:val="auto"/>
                <w:u w:val="none"/>
                <w:lang w:val="cs-CZ" w:eastAsia="cs-CZ"/>
              </w:rPr>
            </w:pPr>
            <w:hyperlink r:id="rId77" w:history="1">
              <w:r w:rsidR="0089670B" w:rsidRPr="008B53A9">
                <w:rPr>
                  <w:rStyle w:val="Hypertextovodkaz"/>
                  <w:rFonts w:cs="Calibri"/>
                  <w:color w:val="auto"/>
                  <w:u w:val="none"/>
                  <w:lang w:val="cs-CZ" w:eastAsia="cs-CZ"/>
                </w:rPr>
                <w:t>http://portal.cenia.cz/eiasea/view/SEA100_koncepce</w:t>
              </w:r>
            </w:hyperlink>
            <w:r w:rsidR="00AD402A" w:rsidRPr="008B53A9">
              <w:rPr>
                <w:rFonts w:cs="Calibri"/>
                <w:lang w:val="cs-CZ" w:eastAsia="cs-CZ"/>
              </w:rPr>
              <w:t xml:space="preserve">  </w:t>
            </w:r>
            <w:hyperlink r:id="rId78" w:history="1">
              <w:r w:rsidR="0089670B" w:rsidRPr="008B53A9">
                <w:rPr>
                  <w:rStyle w:val="Hypertextovodkaz"/>
                  <w:rFonts w:cs="Calibri"/>
                  <w:color w:val="auto"/>
                  <w:u w:val="none"/>
                  <w:lang w:val="cs-CZ" w:eastAsia="cs-CZ"/>
                </w:rPr>
                <w:t>http://portal.cenia.cz/eiasea/osoby/osoby</w:t>
              </w:r>
            </w:hyperlink>
          </w:p>
          <w:p w:rsidR="006E2389" w:rsidRPr="008B53A9" w:rsidRDefault="006E2389" w:rsidP="00F9478E">
            <w:pPr>
              <w:pStyle w:val="Tabulka"/>
              <w:jc w:val="left"/>
              <w:rPr>
                <w:rFonts w:cs="Calibri"/>
                <w:lang w:val="cs-CZ" w:eastAsia="cs-CZ"/>
              </w:rPr>
            </w:pPr>
            <w:r w:rsidRPr="008B53A9">
              <w:rPr>
                <w:rStyle w:val="Hypertextovodkaz"/>
                <w:rFonts w:cs="Calibri"/>
                <w:color w:val="auto"/>
                <w:u w:val="none"/>
                <w:lang w:val="cs-CZ" w:eastAsia="cs-CZ"/>
              </w:rPr>
              <w:t xml:space="preserve">Viz </w:t>
            </w:r>
            <w:r w:rsidR="00F9478E" w:rsidRPr="008B53A9">
              <w:rPr>
                <w:rStyle w:val="Hypertextovodkaz"/>
                <w:rFonts w:cs="Calibri"/>
                <w:color w:val="auto"/>
                <w:u w:val="none"/>
                <w:lang w:val="cs-CZ" w:eastAsia="cs-CZ"/>
              </w:rPr>
              <w:t>P</w:t>
            </w:r>
            <w:r w:rsidRPr="008B53A9">
              <w:rPr>
                <w:rStyle w:val="Hypertextovodkaz"/>
                <w:rFonts w:cs="Calibri"/>
                <w:color w:val="auto"/>
                <w:u w:val="none"/>
                <w:lang w:val="cs-CZ" w:eastAsia="cs-CZ"/>
              </w:rPr>
              <w:t>říloha II.</w:t>
            </w:r>
          </w:p>
        </w:tc>
        <w:tc>
          <w:tcPr>
            <w:tcW w:w="4394" w:type="dxa"/>
            <w:shd w:val="clear" w:color="auto" w:fill="auto"/>
          </w:tcPr>
          <w:p w:rsidR="00F9478E" w:rsidRPr="008B53A9" w:rsidRDefault="00F9478E" w:rsidP="00F9478E">
            <w:pPr>
              <w:pStyle w:val="DAVA"/>
              <w:spacing w:before="0"/>
              <w:rPr>
                <w:rFonts w:ascii="Times New Roman" w:hAnsi="Times New Roman"/>
                <w:bCs/>
                <w:color w:val="000000"/>
                <w:sz w:val="22"/>
                <w:szCs w:val="22"/>
              </w:rPr>
            </w:pPr>
            <w:r w:rsidRPr="008B53A9">
              <w:rPr>
                <w:rFonts w:ascii="Times New Roman" w:hAnsi="Times New Roman"/>
                <w:bCs/>
                <w:color w:val="000000"/>
                <w:sz w:val="22"/>
                <w:szCs w:val="22"/>
              </w:rPr>
              <w:lastRenderedPageBreak/>
              <w:t xml:space="preserve">Všichni úředníci zajišťující provádění směrnice EIA a SEA mají složenou zkoušku odborné způsobilosti či prošli vstupním vzděláním úvodním a vstupním vzděláním následným – viz přehled v předchozím bodě. </w:t>
            </w:r>
          </w:p>
          <w:p w:rsidR="00F9478E" w:rsidRPr="008B53A9" w:rsidRDefault="00F9478E" w:rsidP="00F9478E">
            <w:pPr>
              <w:pStyle w:val="DAVA"/>
              <w:spacing w:before="0"/>
              <w:rPr>
                <w:rFonts w:ascii="Times New Roman" w:hAnsi="Times New Roman"/>
                <w:bCs/>
                <w:color w:val="000000"/>
                <w:sz w:val="22"/>
                <w:szCs w:val="22"/>
              </w:rPr>
            </w:pPr>
            <w:r w:rsidRPr="008B53A9">
              <w:rPr>
                <w:rFonts w:ascii="Times New Roman" w:hAnsi="Times New Roman"/>
                <w:bCs/>
                <w:color w:val="000000"/>
                <w:sz w:val="22"/>
                <w:szCs w:val="22"/>
              </w:rPr>
              <w:t xml:space="preserve">Počet úředníků zajišťující provádění směrnice EIA a SEA na MŽP a krajských úřadech je vždy ustanoven na základě množství vykonávané agendy jednotlivými úřady tak, aby tato kapacita byla dostatečná. </w:t>
            </w:r>
          </w:p>
          <w:p w:rsidR="00F9478E" w:rsidRPr="008B53A9" w:rsidRDefault="00F9478E" w:rsidP="00F9478E">
            <w:pPr>
              <w:pStyle w:val="DAVA"/>
              <w:spacing w:before="0"/>
              <w:rPr>
                <w:rFonts w:ascii="Times New Roman" w:hAnsi="Times New Roman"/>
                <w:sz w:val="22"/>
                <w:szCs w:val="22"/>
              </w:rPr>
            </w:pPr>
            <w:r w:rsidRPr="008B53A9">
              <w:rPr>
                <w:rFonts w:ascii="Times New Roman" w:hAnsi="Times New Roman"/>
                <w:sz w:val="22"/>
                <w:szCs w:val="22"/>
              </w:rPr>
              <w:t xml:space="preserve">Počet úředníků zajišťujících provádění směrnice EIA a SEA odpovídá aktuálním požadavkům na správní kapacitu. Při změně podmínek je počet úředníků upraven tak, aby byla dostatečná správní kapacita vždy zajištěna. </w:t>
            </w:r>
          </w:p>
          <w:p w:rsidR="00F9478E" w:rsidRPr="008B53A9" w:rsidRDefault="00F9478E" w:rsidP="00F9478E">
            <w:pPr>
              <w:pStyle w:val="DAVA"/>
              <w:spacing w:before="0"/>
              <w:rPr>
                <w:rFonts w:ascii="Times New Roman" w:hAnsi="Times New Roman"/>
                <w:bCs/>
                <w:color w:val="000000"/>
                <w:sz w:val="22"/>
                <w:szCs w:val="22"/>
              </w:rPr>
            </w:pPr>
            <w:r w:rsidRPr="008B53A9">
              <w:rPr>
                <w:rFonts w:ascii="Times New Roman" w:hAnsi="Times New Roman"/>
                <w:bCs/>
                <w:color w:val="000000"/>
                <w:sz w:val="22"/>
                <w:szCs w:val="22"/>
              </w:rPr>
              <w:lastRenderedPageBreak/>
              <w:t>Zajištění dostatečné a kvalifikované administrativní správní kapacity je stěžejní v oblasti implementace směrnice EIA/SEA, kde je řídícím orgánem MŽP. U ostatních řídících orgánů je nutné zajistit v této oblasti informovanost, což je zajištěno vzděláváním pro pracovníky implementující fondy EU, viz výše.</w:t>
            </w:r>
          </w:p>
          <w:p w:rsidR="00F9478E" w:rsidRPr="008B53A9" w:rsidRDefault="00F9478E" w:rsidP="00F9478E">
            <w:pPr>
              <w:pStyle w:val="DAVA"/>
              <w:spacing w:before="0"/>
              <w:rPr>
                <w:rFonts w:ascii="Times New Roman" w:hAnsi="Times New Roman"/>
                <w:bCs/>
                <w:color w:val="000000"/>
              </w:rPr>
            </w:pPr>
            <w:r w:rsidRPr="008B53A9">
              <w:rPr>
                <w:rFonts w:ascii="Times New Roman" w:hAnsi="Times New Roman"/>
                <w:bCs/>
                <w:color w:val="000000"/>
                <w:sz w:val="22"/>
                <w:szCs w:val="22"/>
              </w:rPr>
              <w:t>Viz Příloha č. II a Akční plán.</w:t>
            </w:r>
          </w:p>
          <w:p w:rsidR="0089670B" w:rsidRPr="008B53A9" w:rsidRDefault="0089670B" w:rsidP="00142A82">
            <w:pPr>
              <w:pStyle w:val="Tabulka"/>
              <w:jc w:val="left"/>
              <w:rPr>
                <w:rFonts w:cs="Calibri"/>
                <w:lang w:val="cs-CZ" w:eastAsia="cs-CZ"/>
              </w:rPr>
            </w:pPr>
            <w:r w:rsidRPr="008B53A9">
              <w:rPr>
                <w:rFonts w:cs="Calibri"/>
                <w:lang w:val="cs-CZ" w:eastAsia="cs-CZ"/>
              </w:rPr>
              <w:t xml:space="preserve"> </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lastRenderedPageBreak/>
              <w:t>Existence statistického základu nezbytného k provádění hodnocení za účelem posouzení účinnosti a dopadu programů.</w:t>
            </w: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p>
          <w:p w:rsidR="0089670B" w:rsidRPr="008B53A9" w:rsidRDefault="0089670B" w:rsidP="00142A82">
            <w:pPr>
              <w:pStyle w:val="Tabulka"/>
              <w:jc w:val="left"/>
              <w:rPr>
                <w:rFonts w:cs="Calibri"/>
                <w:b/>
                <w:lang w:val="cs-CZ" w:eastAsia="cs-CZ"/>
              </w:rPr>
            </w:pPr>
            <w:r w:rsidRPr="008B53A9">
              <w:rPr>
                <w:rFonts w:cs="Calibri"/>
                <w:b/>
                <w:lang w:val="cs-CZ" w:eastAsia="cs-CZ"/>
              </w:rPr>
              <w:t xml:space="preserve">Existence systému ukazatele výsledků nezbytného pro výběr opatření, jež budou nejúčinněji přispívat k dosahování požadovaných výsledků, k sledování pokroku při plnění cílů a k provedení </w:t>
            </w:r>
            <w:r w:rsidRPr="008B53A9">
              <w:rPr>
                <w:rFonts w:cs="Calibri"/>
                <w:b/>
                <w:lang w:val="cs-CZ" w:eastAsia="cs-CZ"/>
              </w:rPr>
              <w:lastRenderedPageBreak/>
              <w:t>posouzení dopadů</w:t>
            </w: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Všechny prioritní osy OP PIK</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Jsou vypracována opatření pro včasný sběr a agregaci statistických údajů, která obsahuje tyto prvky:</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 přípravě.</w:t>
            </w:r>
          </w:p>
          <w:p w:rsidR="0089670B" w:rsidRPr="008B53A9" w:rsidRDefault="0089670B" w:rsidP="00142A82">
            <w:pPr>
              <w:pStyle w:val="Tabulka"/>
              <w:jc w:val="left"/>
              <w:rPr>
                <w:rFonts w:cs="Calibri"/>
                <w:lang w:val="cs-CZ" w:eastAsia="cs-CZ"/>
              </w:rPr>
            </w:pPr>
            <w:r w:rsidRPr="008B53A9">
              <w:rPr>
                <w:rFonts w:cs="Calibri"/>
                <w:lang w:val="cs-CZ" w:eastAsia="cs-CZ"/>
              </w:rPr>
              <w:t>Usnesením vlády ze dne 9. srpna 2013 č. 597 byl schválen závazný metodický pokyn určující pravidla pro tvorbu indikátorových soustav (MP indikátorů 2014-2020).</w:t>
            </w:r>
          </w:p>
          <w:p w:rsidR="0089670B" w:rsidRPr="008B53A9" w:rsidRDefault="0089670B" w:rsidP="00142A82">
            <w:pPr>
              <w:pStyle w:val="Tabulka"/>
              <w:jc w:val="left"/>
              <w:rPr>
                <w:rFonts w:cs="Calibri"/>
                <w:lang w:val="cs-CZ" w:eastAsia="cs-CZ"/>
              </w:rPr>
            </w:pPr>
            <w:r w:rsidRPr="008B53A9">
              <w:rPr>
                <w:rFonts w:cs="Calibri"/>
                <w:lang w:val="cs-CZ" w:eastAsia="cs-CZ"/>
              </w:rPr>
              <w:t>Připravováno technické řešení v rámci monitorovacího systému MS2014+.</w:t>
            </w:r>
          </w:p>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určení zdrojů a mechanismů pro </w:t>
            </w:r>
            <w:r w:rsidRPr="008B53A9">
              <w:rPr>
                <w:rFonts w:cs="Calibri"/>
                <w:lang w:val="cs-CZ" w:eastAsia="cs-CZ"/>
              </w:rPr>
              <w:lastRenderedPageBreak/>
              <w:t>zajištění statistického ověřování,</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eastAsia="Calibri" w:cs="Calibri"/>
                <w:lang w:val="cs-CZ" w:eastAsia="cs-CZ"/>
              </w:rPr>
              <w:lastRenderedPageBreak/>
              <w:t>částečně</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eastAsia="Calibri" w:cs="Calibri"/>
                <w:lang w:val="cs-CZ" w:eastAsia="cs-CZ"/>
              </w:rPr>
            </w:pPr>
            <w:r w:rsidRPr="008B53A9">
              <w:rPr>
                <w:rFonts w:eastAsia="Calibri" w:cs="Calibri"/>
                <w:lang w:val="cs-CZ" w:eastAsia="cs-CZ"/>
              </w:rPr>
              <w:t>V přípravě, relevantní po schválení programů.</w:t>
            </w:r>
          </w:p>
          <w:p w:rsidR="0089670B" w:rsidRPr="008B53A9" w:rsidRDefault="0089670B" w:rsidP="00142A82">
            <w:pPr>
              <w:pStyle w:val="Tabulka"/>
              <w:jc w:val="left"/>
              <w:rPr>
                <w:rFonts w:cs="Calibri"/>
                <w:lang w:val="cs-CZ" w:eastAsia="cs-CZ"/>
              </w:rPr>
            </w:pPr>
            <w:r w:rsidRPr="008B53A9">
              <w:rPr>
                <w:rFonts w:cs="Calibri"/>
                <w:lang w:val="cs-CZ" w:eastAsia="cs-CZ"/>
              </w:rPr>
              <w:t xml:space="preserve">V rámci přípravy indikátorové soustavy dochází </w:t>
            </w:r>
            <w:r w:rsidRPr="008B53A9">
              <w:rPr>
                <w:rFonts w:cs="Calibri"/>
                <w:lang w:val="cs-CZ" w:eastAsia="cs-CZ"/>
              </w:rPr>
              <w:lastRenderedPageBreak/>
              <w:t>k posuzování jednotlivých ukazatelů s ohledem na jejich relevanci, jednoznačnost a také dostupnost. Při přípravě probíhá spolupráce také s ex-ante hodnotiteli programů.</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pro zveřejňování a zpřístupňování souhrnných informací veřejnosti,</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eastAsia="Calibri" w:cs="Calibri"/>
                <w:lang w:val="cs-CZ" w:eastAsia="cs-CZ"/>
              </w:rPr>
              <w:t>částečně</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Z metodického hlediska splněno v podobě MP evaluace, kde je zapracován požadavek na povinné zveřejňování všech evaluačních výstupů, současně pak povinné zveřejňování informací o výsledku výběru a hodnocení operací.</w:t>
            </w:r>
          </w:p>
          <w:p w:rsidR="0089670B" w:rsidRPr="008B53A9" w:rsidRDefault="0089670B" w:rsidP="00142A82">
            <w:pPr>
              <w:pStyle w:val="Tabulka"/>
              <w:jc w:val="left"/>
              <w:rPr>
                <w:rFonts w:eastAsia="Calibri" w:cs="Calibri"/>
                <w:lang w:val="cs-CZ" w:eastAsia="cs-CZ"/>
              </w:rPr>
            </w:pPr>
            <w:r w:rsidRPr="008B53A9">
              <w:rPr>
                <w:rFonts w:cs="Calibri"/>
                <w:lang w:val="cs-CZ" w:eastAsia="cs-CZ"/>
              </w:rPr>
              <w:t>Materiál (MP evaluace 2014-2020) je součástí 1. balíčku metodik, který byl usnesením ze dne 9. srpna 2013 č. 597 schválen vládou. Metodická pravidla budou reflektována v rámci připravovaného monitorovacího systému MS2014+, kde jednou z plánovaných funkčností je také automatické zveřejňování vybraných dokumentů (závěrečných evaluačních zpráv) veřejnosti, které budou dostupné na společném webu fondů ESI.</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Účinný systém ukazatelů výsledků, včetně:</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 přípravě – NČI 2014+ (příprava indikátorové soustavy). Bude realizováno po předložení programů.</w:t>
            </w:r>
          </w:p>
          <w:p w:rsidR="0089670B" w:rsidRPr="008B53A9" w:rsidRDefault="0089670B" w:rsidP="00142A82">
            <w:pPr>
              <w:pStyle w:val="Tabulka"/>
              <w:jc w:val="left"/>
              <w:rPr>
                <w:rFonts w:cs="Calibri"/>
                <w:lang w:val="cs-CZ" w:eastAsia="cs-CZ"/>
              </w:rPr>
            </w:pPr>
            <w:r w:rsidRPr="008B53A9">
              <w:rPr>
                <w:rFonts w:cs="Calibri"/>
                <w:lang w:val="cs-CZ" w:eastAsia="cs-CZ"/>
              </w:rPr>
              <w:t xml:space="preserve">V rámci přípravy programových dokumentů probíhá intenzivní spolupráce mezi MMR-NOK, ŘO a ex-ante hodnotiteli, kdy je kromě jiných témat kladen důraz na správné nastavení intervenční logiky programu (resp. teorie změny) včetně navazující soustavy indikátorů. Indikátorové soustavy a tvorba programově specifických indikátorů je připravována </w:t>
            </w:r>
            <w:r w:rsidRPr="008B53A9">
              <w:rPr>
                <w:rFonts w:cs="Calibri"/>
                <w:lang w:val="cs-CZ" w:eastAsia="cs-CZ"/>
              </w:rPr>
              <w:lastRenderedPageBreak/>
              <w:t>koordinovaně dle závazného metodického pokynu pro tvorbu indikátorů (MP indikátorů 2014-2020) a respektuje požadavky EK včetně obsahu této předběžné podmínky. K naplnění předběžné podmínky dojde při schválení programů, v nichž bude indikátorová soustava včetně závazných hodnot nastavena.</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výběru ukazatelů výsledku pro každý program, jež budou vypovídat o motivaci k výběru strategických kroků financovaných z programu</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eastAsia="Calibri" w:cs="Calibri"/>
                <w:lang w:val="cs-CZ" w:eastAsia="cs-CZ"/>
              </w:rPr>
              <w:t>částečně</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eastAsia="Calibri" w:cs="Calibri"/>
                <w:lang w:val="cs-CZ" w:eastAsia="cs-CZ"/>
              </w:rPr>
            </w:pPr>
            <w:r w:rsidRPr="008B53A9">
              <w:rPr>
                <w:rFonts w:eastAsia="Calibri" w:cs="Calibri"/>
                <w:lang w:val="cs-CZ" w:eastAsia="cs-CZ"/>
              </w:rPr>
              <w:t>V přípravě.</w:t>
            </w:r>
          </w:p>
          <w:p w:rsidR="0089670B" w:rsidRPr="008B53A9" w:rsidRDefault="0089670B" w:rsidP="00142A82">
            <w:pPr>
              <w:pStyle w:val="Tabulka"/>
              <w:jc w:val="left"/>
              <w:rPr>
                <w:rFonts w:cs="Calibri"/>
                <w:lang w:val="cs-CZ" w:eastAsia="cs-CZ"/>
              </w:rPr>
            </w:pPr>
            <w:r w:rsidRPr="008B53A9">
              <w:rPr>
                <w:rFonts w:cs="Calibri"/>
                <w:lang w:val="cs-CZ" w:eastAsia="cs-CZ"/>
              </w:rPr>
              <w:t>Pravidla pro výběr indikátorů v rámci každé operace / projektu jsou definována v rámci závazného metodického pokynu (MP výběr a hodnocení projektů 2014-2020), který byl  usnesením ze 20. listopadu 2013 č. 873 schválen vládou. V rámci uvedeného pokynu jsou současně promítnuty principy 3E pro výběr a hodnocení operací.</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vytyčení cílů pro tyto ukazatele,</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eastAsia="Calibri" w:cs="Calibri"/>
                <w:lang w:val="cs-CZ" w:eastAsia="cs-CZ"/>
              </w:rPr>
              <w:t>částečně</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eastAsia="Calibri" w:cs="Calibri"/>
                <w:lang w:val="cs-CZ" w:eastAsia="cs-CZ"/>
              </w:rPr>
            </w:pPr>
            <w:r w:rsidRPr="008B53A9">
              <w:rPr>
                <w:rFonts w:eastAsia="Calibri" w:cs="Calibri"/>
                <w:lang w:val="cs-CZ" w:eastAsia="cs-CZ"/>
              </w:rPr>
              <w:t>V přípravě, bude součástí programů.</w:t>
            </w:r>
          </w:p>
          <w:p w:rsidR="0089670B" w:rsidRPr="008B53A9" w:rsidRDefault="0089670B" w:rsidP="00142A82">
            <w:pPr>
              <w:pStyle w:val="Tabulka"/>
              <w:jc w:val="left"/>
              <w:rPr>
                <w:rFonts w:cs="Calibri"/>
                <w:lang w:val="cs-CZ" w:eastAsia="cs-CZ"/>
              </w:rPr>
            </w:pPr>
            <w:r w:rsidRPr="008B53A9">
              <w:rPr>
                <w:rFonts w:cs="Calibri"/>
                <w:lang w:val="cs-CZ" w:eastAsia="cs-CZ"/>
              </w:rPr>
              <w:t>Nastavení výchozích a cílových hodnot je prováděno v rámci přípravy programů. Průběžně ve spolupráci s ex-ante hodnotiteli probíhá expertní posuzování relevance hodnot ve vazbě na alokaci pro dané téma.</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musí být zajištěn soulad každého ukazatele s těmito podmínkami: robustností a statistickou validací, jasným normativním výkladem, </w:t>
            </w:r>
            <w:r w:rsidRPr="008B53A9">
              <w:rPr>
                <w:rFonts w:cs="Calibri"/>
                <w:lang w:val="cs-CZ" w:eastAsia="cs-CZ"/>
              </w:rPr>
              <w:lastRenderedPageBreak/>
              <w:t>souladem se strategiemi, včasným sběrem údajů,</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eastAsia="Calibri" w:cs="Calibri"/>
                <w:lang w:val="cs-CZ" w:eastAsia="cs-CZ"/>
              </w:rPr>
              <w:lastRenderedPageBreak/>
              <w:t>částečně</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eastAsia="Calibri" w:cs="Calibri"/>
                <w:lang w:val="cs-CZ" w:eastAsia="cs-CZ"/>
              </w:rPr>
            </w:pPr>
            <w:r w:rsidRPr="008B53A9">
              <w:rPr>
                <w:rFonts w:eastAsia="Calibri" w:cs="Calibri"/>
                <w:lang w:val="cs-CZ" w:eastAsia="cs-CZ"/>
              </w:rPr>
              <w:t>V přípravě – stejná pravidla jsou součástí MP indikátorů, správnost nastavení indikátorové soustavy bude kontrolována ze strany NOK (správce NČI 2014+). Bude až po schválení programů.</w:t>
            </w:r>
          </w:p>
          <w:p w:rsidR="0089670B" w:rsidRPr="008B53A9" w:rsidRDefault="0089670B" w:rsidP="00142A82">
            <w:pPr>
              <w:pStyle w:val="Tabulka"/>
              <w:jc w:val="left"/>
              <w:rPr>
                <w:rFonts w:cs="Calibri"/>
                <w:lang w:val="cs-CZ" w:eastAsia="cs-CZ"/>
              </w:rPr>
            </w:pPr>
            <w:r w:rsidRPr="008B53A9">
              <w:rPr>
                <w:rFonts w:cs="Calibri"/>
                <w:lang w:val="cs-CZ" w:eastAsia="cs-CZ"/>
              </w:rPr>
              <w:t xml:space="preserve">Dtto: V rámci přípravy programových dokumentů probíhá intenzivní spolupráce mezi MMR-NOK, ŘO a ex-ante hodnotiteli, kdy je kromě jiných témat kladen důraz na správné </w:t>
            </w:r>
            <w:r w:rsidRPr="008B53A9">
              <w:rPr>
                <w:rFonts w:cs="Calibri"/>
                <w:lang w:val="cs-CZ" w:eastAsia="cs-CZ"/>
              </w:rPr>
              <w:lastRenderedPageBreak/>
              <w:t>nastavení intervenční logiky programu (resp. teorie změny) včetně navazující soustavy indikátorů. Indikátorové soustavy a tvorba programově specifických indikátorů je připravována koordinovaně dle závazného metodického pokynu pro tvorbu indikátorů (MP indikátorů 2014-2020) a respektuje požadavky EK včetně obsahu této předběžné podmínky.</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postupy zajišťující, aby všechny operace financované z programu používaly účinný systém ukazatelů.</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eastAsia="Calibri" w:cs="Calibri"/>
                <w:lang w:val="cs-CZ" w:eastAsia="cs-CZ"/>
              </w:rPr>
              <w:t>částečně</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eastAsia="Calibri" w:cs="Calibri"/>
                <w:lang w:val="cs-CZ" w:eastAsia="cs-CZ"/>
              </w:rPr>
            </w:pPr>
            <w:r w:rsidRPr="008B53A9">
              <w:rPr>
                <w:rFonts w:eastAsia="Calibri" w:cs="Calibri"/>
                <w:lang w:val="cs-CZ" w:eastAsia="cs-CZ"/>
              </w:rPr>
              <w:t>V přípravě – MP zásady tvorby a používání indikátorů v programovém období 2014-2020. Materiál je součástí 1. balíčku metodik, který byl usnesením ze dne 9. srpna 2013 č. 597 schválen vládou.</w:t>
            </w:r>
          </w:p>
          <w:p w:rsidR="0089670B" w:rsidRPr="008B53A9" w:rsidRDefault="0089670B" w:rsidP="00142A82">
            <w:pPr>
              <w:pStyle w:val="Tabulka"/>
              <w:jc w:val="left"/>
              <w:rPr>
                <w:rFonts w:cs="Calibri"/>
                <w:lang w:val="cs-CZ" w:eastAsia="cs-CZ"/>
              </w:rPr>
            </w:pPr>
            <w:r w:rsidRPr="008B53A9">
              <w:rPr>
                <w:rFonts w:cs="Calibri"/>
                <w:lang w:val="cs-CZ" w:eastAsia="cs-CZ"/>
              </w:rPr>
              <w:t>Jednotný metodický přístup indikátorových soustav (tzn. sjednocení definic napříč programy) je zajištěn Národním číselníkem indikátorů pro programové období 2014-2020 (NČI2014+), který ve své finální podobě bude obsahovat seznam a popis metodické konstrukce všech společných a specifických indikátorů, kterou jsou v programech fondů ESI rámci období 2014-2020 využívány. Předpokládaný termín dokončení NČI2014+ bude korespondovat s termíny schvalování jednotlivých programů. V případě zpožděného schvalování některého z programů např. programy EUS existuje riziko duplicitního vytváření indikátorů. Metodická pravidla jsou reflektována v rámci připravovaného monitorovacího systému MS2014+, kde bude technicky zajištěna automatická agregace dat z úrovně projektů.</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lastRenderedPageBreak/>
              <w:t>1.1. Výzkum a inovace: Existence národní nebo regionální strategie pro inteligentní specializaci v souladu s národním programem reforem na podporu soukromých výdajů na výzkum a inovace, která je v souladu s rysy dobře fungujících celostátních nebo regionálních systémů výzkumu a inovací.</w:t>
            </w: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PO 1 - Rozvoj výzkumu a vývoje pro inovace</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Ne</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bCs/>
                <w:lang w:val="cs-CZ" w:eastAsia="cs-CZ"/>
              </w:rPr>
              <w:t>Je k dispozici národní strategiepro inteligentní specializaci, která:</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ne</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Hlavním gestorem přípravy Strategie inteligentní specializace je MŠMT. V současné době je připravována národní RIS3 Strategie a stane se součástí Národní politiky VaVaI. OP PIK bude navázán na RIS3 a bude ji v relevantních specifických cílech zohledňovat. </w:t>
            </w:r>
          </w:p>
          <w:p w:rsidR="0089670B" w:rsidRPr="008B53A9" w:rsidRDefault="0089670B" w:rsidP="00BB6C1D">
            <w:pPr>
              <w:pStyle w:val="Tabulka"/>
              <w:jc w:val="left"/>
              <w:rPr>
                <w:rFonts w:cs="Calibri"/>
                <w:lang w:val="cs-CZ" w:eastAsia="cs-CZ"/>
              </w:rPr>
            </w:pPr>
            <w:r w:rsidRPr="008B53A9">
              <w:rPr>
                <w:rFonts w:cs="Calibri"/>
                <w:lang w:val="cs-CZ" w:eastAsia="cs-CZ"/>
              </w:rPr>
              <w:t>Podrobn</w:t>
            </w:r>
            <w:r w:rsidR="00BB6C1D" w:rsidRPr="008B53A9">
              <w:rPr>
                <w:rFonts w:cs="Calibri"/>
                <w:lang w:val="cs-CZ" w:eastAsia="cs-CZ"/>
              </w:rPr>
              <w:t>é</w:t>
            </w:r>
            <w:r w:rsidRPr="008B53A9">
              <w:rPr>
                <w:rFonts w:cs="Calibri"/>
                <w:lang w:val="cs-CZ" w:eastAsia="cs-CZ"/>
              </w:rPr>
              <w:t xml:space="preserve"> vyjádření – viz Příloha č. II</w:t>
            </w:r>
            <w:r w:rsidR="000876CC" w:rsidRPr="008B53A9">
              <w:t xml:space="preserve"> a Akční plán pro plnění RIS3 ex-ante kondicionality.</w:t>
            </w:r>
            <w:r w:rsidRPr="008B53A9">
              <w:rPr>
                <w:rFonts w:cs="Calibri"/>
                <w:lang w:val="cs-CZ" w:eastAsia="cs-CZ"/>
              </w:rPr>
              <w:t>.</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je založena na analýze silných a slabých stránek, příležitostí a hrozeb nebo podobné analýze s cílem soustředit zdroje na omezený soubor priorit v oblasti výzkumu a inovací,</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ne</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Viz vyjádření k přípravě národní RIS3.</w:t>
            </w:r>
          </w:p>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nastiňuje opatření na podporu soukromých investic v oblasti výzkumu a technického rozvoje,</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ne</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Viz vyjádření k přípravě národní RIS3.</w:t>
            </w:r>
          </w:p>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•obsahuje mechanismus sledování</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ne</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Viz vyjádření k přípravě národní RIS3.</w:t>
            </w:r>
          </w:p>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Byl přijat rámec, </w:t>
            </w:r>
            <w:r w:rsidRPr="008B53A9">
              <w:rPr>
                <w:rFonts w:cs="Calibri"/>
                <w:lang w:val="cs-CZ" w:eastAsia="cs-CZ"/>
              </w:rPr>
              <w:lastRenderedPageBreak/>
              <w:t>který vymezuje dostupné rozpočtové prostředky na výzkum a inovace.</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ne</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Obecný rámec pro vymezení dostupných </w:t>
            </w:r>
            <w:r w:rsidRPr="008B53A9">
              <w:rPr>
                <w:rFonts w:cs="Calibri"/>
                <w:lang w:val="cs-CZ" w:eastAsia="cs-CZ"/>
              </w:rPr>
              <w:lastRenderedPageBreak/>
              <w:t>rozpočtových zdrojů a priorit pro financování VaVaI obsahuje NP VaVaI. Z ní vychází principy pro přípravu rozpočtu na VaVaI a následně vlastní návrh a střednědobý výhled rozpočtu na VaVaI, zpracovávaný Radou pro výzkum, vývoj a inovace. Viz též podrobnější informace k přípravě RIS3 Strategie (Příloha č. II</w:t>
            </w:r>
            <w:r w:rsidR="000876CC" w:rsidRPr="008B53A9">
              <w:rPr>
                <w:rFonts w:cs="Calibri"/>
                <w:lang w:val="cs-CZ" w:eastAsia="cs-CZ"/>
              </w:rPr>
              <w:t xml:space="preserve"> </w:t>
            </w:r>
            <w:r w:rsidR="000876CC" w:rsidRPr="008B53A9">
              <w:t>a Akční plán pro plnění RIS3 ex-ante kondicionality.</w:t>
            </w:r>
            <w:r w:rsidRPr="008B53A9">
              <w:rPr>
                <w:rFonts w:cs="Calibri"/>
                <w:lang w:val="cs-CZ" w:eastAsia="cs-CZ"/>
              </w:rPr>
              <w:t xml:space="preserve">). </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lastRenderedPageBreak/>
              <w:t>2.1: Digitální růst: Strategický rámec politiky pro digitální růst, který má podněcovat cenově dostupné, kvalitní a interoperabilních soukromé a veřejné služby v oblasti IKT a zvýšit míru jejich využívání občany(včetně zranitelných skupin), podniky a orgány veřejné správy včetně přeshraničních iniciativ</w:t>
            </w: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PO 4 - Rozvoj vysokorychlostních přístupových sítí k internetu a informačních a komunikačních technologií</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V rámci národní nebo regionální strategie pro inteligentní specializaci je vypracován například strategický rámec politiky pro digitální růst, který obsahuje:</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 částečně</w:t>
            </w:r>
          </w:p>
        </w:tc>
        <w:tc>
          <w:tcPr>
            <w:tcW w:w="2126" w:type="dxa"/>
            <w:shd w:val="clear" w:color="auto" w:fill="auto"/>
          </w:tcPr>
          <w:p w:rsidR="0089670B" w:rsidRPr="008B53A9" w:rsidRDefault="008B53A9" w:rsidP="00142A82">
            <w:pPr>
              <w:pStyle w:val="Tabulka"/>
              <w:jc w:val="left"/>
              <w:rPr>
                <w:rStyle w:val="Hypertextovodkaz"/>
                <w:rFonts w:cs="Calibri"/>
                <w:color w:val="auto"/>
                <w:u w:val="none"/>
                <w:lang w:val="cs-CZ" w:eastAsia="cs-CZ"/>
              </w:rPr>
            </w:pPr>
            <w:hyperlink r:id="rId79" w:history="1">
              <w:r w:rsidR="0089670B" w:rsidRPr="008B53A9">
                <w:rPr>
                  <w:rStyle w:val="Hypertextovodkaz"/>
                  <w:rFonts w:cs="Calibri"/>
                  <w:color w:val="auto"/>
                  <w:u w:val="none"/>
                  <w:lang w:val="cs-CZ" w:eastAsia="cs-CZ"/>
                </w:rPr>
                <w:t>http://www.mpo.cz/dokument83642.html</w:t>
              </w:r>
            </w:hyperlink>
          </w:p>
          <w:p w:rsidR="0089670B" w:rsidRPr="008B53A9" w:rsidRDefault="0089670B" w:rsidP="00142A82">
            <w:pPr>
              <w:pStyle w:val="Tabulka"/>
              <w:jc w:val="left"/>
              <w:rPr>
                <w:rStyle w:val="Hypertextovodkaz"/>
                <w:rFonts w:cs="Calibri"/>
                <w:color w:val="auto"/>
                <w:u w:val="none"/>
                <w:lang w:val="cs-CZ" w:eastAsia="cs-CZ"/>
              </w:rPr>
            </w:pPr>
          </w:p>
          <w:p w:rsidR="0089670B" w:rsidRPr="008B53A9" w:rsidRDefault="008B53A9" w:rsidP="00142A82">
            <w:pPr>
              <w:pStyle w:val="Tabulka"/>
              <w:jc w:val="left"/>
              <w:rPr>
                <w:rFonts w:cs="Calibri"/>
                <w:lang w:val="cs-CZ" w:eastAsia="cs-CZ"/>
              </w:rPr>
            </w:pPr>
            <w:hyperlink r:id="rId80" w:history="1">
              <w:r w:rsidR="0089670B" w:rsidRPr="008B53A9">
                <w:rPr>
                  <w:rStyle w:val="Hypertextovodkaz"/>
                  <w:rFonts w:cs="Calibri"/>
                  <w:color w:val="auto"/>
                  <w:u w:val="none"/>
                  <w:lang w:val="cs-CZ" w:eastAsia="cs-CZ"/>
                </w:rPr>
                <w:t>http://www.mpo.cz/assets/cz/e-komunikace-a-posta/Internet/2013/4/Digi_esko_v.2.0.pdf</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81" w:history="1">
              <w:r w:rsidR="0089670B" w:rsidRPr="008B53A9">
                <w:rPr>
                  <w:rStyle w:val="Hypertextovodkaz"/>
                  <w:rFonts w:cs="Calibri"/>
                  <w:color w:val="auto"/>
                  <w:u w:val="none"/>
                  <w:lang w:val="cs-CZ" w:eastAsia="cs-CZ"/>
                </w:rPr>
                <w:t>http://www.mpo.cz/dokument119071.html</w:t>
              </w:r>
            </w:hyperlink>
          </w:p>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Opatření jsou obsažena v dokumentu: </w:t>
            </w:r>
            <w:r w:rsidRPr="008B53A9">
              <w:rPr>
                <w:rFonts w:cs="Calibri"/>
                <w:lang w:val="cs-CZ" w:eastAsia="cs-CZ"/>
              </w:rPr>
              <w:br/>
              <w:t>1. Státní politika v elektronických komunikacích - Digitální Česko,</w:t>
            </w:r>
          </w:p>
          <w:p w:rsidR="0089670B" w:rsidRPr="008B53A9" w:rsidRDefault="0089670B" w:rsidP="00142A82">
            <w:pPr>
              <w:pStyle w:val="Tabulka"/>
              <w:jc w:val="left"/>
              <w:rPr>
                <w:rFonts w:cs="Calibri"/>
                <w:lang w:val="cs-CZ" w:eastAsia="cs-CZ"/>
              </w:rPr>
            </w:pPr>
            <w:r w:rsidRPr="008B53A9">
              <w:rPr>
                <w:rFonts w:cs="Calibri"/>
                <w:lang w:val="cs-CZ" w:eastAsia="cs-CZ"/>
              </w:rPr>
              <w:t>2."Digitální Česko 2.0 - Cesta k digitální ekonomice"</w:t>
            </w:r>
          </w:p>
          <w:p w:rsidR="0089670B" w:rsidRPr="008B53A9" w:rsidRDefault="0089670B" w:rsidP="00142A82">
            <w:pPr>
              <w:pStyle w:val="Tabulka"/>
              <w:jc w:val="left"/>
              <w:rPr>
                <w:rFonts w:cs="Calibri"/>
                <w:lang w:val="cs-CZ" w:eastAsia="cs-CZ"/>
              </w:rPr>
            </w:pPr>
            <w:r w:rsidRPr="008B53A9">
              <w:rPr>
                <w:rFonts w:cs="Calibri"/>
                <w:lang w:val="cs-CZ" w:eastAsia="cs-CZ"/>
              </w:rPr>
              <w:t>3. Koncepce podpory malých a středních podnikatelů na období let 2014 – 2020,</w:t>
            </w:r>
          </w:p>
          <w:p w:rsidR="0089670B" w:rsidRPr="008B53A9" w:rsidRDefault="0089670B" w:rsidP="00142A82">
            <w:pPr>
              <w:pStyle w:val="Tabulka"/>
              <w:jc w:val="left"/>
              <w:rPr>
                <w:rFonts w:cs="Calibri"/>
                <w:lang w:val="cs-CZ" w:eastAsia="cs-CZ"/>
              </w:rPr>
            </w:pPr>
            <w:r w:rsidRPr="008B53A9">
              <w:rPr>
                <w:rFonts w:cs="Calibri"/>
                <w:lang w:val="cs-CZ" w:eastAsia="cs-CZ"/>
              </w:rPr>
              <w:t>Průběžně se vyhodnocuje implementace programu ICT a strategické služby (program podpory OPPI).</w:t>
            </w:r>
          </w:p>
          <w:p w:rsidR="0089670B" w:rsidRPr="008B53A9" w:rsidRDefault="0089670B" w:rsidP="00142A82">
            <w:pPr>
              <w:pStyle w:val="Tabulka"/>
              <w:jc w:val="left"/>
              <w:rPr>
                <w:rFonts w:cs="Calibri"/>
                <w:lang w:val="cs-CZ" w:eastAsia="cs-CZ"/>
              </w:rPr>
            </w:pPr>
            <w:r w:rsidRPr="008B53A9">
              <w:rPr>
                <w:rFonts w:cs="Calibri"/>
                <w:lang w:val="cs-CZ" w:eastAsia="cs-CZ"/>
              </w:rPr>
              <w:t>Z pohledu intervencí OP PIK je strategický rámec vytvořen.</w:t>
            </w:r>
          </w:p>
          <w:p w:rsidR="0089670B" w:rsidRPr="008B53A9" w:rsidRDefault="0089670B" w:rsidP="00142A82">
            <w:pPr>
              <w:pStyle w:val="Tabulka"/>
              <w:jc w:val="left"/>
              <w:rPr>
                <w:rFonts w:cs="Calibri"/>
                <w:lang w:val="cs-CZ" w:eastAsia="cs-CZ"/>
              </w:rPr>
            </w:pPr>
            <w:r w:rsidRPr="008B53A9">
              <w:rPr>
                <w:rFonts w:cs="Calibri"/>
                <w:lang w:val="cs-CZ" w:eastAsia="cs-CZ"/>
              </w:rPr>
              <w:t>Strategický rámec bude dotvořen také Národní strategií inteligentní specializace (RIS3) (blíže viz podmínka 1.1).</w:t>
            </w:r>
          </w:p>
          <w:p w:rsidR="0089670B" w:rsidRPr="008B53A9" w:rsidRDefault="0089670B" w:rsidP="00142A82">
            <w:pPr>
              <w:pStyle w:val="Tabulka"/>
              <w:jc w:val="left"/>
              <w:rPr>
                <w:rFonts w:cs="Calibri"/>
                <w:lang w:val="cs-CZ" w:eastAsia="cs-CZ"/>
              </w:rPr>
            </w:pPr>
            <w:r w:rsidRPr="008B53A9">
              <w:rPr>
                <w:rFonts w:cs="Calibri"/>
                <w:lang w:val="cs-CZ" w:eastAsia="cs-CZ"/>
              </w:rPr>
              <w:t>Byl zpracován akční plán ke splnění podmínky.</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 sestavování rozpočtu a stanovování pořadí důležitosti opatření prostřednictvím </w:t>
            </w:r>
            <w:r w:rsidRPr="008B53A9">
              <w:rPr>
                <w:rFonts w:cs="Calibri"/>
                <w:lang w:val="cs-CZ" w:eastAsia="cs-CZ"/>
              </w:rPr>
              <w:lastRenderedPageBreak/>
              <w:t>SWOT nebo podobné analýzy provedené v souladu se srovnávacím přehledem Digitální agendy pro Evropu,</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 xml:space="preserve"> ano</w:t>
            </w:r>
          </w:p>
        </w:tc>
        <w:tc>
          <w:tcPr>
            <w:tcW w:w="2126" w:type="dxa"/>
            <w:shd w:val="clear" w:color="auto" w:fill="auto"/>
          </w:tcPr>
          <w:p w:rsidR="0089670B" w:rsidRPr="008B53A9" w:rsidRDefault="008B53A9" w:rsidP="00142A82">
            <w:pPr>
              <w:pStyle w:val="Tabulka"/>
              <w:jc w:val="left"/>
              <w:rPr>
                <w:rFonts w:cs="Calibri"/>
                <w:lang w:val="cs-CZ" w:eastAsia="cs-CZ"/>
              </w:rPr>
            </w:pPr>
            <w:hyperlink r:id="rId82" w:history="1">
              <w:r w:rsidR="0089670B" w:rsidRPr="008B53A9">
                <w:rPr>
                  <w:rStyle w:val="Hypertextovodkaz"/>
                  <w:rFonts w:cs="Calibri"/>
                  <w:color w:val="auto"/>
                  <w:u w:val="none"/>
                  <w:lang w:val="cs-CZ" w:eastAsia="cs-CZ"/>
                </w:rPr>
                <w:t>http://www.mpo.cz/assets/cz/e-komunikace-a-posta/Internet/2013/4/Digi_esko_v.2.0.pdf</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83" w:history="1">
              <w:r w:rsidR="0089670B" w:rsidRPr="008B53A9">
                <w:rPr>
                  <w:rStyle w:val="Hypertextovodkaz"/>
                  <w:rFonts w:cs="Calibri"/>
                  <w:color w:val="auto"/>
                  <w:u w:val="none"/>
                  <w:lang w:val="cs-CZ" w:eastAsia="cs-CZ"/>
                </w:rPr>
                <w:t>http://www.mpo.cz/dokument119071.html</w:t>
              </w:r>
            </w:hyperlink>
          </w:p>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 xml:space="preserve">Digitální Česko 2.0 obsahuje hlavní cíle vlády do r. 2020, vč. shrnutí analýz provedených před zpracováním strategie na základě údajů od ČTÚ a ČSÚ. Na základě těchto analýz je Digitální Česko 2 postaveno na 3  pilířích:  podpoře </w:t>
            </w:r>
            <w:r w:rsidRPr="008B53A9">
              <w:rPr>
                <w:rFonts w:cs="Calibri"/>
                <w:lang w:val="cs-CZ" w:eastAsia="cs-CZ"/>
              </w:rPr>
              <w:lastRenderedPageBreak/>
              <w:t>rozvoje vysokorychlostních přístupových sítí k internetu, zvyšování dostupnosti a rozvoj digitálních služeb a posilování digitální gramotnosti a elektronických dovedností uživatelů sítí a služeb. Tyto 3 pilíře jsou stanoveny nadčasově, plně odpovídají smyslu a účelu Digitální agendy pro Evropu a dále jsou rozpracovávány navrženými opatřeními. Proto jsou dále průběžně sledovány stěžejní hospodářské a ekonomické aspekty prostřednictvím pravidelných zpráv ČSÚ viz např. nejnovější:</w:t>
            </w:r>
          </w:p>
          <w:p w:rsidR="0089670B" w:rsidRPr="008B53A9" w:rsidRDefault="0089670B" w:rsidP="00142A82">
            <w:pPr>
              <w:pStyle w:val="Tabulka"/>
              <w:jc w:val="left"/>
              <w:rPr>
                <w:rFonts w:cs="Calibri"/>
                <w:lang w:val="cs-CZ" w:eastAsia="cs-CZ"/>
              </w:rPr>
            </w:pPr>
            <w:r w:rsidRPr="008B53A9">
              <w:rPr>
                <w:rFonts w:cs="Calibri"/>
                <w:lang w:val="cs-CZ" w:eastAsia="cs-CZ"/>
              </w:rPr>
              <w:t xml:space="preserve">Informační a komunikační technologie v podnikatelském sektoru za rok 2013, Informační ekonomika v číslech 2013, Informační společnost v číslech 2013. </w:t>
            </w:r>
          </w:p>
          <w:p w:rsidR="0089670B" w:rsidRPr="008B53A9" w:rsidRDefault="0089670B" w:rsidP="00142A82">
            <w:pPr>
              <w:pStyle w:val="Tabulka"/>
              <w:jc w:val="left"/>
              <w:rPr>
                <w:rFonts w:cs="Calibri"/>
                <w:lang w:val="cs-CZ" w:eastAsia="cs-CZ"/>
              </w:rPr>
            </w:pPr>
            <w:r w:rsidRPr="008B53A9">
              <w:rPr>
                <w:rFonts w:cs="Calibri"/>
                <w:lang w:val="cs-CZ" w:eastAsia="cs-CZ"/>
              </w:rPr>
              <w:t>Koncepce podpory malých a středních podnikatelů 2014 – 2020 obsahuje analýzu sektoru MSP v oblasti ICT.</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měla být provedena analýza vyváženosti podpory poptávky a nabídky informačních a komunikačních technologií (IKT),</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 ano</w:t>
            </w:r>
          </w:p>
        </w:tc>
        <w:tc>
          <w:tcPr>
            <w:tcW w:w="2126" w:type="dxa"/>
            <w:shd w:val="clear" w:color="auto" w:fill="auto"/>
          </w:tcPr>
          <w:p w:rsidR="0089670B" w:rsidRPr="008B53A9" w:rsidRDefault="008B53A9" w:rsidP="00142A82">
            <w:pPr>
              <w:pStyle w:val="Tabulka"/>
              <w:jc w:val="left"/>
              <w:rPr>
                <w:rStyle w:val="Hypertextovodkaz"/>
                <w:rFonts w:cs="Calibri"/>
                <w:color w:val="auto"/>
                <w:u w:val="none"/>
                <w:lang w:val="cs-CZ" w:eastAsia="cs-CZ"/>
              </w:rPr>
            </w:pPr>
            <w:hyperlink r:id="rId84" w:history="1">
              <w:r w:rsidR="0089670B" w:rsidRPr="008B53A9">
                <w:rPr>
                  <w:rStyle w:val="Hypertextovodkaz"/>
                  <w:rFonts w:cs="Calibri"/>
                  <w:color w:val="auto"/>
                  <w:u w:val="none"/>
                  <w:lang w:val="cs-CZ" w:eastAsia="cs-CZ"/>
                </w:rPr>
                <w:t>http://www.mpo.cz/dokument83642.html</w:t>
              </w:r>
            </w:hyperlink>
          </w:p>
          <w:p w:rsidR="0089670B" w:rsidRPr="008B53A9" w:rsidRDefault="0089670B" w:rsidP="00142A82">
            <w:pPr>
              <w:pStyle w:val="Tabulka"/>
              <w:jc w:val="left"/>
              <w:rPr>
                <w:rStyle w:val="Hypertextovodkaz"/>
                <w:rFonts w:cs="Calibri"/>
                <w:color w:val="auto"/>
                <w:u w:val="none"/>
                <w:lang w:val="cs-CZ" w:eastAsia="cs-CZ"/>
              </w:rPr>
            </w:pPr>
          </w:p>
          <w:p w:rsidR="0089670B" w:rsidRPr="008B53A9" w:rsidRDefault="008B53A9" w:rsidP="00142A82">
            <w:pPr>
              <w:pStyle w:val="Tabulka"/>
              <w:jc w:val="left"/>
              <w:rPr>
                <w:rFonts w:cs="Calibri"/>
                <w:lang w:val="cs-CZ" w:eastAsia="cs-CZ"/>
              </w:rPr>
            </w:pPr>
            <w:hyperlink r:id="rId85" w:history="1">
              <w:r w:rsidR="0089670B" w:rsidRPr="008B53A9">
                <w:rPr>
                  <w:rStyle w:val="Hypertextovodkaz"/>
                  <w:rFonts w:cs="Calibri"/>
                  <w:color w:val="auto"/>
                  <w:u w:val="none"/>
                  <w:lang w:val="cs-CZ" w:eastAsia="cs-CZ"/>
                </w:rPr>
                <w:t>http://www.mpo.cz/assets/cz/e-komunikace-a-posta/Internet/2013/4/Digi_esko_v.2.0.pdf</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86" w:history="1">
              <w:r w:rsidR="0089670B" w:rsidRPr="008B53A9">
                <w:rPr>
                  <w:rStyle w:val="Hypertextovodkaz"/>
                  <w:rFonts w:cs="Calibri"/>
                  <w:color w:val="auto"/>
                  <w:u w:val="none"/>
                  <w:lang w:val="cs-CZ" w:eastAsia="cs-CZ"/>
                </w:rPr>
                <w:t>http://www.mpo.cz/dokument119071.html</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Stěžejním cílem Strategie Digitální Česko je redukovat „digitální propast“ v oblasti přístupu k vysokorychlostnímu internetu mezi venkovskými sídly a městy. Digitální Česko 2 obsahuje vyhodnocení stávající nabídky dostupnosti vysokorychlostního přístupu k internetu a nutnosti její podpory. Digitální Česko 2 obsahuje výběr socioekonomických a jiných analýz zejména ze zpráv ČSÚ. Výsledkem těchto analýz bylo stanovení hlavních cílů vlády, které lze jednoduše vyjádřit třemi výše zmíněnými klíčovými pilíři. Koncepce podpory malých a středních </w:t>
            </w:r>
            <w:r w:rsidRPr="008B53A9">
              <w:rPr>
                <w:rFonts w:cs="Calibri"/>
                <w:lang w:val="cs-CZ" w:eastAsia="cs-CZ"/>
              </w:rPr>
              <w:lastRenderedPageBreak/>
              <w:t>podnikatelů na období let 2014 – 2020 obsahuje analýzu nezbytnosti podpory ICT pro růst MSP.</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ukazatele umožňující měření pokroku zásahů v oblastech, jako jsou počítačová gramotnost, digitální začlenění, digitální přístupnost  a pokrok v elektronickém zdravotnictví v mezích článku 168 SFEU, jež jsou v souladu  se stávajícími příslušnými unijními, vnitrostátními nebo regionálními strategiemi pro jednotlivá odvětví,</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B53A9" w:rsidP="00142A82">
            <w:pPr>
              <w:pStyle w:val="Tabulka"/>
              <w:jc w:val="left"/>
              <w:rPr>
                <w:rFonts w:cs="Calibri"/>
                <w:lang w:val="cs-CZ" w:eastAsia="cs-CZ"/>
              </w:rPr>
            </w:pPr>
            <w:hyperlink r:id="rId87" w:history="1">
              <w:r w:rsidR="0089670B" w:rsidRPr="008B53A9">
                <w:rPr>
                  <w:rStyle w:val="Hypertextovodkaz"/>
                  <w:rFonts w:cs="Calibri"/>
                  <w:color w:val="auto"/>
                  <w:u w:val="none"/>
                  <w:lang w:val="cs-CZ" w:eastAsia="cs-CZ"/>
                </w:rPr>
                <w:t>http://www.mpo.cz/assets/cz/e-komunikace-a-posta/Internet/2013/4/Digi_esko_v.2.0.pdf</w:t>
              </w:r>
            </w:hyperlink>
          </w:p>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Oblast je součástí Digitálního Česka 2.0 v kapitole 5.6. Digitální gramotnost, elektronické dovednosti (e-skills). </w:t>
            </w:r>
          </w:p>
          <w:p w:rsidR="0089670B" w:rsidRPr="008B53A9" w:rsidRDefault="0089670B" w:rsidP="00142A82">
            <w:pPr>
              <w:pStyle w:val="Tabulka"/>
              <w:jc w:val="left"/>
              <w:rPr>
                <w:rFonts w:cs="Calibri"/>
                <w:lang w:val="cs-CZ" w:eastAsia="cs-CZ"/>
              </w:rPr>
            </w:pPr>
            <w:r w:rsidRPr="008B53A9">
              <w:rPr>
                <w:rFonts w:cs="Calibri"/>
                <w:lang w:val="cs-CZ" w:eastAsia="cs-CZ"/>
              </w:rPr>
              <w:t>Tato oblast je naplňována opatřením – vytvořením a realizací Strategie pro zvýšení digitální gramotnosti a rozvoj elektronických dovedností občanů vznikne v gesci MPSV a MŠMT. Přípravy byly zahájeny v prvním kvartálu roku 2014, přičemž následné projednání a schválení je plánováno do konce 2 Q. roku 2015.</w:t>
            </w:r>
          </w:p>
          <w:p w:rsidR="0089670B" w:rsidRPr="008B53A9" w:rsidRDefault="0089670B" w:rsidP="00142A82">
            <w:pPr>
              <w:pStyle w:val="Tabulka"/>
              <w:jc w:val="left"/>
              <w:rPr>
                <w:rFonts w:cs="Calibri"/>
                <w:lang w:val="cs-CZ" w:eastAsia="cs-CZ"/>
              </w:rPr>
            </w:pPr>
            <w:r w:rsidRPr="008B53A9">
              <w:rPr>
                <w:rFonts w:cs="Calibri"/>
                <w:lang w:val="cs-CZ" w:eastAsia="cs-CZ"/>
              </w:rPr>
              <w:t>Součástí této strategie budou ukazatele umožňující měření pokroku zásahů v oblasti počítačové gramotnosti a digitálního začlenění.</w:t>
            </w:r>
          </w:p>
          <w:p w:rsidR="00910540" w:rsidRPr="008B53A9" w:rsidRDefault="00910540" w:rsidP="00142A82">
            <w:pPr>
              <w:pStyle w:val="Tabulka"/>
              <w:jc w:val="left"/>
              <w:rPr>
                <w:rFonts w:cs="Calibri"/>
                <w:lang w:val="cs-CZ" w:eastAsia="cs-CZ"/>
              </w:rPr>
            </w:pPr>
            <w:r w:rsidRPr="008B53A9">
              <w:rPr>
                <w:rFonts w:cs="Calibri"/>
                <w:lang w:val="cs-CZ" w:eastAsia="cs-CZ"/>
              </w:rPr>
              <w:t>Rozvoj digitální gramotnosti občanů je také řešen v národní S3 Strategii. Na základě budoucí aktualizace priorit v jednotlivých krajích se tato oblast může stát součástí krajské přílohy pro konkrétní kraj.</w:t>
            </w:r>
          </w:p>
          <w:p w:rsidR="0089670B" w:rsidRPr="008B53A9" w:rsidRDefault="0089670B" w:rsidP="00142A82">
            <w:pPr>
              <w:pStyle w:val="Tabulka"/>
              <w:jc w:val="left"/>
              <w:rPr>
                <w:rFonts w:cs="Calibri"/>
                <w:lang w:val="cs-CZ" w:eastAsia="cs-CZ"/>
              </w:rPr>
            </w:pPr>
            <w:r w:rsidRPr="008B53A9">
              <w:rPr>
                <w:rFonts w:cs="Calibri"/>
                <w:lang w:val="cs-CZ" w:eastAsia="cs-CZ"/>
              </w:rPr>
              <w:t>Nerelevantní pro MPO, neboť investiční priorita c) v rámci tematického cíle 2 nebude součástí OP PIK.</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posouzení potřeb zvýšit budování kapacit v oblasti IKT.</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 ano</w:t>
            </w:r>
          </w:p>
        </w:tc>
        <w:tc>
          <w:tcPr>
            <w:tcW w:w="2126" w:type="dxa"/>
            <w:shd w:val="clear" w:color="auto" w:fill="auto"/>
          </w:tcPr>
          <w:p w:rsidR="0089670B" w:rsidRPr="008B53A9" w:rsidRDefault="008B53A9" w:rsidP="00142A82">
            <w:pPr>
              <w:pStyle w:val="Tabulka"/>
              <w:jc w:val="left"/>
              <w:rPr>
                <w:rFonts w:cs="Calibri"/>
                <w:lang w:val="cs-CZ" w:eastAsia="cs-CZ"/>
              </w:rPr>
            </w:pPr>
            <w:hyperlink r:id="rId88" w:history="1">
              <w:r w:rsidR="0089670B" w:rsidRPr="008B53A9">
                <w:rPr>
                  <w:rStyle w:val="Hypertextovodkaz"/>
                  <w:rFonts w:cs="Calibri"/>
                  <w:color w:val="auto"/>
                  <w:u w:val="none"/>
                  <w:lang w:val="cs-CZ" w:eastAsia="cs-CZ"/>
                </w:rPr>
                <w:t>http://www.mpo.cz/assets/cz/e-komunikace-a-posta/Internet/2013/4/Digi_esko_v.2.0.pdf</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89" w:history="1">
              <w:r w:rsidR="0089670B" w:rsidRPr="008B53A9">
                <w:rPr>
                  <w:rStyle w:val="Hypertextovodkaz"/>
                  <w:rFonts w:cs="Calibri"/>
                  <w:color w:val="auto"/>
                  <w:u w:val="none"/>
                  <w:lang w:val="cs-CZ" w:eastAsia="cs-CZ"/>
                </w:rPr>
                <w:t>http://www.mpo.cz/dokument119071.html</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90" w:history="1">
              <w:r w:rsidR="0089670B" w:rsidRPr="008B53A9">
                <w:rPr>
                  <w:rStyle w:val="Hypertextovodkaz"/>
                  <w:rFonts w:cs="Calibri"/>
                  <w:color w:val="auto"/>
                  <w:u w:val="none"/>
                  <w:lang w:val="cs-CZ" w:eastAsia="cs-CZ"/>
                </w:rPr>
                <w:t>http://www.czso.cz/csu/redakce.nsf/i/informacni_ekonomika</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 xml:space="preserve">Oblast je součástí Digitálního Česka 2.0, které upozorňuje na problematické oblasti, zejména s ohledem na regulační rámec služeb a sítí elektronických komunikací. </w:t>
            </w:r>
          </w:p>
          <w:p w:rsidR="0089670B" w:rsidRPr="008B53A9" w:rsidRDefault="0089670B" w:rsidP="00142A82">
            <w:pPr>
              <w:pStyle w:val="Tabulka"/>
              <w:jc w:val="left"/>
              <w:rPr>
                <w:rFonts w:cs="Calibri"/>
                <w:lang w:val="cs-CZ" w:eastAsia="cs-CZ"/>
              </w:rPr>
            </w:pPr>
            <w:r w:rsidRPr="008B53A9">
              <w:rPr>
                <w:rFonts w:cs="Calibri"/>
                <w:lang w:val="cs-CZ" w:eastAsia="cs-CZ"/>
              </w:rPr>
              <w:t xml:space="preserve">Opatření na podporu budování komunikační infrastruktury a dosažení účinné konkurence je třeba doplnit o iniciativy na straně podpory </w:t>
            </w:r>
            <w:r w:rsidRPr="008B53A9">
              <w:rPr>
                <w:rFonts w:cs="Calibri"/>
                <w:lang w:val="cs-CZ" w:eastAsia="cs-CZ"/>
              </w:rPr>
              <w:lastRenderedPageBreak/>
              <w:t>poptávky, které zvýší motivovanost spotřebitelů a podnikatelů využívat komunikační služby, vytvářet nové obchodní modely a začleňovat je do každodenního života. Aktivní roli musí hrát především významné podnikatelské subjekty a stát.</w:t>
            </w:r>
          </w:p>
          <w:p w:rsidR="0089670B" w:rsidRPr="008B53A9" w:rsidRDefault="0089670B" w:rsidP="00142A82">
            <w:pPr>
              <w:pStyle w:val="Tabulka"/>
              <w:jc w:val="left"/>
              <w:rPr>
                <w:rFonts w:cs="Calibri"/>
                <w:lang w:val="cs-CZ" w:eastAsia="cs-CZ"/>
              </w:rPr>
            </w:pPr>
            <w:r w:rsidRPr="008B53A9">
              <w:rPr>
                <w:rFonts w:cs="Calibri"/>
                <w:lang w:val="cs-CZ" w:eastAsia="cs-CZ"/>
              </w:rPr>
              <w:t>Koncepce podpory malých a středních podnikatelů na období let 2014 – 2020 (kapitola 4.9).</w:t>
            </w:r>
          </w:p>
          <w:p w:rsidR="0089670B" w:rsidRPr="008B53A9" w:rsidRDefault="0089670B" w:rsidP="00142A82">
            <w:pPr>
              <w:pStyle w:val="Tabulka"/>
              <w:jc w:val="left"/>
              <w:rPr>
                <w:rFonts w:cs="Calibri"/>
                <w:lang w:val="cs-CZ" w:eastAsia="cs-CZ"/>
              </w:rPr>
            </w:pPr>
            <w:r w:rsidRPr="008B53A9">
              <w:rPr>
                <w:rFonts w:cs="Calibri"/>
                <w:lang w:val="cs-CZ" w:eastAsia="cs-CZ"/>
              </w:rPr>
              <w:t>Stěžejní jsou rovněž každoroční údaje od ČSÚ internetová ekonomika v číslech a Informace o vývoji trhu elektronických komunikací (zpracovává ČTÚ).</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lastRenderedPageBreak/>
              <w:t xml:space="preserve">2.2. Infrastruktura přístupových sítí nové generace: Existence celostátních nebo regionálních plánů přístupových sítí nové generace, které zohledňují regionální opatření k dosažení cílů Unie v oblasti vysokorychlostního přístupu k internetu se </w:t>
            </w:r>
            <w:r w:rsidRPr="008B53A9">
              <w:rPr>
                <w:rFonts w:cs="Calibri"/>
                <w:b/>
                <w:lang w:val="cs-CZ" w:eastAsia="cs-CZ"/>
              </w:rPr>
              <w:lastRenderedPageBreak/>
              <w:t>zaměřením na oblasti, kde trh není schopen poskytovat otevřenou infrastrukturu za dostupnou cenu a v kvalitě v souladu s pravidly Unie  pro hospodářskou soutěž a státní podpory, a poskytují dostupné služby zranitelným skupinám.</w:t>
            </w: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PO 4 - Rozvoj vysokorychlostních přístupových sítí k internetu a informačních a komunikačních technologií</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Je vypracován celostátní nebo regionální plán sítí nové generace (NGN), který obsahuje:</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B53A9" w:rsidP="00142A82">
            <w:pPr>
              <w:pStyle w:val="Tabulka"/>
              <w:jc w:val="left"/>
              <w:rPr>
                <w:rStyle w:val="Hypertextovodkaz"/>
                <w:rFonts w:cs="Calibri"/>
                <w:color w:val="auto"/>
                <w:u w:val="none"/>
                <w:lang w:val="cs-CZ" w:eastAsia="cs-CZ"/>
              </w:rPr>
            </w:pPr>
            <w:hyperlink r:id="rId91" w:history="1">
              <w:r w:rsidR="0089670B" w:rsidRPr="008B53A9">
                <w:rPr>
                  <w:rStyle w:val="Hypertextovodkaz"/>
                  <w:rFonts w:cs="Calibri"/>
                  <w:color w:val="auto"/>
                  <w:u w:val="none"/>
                  <w:lang w:val="cs-CZ" w:eastAsia="cs-CZ"/>
                </w:rPr>
                <w:t>http://www.mpo.cz/dokument83642.html</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92" w:history="1">
              <w:r w:rsidR="0089670B" w:rsidRPr="008B53A9">
                <w:rPr>
                  <w:rStyle w:val="Hypertextovodkaz"/>
                  <w:rFonts w:cs="Calibri"/>
                  <w:color w:val="auto"/>
                  <w:u w:val="none"/>
                  <w:lang w:val="cs-CZ" w:eastAsia="cs-CZ"/>
                </w:rPr>
                <w:t>http://www.mpo.cz/assets/cz/e-komunikace-a-posta/Internet/2013/4/Digi_esko_v.2.0.pdf</w:t>
              </w:r>
            </w:hyperlink>
          </w:p>
          <w:p w:rsidR="0089670B" w:rsidRPr="008B53A9" w:rsidRDefault="0089670B" w:rsidP="00142A82">
            <w:pPr>
              <w:pStyle w:val="Tabulka"/>
              <w:jc w:val="left"/>
              <w:rPr>
                <w:rFonts w:cs="Calibri"/>
                <w:lang w:val="cs-CZ" w:eastAsia="cs-CZ"/>
              </w:rPr>
            </w:pPr>
          </w:p>
          <w:p w:rsidR="0089670B" w:rsidRPr="008B53A9" w:rsidRDefault="008B53A9" w:rsidP="00142A82">
            <w:pPr>
              <w:pStyle w:val="Tabulka"/>
              <w:jc w:val="left"/>
              <w:rPr>
                <w:rFonts w:cs="Calibri"/>
                <w:lang w:val="cs-CZ" w:eastAsia="cs-CZ"/>
              </w:rPr>
            </w:pPr>
            <w:hyperlink r:id="rId93" w:history="1">
              <w:r w:rsidR="0089670B" w:rsidRPr="008B53A9">
                <w:rPr>
                  <w:rStyle w:val="Hypertextovodkaz"/>
                  <w:rFonts w:cs="Calibri"/>
                  <w:color w:val="auto"/>
                  <w:u w:val="none"/>
                  <w:lang w:val="cs-CZ" w:eastAsia="cs-CZ"/>
                </w:rPr>
                <w:t>http://www.mpo.cz/dokument119071.html</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jsou obsažena ve vládou schváleném dokumentu "Státní politika v elektronických komunikacích - Digitální Česko" a dokumentu "Digitální Česko 2.0 - Cesta k digitální ekonomice", který je schválen vládou a dále v Koncepci podpory malých a středních podnikatelů na období let 2014 – 2020. Jak vyplývá z Digitálního Česka 2, pro většinu lokalit ČR se považuje za vhodnou a dlouhodobě perspektivní infrastruktura umožňující vysokorychlostní přístup k internetu, která je založena na kabelové technologii s optickými vlákny.</w:t>
            </w:r>
          </w:p>
          <w:p w:rsidR="0089670B" w:rsidRPr="008B53A9" w:rsidRDefault="0089670B" w:rsidP="00142A82">
            <w:pPr>
              <w:pStyle w:val="Tabulka"/>
              <w:jc w:val="left"/>
              <w:rPr>
                <w:rFonts w:cs="Calibri"/>
                <w:lang w:val="cs-CZ" w:eastAsia="cs-CZ"/>
              </w:rPr>
            </w:pPr>
            <w:r w:rsidRPr="008B53A9">
              <w:rPr>
                <w:rFonts w:cs="Calibri"/>
                <w:lang w:val="cs-CZ" w:eastAsia="cs-CZ"/>
              </w:rPr>
              <w:t xml:space="preserve">Bude zpracován Národní plán rozvoje sítí nové generace, který bude založen na zmíněném Digitálním Česku v. 2.0 a na vyhodnocení mapování infrastruktury pro poskytování vysokorychlostního přístupu k internetu v ČR. </w:t>
            </w:r>
            <w:r w:rsidRPr="008B53A9">
              <w:rPr>
                <w:rFonts w:cs="Calibri"/>
                <w:lang w:val="cs-CZ" w:eastAsia="cs-CZ"/>
              </w:rPr>
              <w:lastRenderedPageBreak/>
              <w:t>Byl zpracován akční plán ke splnění podmínky.</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plán investic do infrastruktury vycházející z ekonomické analýzy a zohledňující stávající soukromou a veřejnou infrastrukturu a plánované investice,</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B53A9" w:rsidP="00142A82">
            <w:pPr>
              <w:pStyle w:val="Tabulka"/>
              <w:jc w:val="left"/>
              <w:rPr>
                <w:rFonts w:cs="Calibri"/>
                <w:lang w:val="cs-CZ" w:eastAsia="cs-CZ"/>
              </w:rPr>
            </w:pPr>
            <w:hyperlink r:id="rId94" w:history="1">
              <w:r w:rsidR="0089670B" w:rsidRPr="008B53A9">
                <w:rPr>
                  <w:rStyle w:val="Hypertextovodkaz"/>
                  <w:rFonts w:cs="Calibri"/>
                  <w:color w:val="auto"/>
                  <w:u w:val="none"/>
                  <w:lang w:val="cs-CZ" w:eastAsia="cs-CZ"/>
                </w:rPr>
                <w:t>http://www.mpo.cz/assets/cz/e-komunikace-a-posta/Internet/2013/4/Digi_esko_v.2.0.pdf</w:t>
              </w:r>
            </w:hyperlink>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Digitální Česko 2.0 je postaveno na 3 pilířích (prioritách), jednou z nich je podpora rozvoje vysokorychlostních přístupových sítí k internetu.</w:t>
            </w:r>
          </w:p>
          <w:p w:rsidR="0089670B" w:rsidRPr="008B53A9" w:rsidRDefault="0089670B" w:rsidP="00142A82">
            <w:pPr>
              <w:pStyle w:val="Tabulka"/>
              <w:jc w:val="left"/>
              <w:rPr>
                <w:rFonts w:cs="Calibri"/>
                <w:lang w:val="cs-CZ" w:eastAsia="cs-CZ"/>
              </w:rPr>
            </w:pPr>
            <w:r w:rsidRPr="008B53A9">
              <w:rPr>
                <w:rFonts w:cs="Calibri"/>
                <w:lang w:val="cs-CZ" w:eastAsia="cs-CZ"/>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p w:rsidR="0089670B" w:rsidRPr="008B53A9" w:rsidRDefault="0089670B" w:rsidP="00142A82">
            <w:pPr>
              <w:pStyle w:val="Tabulka"/>
              <w:jc w:val="left"/>
              <w:rPr>
                <w:rFonts w:cs="Calibri"/>
                <w:lang w:val="cs-CZ" w:eastAsia="cs-CZ"/>
              </w:rPr>
            </w:pPr>
            <w:r w:rsidRPr="008B53A9">
              <w:rPr>
                <w:rFonts w:cs="Calibri"/>
                <w:lang w:val="cs-CZ" w:eastAsia="cs-CZ"/>
              </w:rPr>
              <w:t>V současnosti provádí ČTÚ realizaci a vyhodnocování procesu mapování infrastruktury pro poskytování vysokorychlostního přístupu k internetu. Jeho součástí je i zjišťování záměrů relevantních subjektů z hlediska plánů investovat do budování této infrastruktury. Na základě analýzy výsledku mapování budou případně stanovena další kritéria pro udělování podpory (prioritizace určitých oblastí, výše alokace nebo dotace). Stěžejním indikátorem bude počet domácností, které v konečném důsledku budou mít přístup ke službě vysokorychlostního přístupu k internetu alespoň o rychlosti 30 Mbit/s.</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 modely udržitelných investic, které posilují hospodářskou </w:t>
            </w:r>
            <w:r w:rsidRPr="008B53A9">
              <w:rPr>
                <w:rFonts w:cs="Calibri"/>
                <w:lang w:val="cs-CZ" w:eastAsia="cs-CZ"/>
              </w:rPr>
              <w:lastRenderedPageBreak/>
              <w:t>soutěž a zajišťují přístup k otevřeným, cenově dostupným, kvalitním a progresivním infrastrukturám a službám,</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částečně</w:t>
            </w:r>
          </w:p>
        </w:tc>
        <w:tc>
          <w:tcPr>
            <w:tcW w:w="2126" w:type="dxa"/>
            <w:shd w:val="clear" w:color="auto" w:fill="auto"/>
          </w:tcPr>
          <w:p w:rsidR="0089670B" w:rsidRPr="008B53A9" w:rsidRDefault="008B53A9" w:rsidP="00142A82">
            <w:pPr>
              <w:pStyle w:val="Tabulka"/>
              <w:jc w:val="left"/>
              <w:rPr>
                <w:rFonts w:cs="Calibri"/>
                <w:lang w:val="cs-CZ" w:eastAsia="cs-CZ"/>
              </w:rPr>
            </w:pPr>
            <w:hyperlink r:id="rId95" w:history="1">
              <w:r w:rsidR="0089670B" w:rsidRPr="008B53A9">
                <w:rPr>
                  <w:rStyle w:val="Hypertextovodkaz"/>
                  <w:rFonts w:cs="Calibri"/>
                  <w:color w:val="auto"/>
                  <w:u w:val="none"/>
                  <w:lang w:val="cs-CZ" w:eastAsia="cs-CZ"/>
                </w:rPr>
                <w:t>http://www.mpo.cz/assets/cz/e-komunikace-a-posta/Internet/2013/4/Digi_esko_v.2.0.pdf</w:t>
              </w:r>
            </w:hyperlink>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Digitální Česko 2.0 vyhodnocuje z hlediska vysokorychlostního přístupu k internetu jako problematické oblasti zejména malé obce a lokality s nízkou koncentrací obyvatel, tj. oblasti, ve kterých selhávají tržní mechanizmy.</w:t>
            </w:r>
          </w:p>
          <w:p w:rsidR="0089670B" w:rsidRPr="008B53A9" w:rsidRDefault="0089670B" w:rsidP="00142A82">
            <w:pPr>
              <w:pStyle w:val="Tabulka"/>
              <w:jc w:val="left"/>
              <w:rPr>
                <w:rFonts w:cs="Calibri"/>
                <w:lang w:val="cs-CZ" w:eastAsia="cs-CZ"/>
              </w:rPr>
            </w:pPr>
            <w:r w:rsidRPr="008B53A9">
              <w:rPr>
                <w:rFonts w:cs="Calibri"/>
                <w:lang w:val="cs-CZ" w:eastAsia="cs-CZ"/>
              </w:rPr>
              <w:lastRenderedPageBreak/>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p w:rsidR="0089670B" w:rsidRPr="008B53A9" w:rsidRDefault="0089670B" w:rsidP="00142A82">
            <w:pPr>
              <w:pStyle w:val="Tabulka"/>
              <w:jc w:val="left"/>
              <w:rPr>
                <w:rFonts w:cs="Calibri"/>
                <w:lang w:val="cs-CZ" w:eastAsia="cs-CZ"/>
              </w:rPr>
            </w:pPr>
            <w:r w:rsidRPr="008B53A9">
              <w:rPr>
                <w:rFonts w:cs="Calibri"/>
                <w:lang w:val="cs-CZ" w:eastAsia="cs-CZ"/>
              </w:rPr>
              <w:t>V současnosti  probíhá ze strany ČTÚ realizace a vyhodnocování procesu mapování infrastruktury pro poskytování vysokorychlostního přístupu k internetu v ČR. Lze se domnívat, že ve výsledné studii, která bude vycházet z výsledku mapování, bude stanoven jako výchozí nejvhodnější investiční model „Private design, build and operate“ (viz Guide to Broadband investments).</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opatření k podnícení soukromých investic.</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B53A9" w:rsidP="00142A82">
            <w:pPr>
              <w:pStyle w:val="Tabulka"/>
              <w:jc w:val="left"/>
              <w:rPr>
                <w:rFonts w:cs="Calibri"/>
                <w:lang w:val="cs-CZ" w:eastAsia="cs-CZ"/>
              </w:rPr>
            </w:pPr>
            <w:hyperlink r:id="rId96" w:history="1">
              <w:r w:rsidR="0089670B" w:rsidRPr="008B53A9">
                <w:rPr>
                  <w:rStyle w:val="Hypertextovodkaz"/>
                  <w:rFonts w:cs="Calibri"/>
                  <w:color w:val="auto"/>
                  <w:u w:val="none"/>
                  <w:lang w:val="cs-CZ" w:eastAsia="cs-CZ"/>
                </w:rPr>
                <w:t>http://www.mpo.cz/dokument83642.html</w:t>
              </w:r>
            </w:hyperlink>
          </w:p>
          <w:p w:rsidR="0089670B" w:rsidRPr="008B53A9" w:rsidRDefault="008B53A9" w:rsidP="00142A82">
            <w:pPr>
              <w:pStyle w:val="Tabulka"/>
              <w:jc w:val="left"/>
              <w:rPr>
                <w:rFonts w:cs="Calibri"/>
                <w:lang w:val="cs-CZ" w:eastAsia="cs-CZ"/>
              </w:rPr>
            </w:pPr>
            <w:hyperlink r:id="rId97" w:history="1">
              <w:r w:rsidR="0089670B" w:rsidRPr="008B53A9">
                <w:rPr>
                  <w:rStyle w:val="Hypertextovodkaz"/>
                  <w:rFonts w:cs="Calibri"/>
                  <w:color w:val="auto"/>
                  <w:u w:val="none"/>
                  <w:lang w:val="cs-CZ" w:eastAsia="cs-CZ"/>
                </w:rPr>
                <w:t>http://www.mpo.cz/assets/cz/e-komunikace-a-posta/Internet/2013/4/Digi_esko_v.2.0.pdf</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jsou obsažena ve vládou schváleném dokumentu "Státní politika v elektronických komunikacích - Digitální Česko".</w:t>
            </w:r>
            <w:r w:rsidRPr="008B53A9">
              <w:rPr>
                <w:rFonts w:cs="Calibri"/>
                <w:lang w:val="cs-CZ" w:eastAsia="cs-CZ"/>
              </w:rPr>
              <w:br/>
              <w:t xml:space="preserve">Aktualizovaná Státní politika Digitální Česko 2.0 obsahuje některé nástroje a kroky pro ulehčení soukromých investic do infrastruktury. </w:t>
            </w:r>
          </w:p>
          <w:p w:rsidR="0089670B" w:rsidRPr="008B53A9" w:rsidRDefault="0089670B" w:rsidP="00142A82">
            <w:pPr>
              <w:pStyle w:val="Tabulka"/>
              <w:jc w:val="left"/>
              <w:rPr>
                <w:rFonts w:cs="Calibri"/>
                <w:lang w:val="cs-CZ" w:eastAsia="cs-CZ"/>
              </w:rPr>
            </w:pPr>
            <w:r w:rsidRPr="008B53A9">
              <w:rPr>
                <w:rFonts w:cs="Calibri"/>
                <w:lang w:val="cs-CZ" w:eastAsia="cs-CZ"/>
              </w:rPr>
              <w:t>Bude zpracován Národní plán rozvoje sítí nové generace, který bude založen na zmíněném Digitálním Česku v. 2.0 a na vyhodnocení mapování infrastruktury pro poskytování vysokorychlostního přístupu k internetu v ČR. Byl zpracován akční plán ke splnění podmínky.</w:t>
            </w:r>
          </w:p>
          <w:p w:rsidR="0089670B" w:rsidRPr="008B53A9" w:rsidRDefault="0089670B" w:rsidP="00142A82">
            <w:pPr>
              <w:pStyle w:val="Tabulka"/>
              <w:jc w:val="left"/>
              <w:rPr>
                <w:rFonts w:cs="Calibri"/>
                <w:lang w:val="cs-CZ" w:eastAsia="cs-CZ"/>
              </w:rPr>
            </w:pPr>
            <w:r w:rsidRPr="008B53A9">
              <w:rPr>
                <w:rFonts w:cs="Calibri"/>
                <w:lang w:val="cs-CZ" w:eastAsia="cs-CZ"/>
              </w:rPr>
              <w:t xml:space="preserve">Klíčový je vývoj i na úrovni legislativy EU, proto se musí zohlednit zejména návrh směrnice o opatřeních ke snížení nákladů na zavádění sítí vysokorychlostních elektronických komunikací. Legislativní proces tohoto návrhu směrnice se </w:t>
            </w:r>
            <w:r w:rsidRPr="008B53A9">
              <w:rPr>
                <w:rFonts w:cs="Calibri"/>
                <w:lang w:val="cs-CZ" w:eastAsia="cs-CZ"/>
              </w:rPr>
              <w:lastRenderedPageBreak/>
              <w:t>blíží k závěru, proto se lze domnívat, že implementace této směrnice překoná některá navržená opatření v Digitálním Česku 1 a 2.</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lastRenderedPageBreak/>
              <w:t>3.1. Byla provedena zvláštní opatření, o něž se opírá podpora podnikání, zohledňující „Small Business Act“ (SBA).</w:t>
            </w: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PO 2 - Rozvoj podnikání a konkurenceschopnosti malých a středních podniků</w:t>
            </w: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Zvláštními opatřeními jsou:</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Vládou byla schválena Strategie mezinárodní konkurenceschopnosti (SMK) v r. 2011.</w:t>
            </w:r>
          </w:p>
          <w:p w:rsidR="0089670B" w:rsidRPr="008B53A9" w:rsidRDefault="008B53A9" w:rsidP="00142A82">
            <w:pPr>
              <w:pStyle w:val="Tabulka"/>
              <w:jc w:val="left"/>
              <w:rPr>
                <w:rFonts w:cs="Calibri"/>
                <w:lang w:val="cs-CZ" w:eastAsia="cs-CZ"/>
              </w:rPr>
            </w:pPr>
            <w:hyperlink r:id="rId98" w:history="1">
              <w:r w:rsidR="0089670B" w:rsidRPr="008B53A9">
                <w:rPr>
                  <w:rStyle w:val="Hypertextovodkaz"/>
                  <w:rFonts w:cs="Calibri"/>
                  <w:color w:val="auto"/>
                  <w:u w:val="none"/>
                  <w:lang w:val="cs-CZ" w:eastAsia="cs-CZ"/>
                </w:rPr>
                <w:t>http://www.vlada.cz/assets/media-centrum/aktualne/Strategie-mezinarodni-konkurenceschopnosti-Ceske-republiky.pdf</w:t>
              </w:r>
            </w:hyperlink>
          </w:p>
          <w:p w:rsidR="0089670B" w:rsidRPr="008B53A9" w:rsidRDefault="0089670B" w:rsidP="00142A82">
            <w:pPr>
              <w:pStyle w:val="Tabulka"/>
              <w:jc w:val="left"/>
              <w:rPr>
                <w:rFonts w:cs="Calibri"/>
                <w:lang w:val="cs-CZ" w:eastAsia="cs-CZ"/>
              </w:rPr>
            </w:pPr>
            <w:r w:rsidRPr="008B53A9">
              <w:rPr>
                <w:rFonts w:cs="Calibri"/>
                <w:lang w:val="cs-CZ" w:eastAsia="cs-CZ"/>
              </w:rPr>
              <w:t xml:space="preserve">SMK implementaci opatření vedoucích k naplnění Small Business Act uvádí v projektovém záměru 36. </w:t>
            </w:r>
          </w:p>
          <w:p w:rsidR="0089670B" w:rsidRPr="008B53A9" w:rsidRDefault="0089670B" w:rsidP="00142A82">
            <w:pPr>
              <w:pStyle w:val="Tabulka"/>
              <w:jc w:val="left"/>
              <w:rPr>
                <w:rFonts w:cs="Calibri"/>
                <w:lang w:val="cs-CZ" w:eastAsia="cs-CZ"/>
              </w:rPr>
            </w:pPr>
            <w:r w:rsidRPr="008B53A9">
              <w:rPr>
                <w:rFonts w:cs="Calibri"/>
                <w:lang w:val="cs-CZ" w:eastAsia="cs-CZ"/>
              </w:rPr>
              <w:t>Opatření jsou též součástí Národního programu reforem (2014), kap. 4.2 (NPR neřeší přímo otázku implementace SBA).</w:t>
            </w:r>
          </w:p>
          <w:p w:rsidR="0089670B" w:rsidRPr="008B53A9" w:rsidRDefault="008B53A9" w:rsidP="00142A82">
            <w:pPr>
              <w:pStyle w:val="Tabulka"/>
              <w:jc w:val="left"/>
              <w:rPr>
                <w:rFonts w:cs="Calibri"/>
                <w:lang w:val="cs-CZ" w:eastAsia="cs-CZ"/>
              </w:rPr>
            </w:pPr>
            <w:hyperlink r:id="rId99" w:history="1">
              <w:r w:rsidR="0089670B" w:rsidRPr="008B53A9">
                <w:rPr>
                  <w:rStyle w:val="Hypertextovodkaz"/>
                  <w:rFonts w:cs="Calibri"/>
                  <w:color w:val="auto"/>
                  <w:u w:val="none"/>
                  <w:lang w:val="cs-CZ" w:eastAsia="cs-CZ"/>
                </w:rPr>
                <w:t>http://www.vlada.cz/assets/evropske-zalezitosti/aktualne/NPR-2014.pdf</w:t>
              </w:r>
            </w:hyperlink>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opatření zavedená s cílem zkrátit dobu potřebnou k založení firmy a snížit příslušné náklady, která zohledňují cíle SBA;</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p w:rsidR="0089670B" w:rsidRPr="008B53A9" w:rsidRDefault="0089670B" w:rsidP="00142A82">
            <w:pPr>
              <w:pStyle w:val="Tabulka"/>
              <w:jc w:val="left"/>
              <w:rPr>
                <w:rFonts w:cs="Calibri"/>
                <w:lang w:val="cs-CZ" w:eastAsia="cs-CZ"/>
              </w:rPr>
            </w:pP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Živnostenský zákon:</w:t>
            </w:r>
          </w:p>
          <w:p w:rsidR="0089670B" w:rsidRPr="008B53A9" w:rsidRDefault="00B34243" w:rsidP="00142A82">
            <w:pPr>
              <w:pStyle w:val="Tabulka"/>
              <w:jc w:val="left"/>
              <w:rPr>
                <w:rFonts w:cs="Calibri"/>
                <w:lang w:val="cs-CZ" w:eastAsia="cs-CZ"/>
              </w:rPr>
            </w:pPr>
            <w:r w:rsidRPr="008B53A9">
              <w:rPr>
                <w:rFonts w:cs="Calibri"/>
                <w:lang w:val="cs-CZ" w:eastAsia="cs-CZ"/>
              </w:rPr>
              <w:t>http://www.mpo.cz/dokument144140.html</w:t>
            </w:r>
          </w:p>
          <w:p w:rsidR="0089670B" w:rsidRPr="008B53A9" w:rsidRDefault="0089670B" w:rsidP="00142A82">
            <w:pPr>
              <w:pStyle w:val="Tabulka"/>
              <w:jc w:val="left"/>
              <w:rPr>
                <w:rFonts w:cs="Calibri"/>
                <w:lang w:val="cs-CZ" w:eastAsia="cs-CZ"/>
              </w:rPr>
            </w:pPr>
            <w:r w:rsidRPr="008B53A9">
              <w:rPr>
                <w:rFonts w:cs="Calibri"/>
                <w:lang w:val="cs-CZ" w:eastAsia="cs-CZ"/>
              </w:rPr>
              <w:t>Zákon č.304/2013 Sb., o veřejných rejstřících právnických a fyzických osob platný od 30.9.2013, účinný od 1.1.2014.</w:t>
            </w:r>
          </w:p>
          <w:p w:rsidR="0089670B" w:rsidRPr="008B53A9" w:rsidRDefault="008B53A9" w:rsidP="00142A82">
            <w:pPr>
              <w:pStyle w:val="Tabulka"/>
              <w:jc w:val="left"/>
              <w:rPr>
                <w:rFonts w:cs="Calibri"/>
                <w:lang w:val="cs-CZ" w:eastAsia="cs-CZ"/>
              </w:rPr>
            </w:pPr>
            <w:hyperlink r:id="rId100" w:history="1">
              <w:r w:rsidR="0089670B" w:rsidRPr="008B53A9">
                <w:rPr>
                  <w:rStyle w:val="Hypertextovodkaz"/>
                  <w:rFonts w:cs="Calibri"/>
                  <w:color w:val="auto"/>
                  <w:u w:val="none"/>
                  <w:lang w:val="cs-CZ" w:eastAsia="cs-CZ"/>
                </w:rPr>
                <w:t>http://www.sbirka.cz/POSL4TYD/NOVE/13-304.htm</w:t>
              </w:r>
            </w:hyperlink>
            <w:r w:rsidR="0089670B" w:rsidRPr="008B53A9">
              <w:rPr>
                <w:rFonts w:cs="Calibri"/>
                <w:lang w:val="cs-CZ" w:eastAsia="cs-CZ"/>
              </w:rPr>
              <w:t>)</w:t>
            </w: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Pro oblast živnostenského podnikání (gesce MPO) zákonem č. 130/2008 Sb. došlo ke snížení nákladů na vstup do živnostenského podnikání a zkrátila se doba pro vydání dokladu o vzniku práva podnikat (z 15  na 5 pracovních dní). Oprávnění lze získat při splnění podmínek dle zákona i ve velmi krátké době (několik desítek minut, resp. na počkání). Vstupní náklady činí 1000 Kč. </w:t>
            </w:r>
          </w:p>
          <w:p w:rsidR="0089670B" w:rsidRPr="008B53A9" w:rsidRDefault="0089670B" w:rsidP="00142A82">
            <w:pPr>
              <w:pStyle w:val="Tabulka"/>
              <w:jc w:val="left"/>
              <w:rPr>
                <w:rFonts w:cs="Calibri"/>
                <w:lang w:val="cs-CZ" w:eastAsia="cs-CZ"/>
              </w:rPr>
            </w:pPr>
            <w:r w:rsidRPr="008B53A9">
              <w:rPr>
                <w:rFonts w:cs="Calibri"/>
                <w:lang w:val="cs-CZ" w:eastAsia="cs-CZ"/>
              </w:rPr>
              <w:t>Zákon č. 304/2013 Sb., stanovuje povinnost soudu zapsat společnost do 5 pracovních dní. Současně umožňuje, aby zápis provedl notář. Bude-li mít k dispozici všechny dokumenty, zápis provede během 1 dne.</w:t>
            </w:r>
          </w:p>
          <w:p w:rsidR="0089670B" w:rsidRPr="008B53A9" w:rsidRDefault="0089670B" w:rsidP="00142A82">
            <w:pPr>
              <w:pStyle w:val="Tabulka"/>
              <w:jc w:val="left"/>
              <w:rPr>
                <w:rFonts w:cs="Calibri"/>
                <w:lang w:val="cs-CZ" w:eastAsia="cs-CZ"/>
              </w:rPr>
            </w:pPr>
            <w:r w:rsidRPr="008B53A9">
              <w:rPr>
                <w:rFonts w:cs="Calibri"/>
                <w:lang w:val="cs-CZ" w:eastAsia="cs-CZ"/>
              </w:rPr>
              <w:lastRenderedPageBreak/>
              <w:t>Ministerstvo spravedlnosti připravuje v souladu se zpracovaným akčním plánem legislativní řešení, které sníží soudní poplatek za návrh na zahájení řízení ve věcech veřejného rejstříku za první zápis osoby do veřejného rejstříku, s výjimkou akciové společnosti nebo spolku dle požadavku EK. Legislativní řešení by mělo být v září 2014 předloženo vládě, plánované nabytí účinnosti v listopadu 2016.</w:t>
            </w:r>
          </w:p>
          <w:p w:rsidR="0089670B" w:rsidRPr="008B53A9" w:rsidRDefault="0089670B" w:rsidP="00142A82">
            <w:pPr>
              <w:pStyle w:val="Tabulka"/>
              <w:jc w:val="left"/>
              <w:rPr>
                <w:rFonts w:cs="Calibri"/>
                <w:lang w:val="cs-CZ" w:eastAsia="cs-CZ"/>
              </w:rPr>
            </w:pPr>
            <w:r w:rsidRPr="008B53A9">
              <w:rPr>
                <w:rFonts w:cs="Calibri"/>
                <w:lang w:val="cs-CZ" w:eastAsia="cs-CZ"/>
              </w:rPr>
              <w:t>Viz Příloha č.II.</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opatření zavedená s cílem zkrátit dobu potřebnou k získání licencí a povolení k zahájení a provádění konkrétní činnosti podniku, která zohledňují cíle SBA;</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Živnostenský zákon:</w:t>
            </w:r>
          </w:p>
          <w:p w:rsidR="0089670B" w:rsidRPr="008B53A9" w:rsidRDefault="00B34243" w:rsidP="00B34243">
            <w:pPr>
              <w:pStyle w:val="Tabulka"/>
              <w:jc w:val="left"/>
              <w:rPr>
                <w:rFonts w:cs="Calibri"/>
                <w:lang w:val="cs-CZ" w:eastAsia="cs-CZ"/>
              </w:rPr>
            </w:pPr>
            <w:r w:rsidRPr="008B53A9">
              <w:rPr>
                <w:rFonts w:cs="Calibri"/>
                <w:lang w:val="cs-CZ" w:eastAsia="cs-CZ"/>
              </w:rPr>
              <w:t>http://www.mpo.cz/dokument144140.html</w:t>
            </w: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 oblasti živnostenského podnikání (gesce MPO) při  splnění podmínek zákona může podnikatel od okamžiku ohlášení živnosti již podnikat. Pouze u koncesovaných živností je doba pro vznik oprávnění podnikat delší (cca 1 měsíc od podání žádosti). Zákonem č. 130/2008 Sb. došlo ke snížení nákladů na vstup do živnostenského podnikání a zkrátila se doba pro vydání dokladu o vzniku práva podnikat (z 15 dní na 5 pracovních dní).</w:t>
            </w:r>
          </w:p>
          <w:p w:rsidR="0089670B" w:rsidRPr="008B53A9" w:rsidRDefault="0089670B" w:rsidP="00142A82">
            <w:pPr>
              <w:pStyle w:val="Tabulka"/>
              <w:jc w:val="left"/>
              <w:rPr>
                <w:rFonts w:cs="Calibri"/>
                <w:lang w:val="cs-CZ" w:eastAsia="cs-CZ"/>
              </w:rPr>
            </w:pPr>
            <w:r w:rsidRPr="008B53A9">
              <w:rPr>
                <w:rFonts w:cs="Calibri"/>
                <w:lang w:val="cs-CZ" w:eastAsia="cs-CZ"/>
              </w:rPr>
              <w:t>Podrobněji – viz Příloha č. II.</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  mechanismus zavedený s cílem monitorovat provádění kroků spjatých s SBA, které byly podniknuty a posuzovat dopady právních předpisů na malé a střední </w:t>
            </w:r>
            <w:r w:rsidRPr="008B53A9">
              <w:rPr>
                <w:rFonts w:cs="Calibri"/>
                <w:lang w:val="cs-CZ" w:eastAsia="cs-CZ"/>
              </w:rPr>
              <w:lastRenderedPageBreak/>
              <w:t>podniky</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ano</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Proces RIA:</w:t>
            </w:r>
          </w:p>
          <w:p w:rsidR="0089670B" w:rsidRPr="008B53A9" w:rsidRDefault="008B53A9" w:rsidP="00142A82">
            <w:pPr>
              <w:pStyle w:val="Tabulka"/>
              <w:jc w:val="left"/>
              <w:rPr>
                <w:rFonts w:cs="Calibri"/>
                <w:lang w:val="cs-CZ" w:eastAsia="cs-CZ"/>
              </w:rPr>
            </w:pPr>
            <w:hyperlink r:id="rId101" w:history="1">
              <w:r w:rsidR="0089670B" w:rsidRPr="008B53A9">
                <w:rPr>
                  <w:rStyle w:val="Hypertextovodkaz"/>
                  <w:rFonts w:cs="Calibri"/>
                  <w:color w:val="auto"/>
                  <w:u w:val="none"/>
                  <w:lang w:val="cs-CZ" w:eastAsia="cs-CZ"/>
                </w:rPr>
                <w:t>http://www.vlada.cz/assets/ppov/lrv/ria/metodiky/Uplne-zneni-Obecnych-zasad-_ucinnost-od-1-2--2014_.pdf</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Monitoring implementace SBA bude zajištěn ve formě vypracovávání a hodnocení zpráv o implementaci opatření obsažených v SBA v působnosti jednotlivých resortů, v rámci aktivit národního zmocněnce pro MSP.</w:t>
            </w:r>
          </w:p>
          <w:p w:rsidR="0089670B" w:rsidRPr="008B53A9" w:rsidRDefault="0089670B" w:rsidP="00142A82">
            <w:pPr>
              <w:pStyle w:val="Tabulka"/>
              <w:jc w:val="left"/>
              <w:rPr>
                <w:rFonts w:cs="Calibri"/>
                <w:lang w:val="cs-CZ" w:eastAsia="cs-CZ"/>
              </w:rPr>
            </w:pPr>
            <w:r w:rsidRPr="008B53A9">
              <w:rPr>
                <w:rFonts w:cs="Calibri"/>
                <w:lang w:val="cs-CZ" w:eastAsia="cs-CZ"/>
              </w:rPr>
              <w:t xml:space="preserve">Hodnocení dopadů na podnikatelské prostředí ve vazbě na velikost podnikatelů je obsaženou v hodnocení dopadů regulace (RIA) a je součástí legislativního procesu. </w:t>
            </w:r>
          </w:p>
          <w:p w:rsidR="0089670B" w:rsidRPr="008B53A9" w:rsidRDefault="0089670B" w:rsidP="00142A82">
            <w:pPr>
              <w:pStyle w:val="Tabulka"/>
              <w:jc w:val="left"/>
              <w:rPr>
                <w:rFonts w:cs="Calibri"/>
                <w:lang w:val="cs-CZ" w:eastAsia="cs-CZ"/>
              </w:rPr>
            </w:pPr>
            <w:r w:rsidRPr="008B53A9">
              <w:rPr>
                <w:rFonts w:cs="Calibri"/>
                <w:lang w:val="cs-CZ" w:eastAsia="cs-CZ"/>
              </w:rPr>
              <w:t>Podrobněji – viz Příloha č.II.</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lastRenderedPageBreak/>
              <w:t>4.1. Byla provedena opatření na podporu nákladově efektivního zvyšování energetické účinnosti u koncového uživatele a nákladově efektivních investic do energetické účinnosti při výstavbě a renovaci budov.</w:t>
            </w: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PO 3 - Účinné nakládání energií, rozvoj energetické infrastruktury a obnovitelných zdrojů energie, podpora zavádění nových technologií v oblasti nakládání energií a druhotných surovin</w:t>
            </w: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Těmito opatřeními jsou:</w:t>
            </w:r>
          </w:p>
          <w:p w:rsidR="0089670B" w:rsidRPr="008B53A9" w:rsidRDefault="0089670B" w:rsidP="00142A82">
            <w:pPr>
              <w:pStyle w:val="Tabulka"/>
              <w:jc w:val="left"/>
              <w:rPr>
                <w:rFonts w:cs="Calibri"/>
                <w:lang w:val="cs-CZ" w:eastAsia="cs-CZ"/>
              </w:rPr>
            </w:pPr>
            <w:r w:rsidRPr="008B53A9">
              <w:rPr>
                <w:rFonts w:cs="Calibri"/>
                <w:lang w:val="cs-CZ" w:eastAsia="cs-CZ"/>
              </w:rPr>
              <w:t>Opatření k zajištění minimálních požadavků týkajících se energetické náročnosti budov v souladu s články 3, 4 a 5 směrnice Evropského parlamentu a Rady  2010/31/EU</w:t>
            </w:r>
            <w:r w:rsidRPr="008B53A9">
              <w:rPr>
                <w:rStyle w:val="Znakapoznpodarou"/>
                <w:rFonts w:cs="Calibri"/>
                <w:vertAlign w:val="baseline"/>
                <w:lang w:val="cs-CZ" w:eastAsia="cs-CZ"/>
              </w:rPr>
              <w:footnoteReference w:id="102"/>
            </w:r>
            <w:r w:rsidRPr="008B53A9">
              <w:rPr>
                <w:rFonts w:cs="Calibri"/>
                <w:lang w:val="cs-CZ" w:eastAsia="cs-CZ"/>
              </w:rPr>
              <w:t>,</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B53A9" w:rsidP="00142A82">
            <w:pPr>
              <w:pStyle w:val="Tabulka"/>
              <w:jc w:val="left"/>
              <w:rPr>
                <w:rFonts w:cs="Calibri"/>
                <w:lang w:val="cs-CZ" w:eastAsia="cs-CZ"/>
              </w:rPr>
            </w:pPr>
            <w:hyperlink r:id="rId102" w:anchor="local-content" w:history="1">
              <w:r w:rsidR="0089670B" w:rsidRPr="008B53A9">
                <w:rPr>
                  <w:rStyle w:val="Hypertextovodkaz"/>
                  <w:rFonts w:cs="Calibri"/>
                  <w:color w:val="auto"/>
                  <w:u w:val="none"/>
                  <w:lang w:val="cs-CZ" w:eastAsia="cs-CZ"/>
                </w:rPr>
                <w:t>zákon č. 406/2000 Sb. o hospodaření energií</w:t>
              </w:r>
            </w:hyperlink>
            <w:r w:rsidR="0089670B" w:rsidRPr="008B53A9">
              <w:rPr>
                <w:rFonts w:cs="Calibri"/>
                <w:lang w:val="cs-CZ" w:eastAsia="cs-CZ"/>
              </w:rPr>
              <w:t xml:space="preserve">, konkrétně novela </w:t>
            </w:r>
            <w:hyperlink r:id="rId103" w:anchor="local-content" w:history="1">
              <w:r w:rsidR="0089670B" w:rsidRPr="008B53A9">
                <w:rPr>
                  <w:rStyle w:val="Hypertextovodkaz"/>
                  <w:rFonts w:cs="Calibri"/>
                  <w:color w:val="auto"/>
                  <w:u w:val="none"/>
                  <w:lang w:val="cs-CZ" w:eastAsia="cs-CZ"/>
                </w:rPr>
                <w:t>zákona č. 318/2012 Sb.</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Transpozice směrnice byla provedena implementaci do zákona č. 406/2000 Sb. o hospodaření energií, konkrétně novelou zákona č. 318/2012 Sb. ze dne 24. října 2012.</w:t>
            </w:r>
          </w:p>
          <w:p w:rsidR="0089670B" w:rsidRPr="008B53A9" w:rsidRDefault="0089670B" w:rsidP="00142A82">
            <w:pPr>
              <w:pStyle w:val="Tabulka"/>
              <w:jc w:val="left"/>
              <w:rPr>
                <w:rFonts w:cs="Calibri"/>
                <w:lang w:val="cs-CZ" w:eastAsia="cs-CZ"/>
              </w:rPr>
            </w:pPr>
            <w:r w:rsidRPr="008B53A9">
              <w:rPr>
                <w:rFonts w:cs="Calibri"/>
                <w:lang w:val="cs-CZ" w:eastAsia="cs-CZ"/>
              </w:rPr>
              <w:t>V současné době je s ČR vedeno řízení pro porušení Smlouvy – řízení o nenotifikaci č. 2012/0335 (zahájeno 25. 9. 2012). ČR na formální upozornění odpověděla dne 31. 10. 2012. Dne 18.10.2013 bylo ČR zasláno odůvodněné stanovisko EK. Odpověď ČR na odůvodněné stanovisko byla odeslána 20.12.2013.</w:t>
            </w:r>
          </w:p>
          <w:p w:rsidR="0089670B" w:rsidRPr="008B53A9" w:rsidRDefault="0089670B" w:rsidP="00FE4E79">
            <w:pPr>
              <w:pStyle w:val="Tabulka"/>
              <w:jc w:val="left"/>
              <w:rPr>
                <w:rFonts w:cs="Calibri"/>
                <w:lang w:val="cs-CZ" w:eastAsia="cs-CZ"/>
              </w:rPr>
            </w:pPr>
            <w:r w:rsidRPr="008B53A9">
              <w:rPr>
                <w:rFonts w:cs="Calibri"/>
                <w:lang w:val="cs-CZ" w:eastAsia="cs-CZ"/>
              </w:rPr>
              <w:t xml:space="preserve">MPO zpracovalo akční plán k plnění podmínky a </w:t>
            </w:r>
            <w:r w:rsidR="00FE4E79" w:rsidRPr="008B53A9">
              <w:rPr>
                <w:rFonts w:cs="Calibri"/>
                <w:lang w:val="cs-CZ" w:eastAsia="cs-CZ"/>
              </w:rPr>
              <w:t>zahájilo</w:t>
            </w:r>
            <w:r w:rsidRPr="008B53A9">
              <w:rPr>
                <w:rFonts w:cs="Calibri"/>
                <w:lang w:val="cs-CZ" w:eastAsia="cs-CZ"/>
              </w:rPr>
              <w:t xml:space="preserve"> jednání s EK k řešení případu řízení o porušení Smlouvy. </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nezbytná pro zavedení systému certifikace energetické náročnosti budov v souladu s článkem 11 směrnice 2010/31/EU,</w:t>
            </w:r>
          </w:p>
        </w:tc>
        <w:tc>
          <w:tcPr>
            <w:tcW w:w="1134" w:type="dxa"/>
            <w:shd w:val="clear" w:color="auto" w:fill="auto"/>
          </w:tcPr>
          <w:p w:rsidR="0089670B" w:rsidRPr="008B53A9" w:rsidRDefault="007F125E" w:rsidP="00142A82">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B53A9" w:rsidP="00142A82">
            <w:pPr>
              <w:pStyle w:val="Tabulka"/>
              <w:jc w:val="left"/>
              <w:rPr>
                <w:rFonts w:cs="Calibri"/>
                <w:lang w:val="cs-CZ" w:eastAsia="cs-CZ"/>
              </w:rPr>
            </w:pPr>
            <w:hyperlink r:id="rId104" w:anchor="local-content" w:history="1">
              <w:r w:rsidR="0089670B" w:rsidRPr="008B53A9">
                <w:rPr>
                  <w:rStyle w:val="Hypertextovodkaz"/>
                  <w:rFonts w:cs="Calibri"/>
                  <w:color w:val="auto"/>
                  <w:u w:val="none"/>
                  <w:lang w:val="cs-CZ" w:eastAsia="cs-CZ"/>
                </w:rPr>
                <w:t>zákon č. 406/2000 Sb. o hospodaření energií</w:t>
              </w:r>
            </w:hyperlink>
            <w:r w:rsidR="0089670B" w:rsidRPr="008B53A9">
              <w:rPr>
                <w:rFonts w:cs="Calibri"/>
                <w:lang w:val="cs-CZ" w:eastAsia="cs-CZ"/>
              </w:rPr>
              <w:t xml:space="preserve">, konkrétně novela </w:t>
            </w:r>
            <w:hyperlink r:id="rId105" w:anchor="local-content" w:history="1">
              <w:r w:rsidR="0089670B" w:rsidRPr="008B53A9">
                <w:rPr>
                  <w:rStyle w:val="Hypertextovodkaz"/>
                  <w:rFonts w:cs="Calibri"/>
                  <w:color w:val="auto"/>
                  <w:u w:val="none"/>
                  <w:lang w:val="cs-CZ" w:eastAsia="cs-CZ"/>
                </w:rPr>
                <w:t>zákona č. 318/2012 Sb.</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 současné době je s ČR vedeno řízení pro porušení Smlouvy – řízení o nenotifikaci č. 2012/0335 (zahájeno 25. 9. 2012). ČR na formální upozornění odpověděla dne 31. 10. 2012 (viz též výše). Dne 18.10.2013 bylo ČR zasláno odůvodněné stanovisko EK.   Odpověď ČR na odůvodněné stanovisko byla odeslána 20.12.2013.</w:t>
            </w:r>
          </w:p>
          <w:p w:rsidR="0089670B" w:rsidRPr="008B53A9" w:rsidRDefault="0089670B" w:rsidP="00142A82">
            <w:pPr>
              <w:pStyle w:val="Tabulka"/>
              <w:jc w:val="left"/>
              <w:rPr>
                <w:rFonts w:cs="Calibri"/>
                <w:lang w:val="cs-CZ" w:eastAsia="cs-CZ"/>
              </w:rPr>
            </w:pPr>
            <w:r w:rsidRPr="008B53A9">
              <w:rPr>
                <w:rFonts w:cs="Calibri"/>
                <w:lang w:val="cs-CZ" w:eastAsia="cs-CZ"/>
              </w:rPr>
              <w:t>MPO zpracovalo akční plán k plnění podmínky a zahájilo jednání s EK k řešení případu řízení o porušení Smlouvy.</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k zajištění strategického plánování v oblasti energetické účinnosti v souladu s čl. 3 směrnice 2012/27/EU</w:t>
            </w:r>
            <w:r w:rsidRPr="008B53A9">
              <w:rPr>
                <w:rStyle w:val="Znakapoznpodarou"/>
                <w:rFonts w:cs="Calibri"/>
                <w:vertAlign w:val="baseline"/>
                <w:lang w:val="cs-CZ" w:eastAsia="cs-CZ"/>
              </w:rPr>
              <w:footnoteReference w:id="103"/>
            </w:r>
            <w:r w:rsidRPr="008B53A9">
              <w:rPr>
                <w:rFonts w:cs="Calibri"/>
                <w:lang w:val="cs-CZ" w:eastAsia="cs-CZ"/>
              </w:rPr>
              <w:t xml:space="preserve"> </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p w:rsidR="0089670B" w:rsidRPr="008B53A9" w:rsidRDefault="0089670B" w:rsidP="00142A82">
            <w:pPr>
              <w:pStyle w:val="Tabulka"/>
              <w:jc w:val="left"/>
              <w:rPr>
                <w:rFonts w:cs="Calibri"/>
                <w:lang w:val="cs-CZ" w:eastAsia="cs-CZ"/>
              </w:rPr>
            </w:pPr>
          </w:p>
        </w:tc>
        <w:tc>
          <w:tcPr>
            <w:tcW w:w="2126" w:type="dxa"/>
            <w:shd w:val="clear" w:color="auto" w:fill="auto"/>
          </w:tcPr>
          <w:p w:rsidR="0089670B" w:rsidRPr="008B53A9" w:rsidRDefault="008B53A9" w:rsidP="00142A82">
            <w:pPr>
              <w:pStyle w:val="Tabulka"/>
              <w:jc w:val="left"/>
              <w:rPr>
                <w:rStyle w:val="Hypertextovodkaz"/>
                <w:rFonts w:cs="Calibri"/>
                <w:color w:val="auto"/>
                <w:u w:val="none"/>
                <w:lang w:val="cs-CZ" w:eastAsia="cs-CZ"/>
              </w:rPr>
            </w:pPr>
            <w:hyperlink r:id="rId106" w:history="1">
              <w:r w:rsidR="0089670B" w:rsidRPr="008B53A9">
                <w:rPr>
                  <w:rStyle w:val="Hypertextovodkaz"/>
                  <w:rFonts w:cs="Calibri"/>
                  <w:color w:val="auto"/>
                  <w:u w:val="none"/>
                  <w:lang w:val="cs-CZ" w:eastAsia="cs-CZ"/>
                </w:rPr>
                <w:t>1. Zpráva o pokroku v oblasti plnění vnitrostátních cílů energetické účinnosti v ČR</w:t>
              </w:r>
            </w:hyperlink>
          </w:p>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Zpráva byla zaslána Evropské komisi.</w:t>
            </w:r>
          </w:p>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v souladu s článkem 13 směrnice Evropského parlamentu a Rady  2006/32/ES</w:t>
            </w:r>
            <w:r w:rsidRPr="008B53A9">
              <w:rPr>
                <w:rStyle w:val="Znakapoznpodarou"/>
                <w:rFonts w:cs="Calibri"/>
                <w:vertAlign w:val="baseline"/>
                <w:lang w:val="cs-CZ" w:eastAsia="cs-CZ"/>
              </w:rPr>
              <w:footnoteReference w:id="104"/>
            </w:r>
            <w:r w:rsidRPr="008B53A9">
              <w:rPr>
                <w:rFonts w:cs="Calibri"/>
                <w:lang w:val="cs-CZ" w:eastAsia="cs-CZ"/>
              </w:rPr>
              <w:t xml:space="preserve"> zajišťující, aby pokud je to technicky možné, finančně únosné a úměrné potenciálním úsporám energie, byli koneční zákazníci vybaveni individuálními měřiči.</w:t>
            </w:r>
          </w:p>
        </w:tc>
        <w:tc>
          <w:tcPr>
            <w:tcW w:w="1134" w:type="dxa"/>
            <w:shd w:val="clear" w:color="auto" w:fill="auto"/>
          </w:tcPr>
          <w:p w:rsidR="0089670B" w:rsidRPr="008B53A9" w:rsidRDefault="007F125E" w:rsidP="007F125E">
            <w:pPr>
              <w:pStyle w:val="Tabulka"/>
              <w:jc w:val="left"/>
              <w:rPr>
                <w:rFonts w:cs="Calibri"/>
                <w:lang w:val="cs-CZ" w:eastAsia="cs-CZ"/>
              </w:rPr>
            </w:pPr>
            <w:r w:rsidRPr="008B53A9">
              <w:rPr>
                <w:rFonts w:cs="Calibri"/>
                <w:lang w:val="cs-CZ" w:eastAsia="cs-CZ"/>
              </w:rPr>
              <w:t>částečně</w:t>
            </w:r>
          </w:p>
        </w:tc>
        <w:tc>
          <w:tcPr>
            <w:tcW w:w="2126" w:type="dxa"/>
            <w:shd w:val="clear" w:color="auto" w:fill="auto"/>
          </w:tcPr>
          <w:p w:rsidR="0089670B" w:rsidRPr="008B53A9" w:rsidRDefault="008B53A9" w:rsidP="00142A82">
            <w:pPr>
              <w:pStyle w:val="Tabulka"/>
              <w:jc w:val="left"/>
              <w:rPr>
                <w:rFonts w:cs="Calibri"/>
                <w:lang w:val="cs-CZ" w:eastAsia="cs-CZ"/>
              </w:rPr>
            </w:pPr>
            <w:hyperlink r:id="rId107" w:anchor="local-content" w:history="1">
              <w:r w:rsidR="0089670B" w:rsidRPr="008B53A9">
                <w:rPr>
                  <w:rStyle w:val="Hypertextovodkaz"/>
                  <w:rFonts w:cs="Calibri"/>
                  <w:color w:val="auto"/>
                  <w:u w:val="none"/>
                  <w:lang w:val="cs-CZ" w:eastAsia="cs-CZ"/>
                </w:rPr>
                <w:t>zákon č. 406/2000 Sb. o hospodaření energií</w:t>
              </w:r>
            </w:hyperlink>
            <w:r w:rsidR="0089670B" w:rsidRPr="008B53A9">
              <w:rPr>
                <w:rFonts w:cs="Calibri"/>
                <w:lang w:val="cs-CZ" w:eastAsia="cs-CZ"/>
              </w:rPr>
              <w:t xml:space="preserve"> a </w:t>
            </w:r>
            <w:hyperlink r:id="rId108" w:anchor="local-content" w:history="1">
              <w:r w:rsidR="0089670B" w:rsidRPr="008B53A9">
                <w:rPr>
                  <w:rStyle w:val="Hypertextovodkaz"/>
                  <w:rFonts w:cs="Calibri"/>
                  <w:color w:val="auto"/>
                  <w:u w:val="none"/>
                  <w:lang w:val="cs-CZ" w:eastAsia="cs-CZ"/>
                </w:rPr>
                <w:t>zákon č. 458/2000 Sb.</w:t>
              </w:r>
            </w:hyperlink>
            <w:r w:rsidR="0089670B" w:rsidRPr="008B53A9">
              <w:rPr>
                <w:rFonts w:cs="Calibri"/>
                <w:lang w:val="cs-CZ" w:eastAsia="cs-CZ"/>
              </w:rPr>
              <w:t xml:space="preserve"> a jeho </w:t>
            </w:r>
            <w:hyperlink r:id="rId109" w:history="1">
              <w:r w:rsidR="0089670B" w:rsidRPr="008B53A9">
                <w:rPr>
                  <w:rStyle w:val="Hypertextovodkaz"/>
                  <w:rFonts w:cs="Calibri"/>
                  <w:color w:val="auto"/>
                  <w:u w:val="none"/>
                  <w:lang w:val="cs-CZ" w:eastAsia="cs-CZ"/>
                </w:rPr>
                <w:t>prováděcí vyhlášky</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 současné době je s ČR vedeno řízení pro porušení Smlouvy – věcné řízení z důvodu namítané nesprávné transpozice čl. 13  směrnice 2006/32/ES (směrnice o energetické účinnosti u konečného uživatele a o energetických službách), které bylo zahájeno 22.3.2013 (řízení č. 2013/4007). Řízení je ve fázi odůvodněného stanoviska,  odpověď ČR na odůvodněné stanovisko byla zaslána EK dne 27.3.2014..</w:t>
            </w:r>
          </w:p>
          <w:p w:rsidR="0089670B" w:rsidRPr="008B53A9" w:rsidRDefault="0089670B" w:rsidP="00142A82">
            <w:pPr>
              <w:pStyle w:val="Tabulka"/>
              <w:jc w:val="left"/>
              <w:rPr>
                <w:rFonts w:cs="Calibri"/>
                <w:lang w:val="cs-CZ" w:eastAsia="cs-CZ"/>
              </w:rPr>
            </w:pPr>
            <w:r w:rsidRPr="008B53A9">
              <w:rPr>
                <w:rFonts w:cs="Calibri"/>
                <w:lang w:val="cs-CZ" w:eastAsia="cs-CZ"/>
              </w:rPr>
              <w:t>MPO zpracovalo akční plán k plnění podmínky a zahájilo jednání s EK k řešení případu řízení o porušení Smlouvy.</w:t>
            </w:r>
          </w:p>
          <w:p w:rsidR="0089670B" w:rsidRPr="008B53A9" w:rsidRDefault="0089670B" w:rsidP="00142A82">
            <w:pPr>
              <w:pStyle w:val="Tabulka"/>
              <w:jc w:val="left"/>
              <w:rPr>
                <w:rFonts w:cs="Calibri"/>
                <w:lang w:val="cs-CZ" w:eastAsia="cs-CZ"/>
              </w:rPr>
            </w:pPr>
          </w:p>
        </w:tc>
      </w:tr>
      <w:tr w:rsidR="0089670B" w:rsidRPr="008B53A9">
        <w:tc>
          <w:tcPr>
            <w:tcW w:w="1752" w:type="dxa"/>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t xml:space="preserve">4.2. Byla provedena </w:t>
            </w:r>
            <w:r w:rsidRPr="008B53A9">
              <w:rPr>
                <w:rFonts w:cs="Calibri"/>
                <w:b/>
                <w:lang w:val="cs-CZ" w:eastAsia="cs-CZ"/>
              </w:rPr>
              <w:lastRenderedPageBreak/>
              <w:t>opatření na podporu vysoce účinné kombinované výroby tepla a elektřiny.</w:t>
            </w:r>
          </w:p>
        </w:tc>
        <w:tc>
          <w:tcPr>
            <w:tcW w:w="1701"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 xml:space="preserve">PO 3 - Účinné nakládání energií, </w:t>
            </w:r>
            <w:r w:rsidRPr="008B53A9">
              <w:rPr>
                <w:rFonts w:cs="Calibri"/>
                <w:lang w:val="cs-CZ" w:eastAsia="cs-CZ"/>
              </w:rPr>
              <w:lastRenderedPageBreak/>
              <w:t>rozvoj energetické infrastruktury a obnovitelných zdrojů energie, podpora zavádění nových technologií v oblasti nakládání energií a druhotných surovin</w:t>
            </w:r>
          </w:p>
        </w:tc>
        <w:tc>
          <w:tcPr>
            <w:tcW w:w="127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Ano</w:t>
            </w: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Těmito opatřeními </w:t>
            </w:r>
            <w:r w:rsidRPr="008B53A9">
              <w:rPr>
                <w:rFonts w:cs="Calibri"/>
                <w:lang w:val="cs-CZ" w:eastAsia="cs-CZ"/>
              </w:rPr>
              <w:lastRenderedPageBreak/>
              <w:t>jsou:</w:t>
            </w:r>
          </w:p>
          <w:p w:rsidR="0089670B" w:rsidRPr="008B53A9" w:rsidRDefault="0089670B" w:rsidP="00142A82">
            <w:pPr>
              <w:pStyle w:val="Tabulka"/>
              <w:jc w:val="left"/>
              <w:rPr>
                <w:rFonts w:cs="Calibri"/>
                <w:lang w:val="cs-CZ" w:eastAsia="cs-CZ"/>
              </w:rPr>
            </w:pPr>
            <w:r w:rsidRPr="008B53A9">
              <w:rPr>
                <w:rFonts w:cs="Calibri"/>
                <w:lang w:val="cs-CZ" w:eastAsia="cs-CZ"/>
              </w:rPr>
              <w:t>Podpora kombinované výroby tepla a elektřiny je založena na poptávce po užitečném teple a úsporách primární energie v souladu s čl. 7 odst. 1 a čl. 9 odst. 1 písm. a) a b) směrnice 2004/8/ES, členské státy nebo jejich příslušné subjekty posoudily stávající právní a regulační rámec pro postupy schvalování nebo jiné postupy s cílem:</w:t>
            </w:r>
            <w:r w:rsidRPr="008B53A9">
              <w:rPr>
                <w:rFonts w:cs="Calibri"/>
                <w:lang w:val="cs-CZ" w:eastAsia="cs-CZ"/>
              </w:rPr>
              <w:br/>
              <w:t xml:space="preserve">a) podpořit navrhování jednotek pro kombinovanou výrobu tepla a elektřiny s cílem přizpůsobit se z hospodářského hlediska výstupu  opodstatněné poptávky po </w:t>
            </w:r>
            <w:r w:rsidRPr="008B53A9">
              <w:rPr>
                <w:rFonts w:cs="Calibri"/>
                <w:lang w:val="cs-CZ" w:eastAsia="cs-CZ"/>
              </w:rPr>
              <w:lastRenderedPageBreak/>
              <w:t>užitečném teple a zabránit výrobě většího množství tepla než je užitečné teplo;</w:t>
            </w:r>
            <w:r w:rsidRPr="008B53A9">
              <w:rPr>
                <w:rFonts w:cs="Calibri"/>
                <w:lang w:val="cs-CZ" w:eastAsia="cs-CZ"/>
              </w:rPr>
              <w:br/>
              <w:t>b) omezit právní a jiné překážky pro zvýšení kombinované výroby tepla a elektřiny.</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110" w:anchor="local-content" w:history="1">
              <w:r w:rsidR="0089670B" w:rsidRPr="008B53A9">
                <w:rPr>
                  <w:rStyle w:val="Hypertextovodkaz"/>
                  <w:rFonts w:cs="Calibri"/>
                  <w:color w:val="auto"/>
                  <w:u w:val="none"/>
                  <w:lang w:val="cs-CZ" w:eastAsia="cs-CZ"/>
                </w:rPr>
                <w:t>zákon č. 406/2000 Sb. o hospodaření energií</w:t>
              </w:r>
            </w:hyperlink>
            <w:r w:rsidR="0089670B" w:rsidRPr="008B53A9">
              <w:rPr>
                <w:rFonts w:cs="Calibri"/>
                <w:lang w:val="cs-CZ" w:eastAsia="cs-CZ"/>
              </w:rPr>
              <w:t xml:space="preserve"> </w:t>
            </w:r>
            <w:r w:rsidR="0089670B" w:rsidRPr="008B53A9">
              <w:rPr>
                <w:rFonts w:cs="Calibri"/>
                <w:lang w:val="cs-CZ" w:eastAsia="cs-CZ"/>
              </w:rPr>
              <w:lastRenderedPageBreak/>
              <w:t xml:space="preserve">a </w:t>
            </w:r>
            <w:hyperlink r:id="rId111" w:anchor="local-content" w:history="1">
              <w:r w:rsidR="0089670B" w:rsidRPr="008B53A9">
                <w:rPr>
                  <w:rStyle w:val="Hypertextovodkaz"/>
                  <w:rFonts w:cs="Calibri"/>
                  <w:color w:val="auto"/>
                  <w:u w:val="none"/>
                  <w:lang w:val="cs-CZ" w:eastAsia="cs-CZ"/>
                </w:rPr>
                <w:t>zákon č. 458/2000 Sb.</w:t>
              </w:r>
            </w:hyperlink>
            <w:r w:rsidR="0089670B" w:rsidRPr="008B53A9">
              <w:rPr>
                <w:rFonts w:cs="Calibri"/>
                <w:lang w:val="cs-CZ" w:eastAsia="cs-CZ"/>
              </w:rPr>
              <w:t xml:space="preserve"> a jeho </w:t>
            </w:r>
            <w:hyperlink r:id="rId112" w:history="1">
              <w:r w:rsidR="0089670B" w:rsidRPr="008B53A9">
                <w:rPr>
                  <w:rStyle w:val="Hypertextovodkaz"/>
                  <w:rFonts w:cs="Calibri"/>
                  <w:color w:val="auto"/>
                  <w:u w:val="none"/>
                  <w:lang w:val="cs-CZ" w:eastAsia="cs-CZ"/>
                </w:rPr>
                <w:t>prováděcí vyhlášky</w:t>
              </w:r>
            </w:hyperlink>
          </w:p>
        </w:tc>
        <w:tc>
          <w:tcPr>
            <w:tcW w:w="4394" w:type="dxa"/>
            <w:shd w:val="clear" w:color="auto" w:fill="auto"/>
          </w:tcPr>
          <w:p w:rsidR="0089670B" w:rsidRPr="008B53A9" w:rsidRDefault="0089670B" w:rsidP="00142A82">
            <w:pPr>
              <w:pStyle w:val="Tabulka"/>
              <w:jc w:val="left"/>
              <w:rPr>
                <w:rFonts w:cs="Calibri"/>
                <w:lang w:val="cs-CZ" w:eastAsia="cs-CZ"/>
              </w:rPr>
            </w:pP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lastRenderedPageBreak/>
              <w:t>4.3. Byla provedena opatření na podporu výroby a distribuce energie z obnovitelných zdrojů</w:t>
            </w:r>
            <w:r w:rsidRPr="008B53A9">
              <w:rPr>
                <w:rStyle w:val="Znakapoznpodarou"/>
                <w:rFonts w:cs="Calibri"/>
                <w:b/>
                <w:vertAlign w:val="baseline"/>
                <w:lang w:val="cs-CZ" w:eastAsia="cs-CZ"/>
              </w:rPr>
              <w:footnoteReference w:id="105"/>
            </w:r>
            <w:r w:rsidRPr="008B53A9">
              <w:rPr>
                <w:rFonts w:cs="Calibri"/>
                <w:b/>
                <w:lang w:val="cs-CZ" w:eastAsia="cs-CZ"/>
              </w:rPr>
              <w:t>.</w:t>
            </w:r>
          </w:p>
          <w:p w:rsidR="0089670B" w:rsidRPr="008B53A9" w:rsidRDefault="0089670B" w:rsidP="00142A82">
            <w:pPr>
              <w:pStyle w:val="Tabulka"/>
              <w:jc w:val="left"/>
              <w:rPr>
                <w:rFonts w:cs="Calibri"/>
                <w:b/>
                <w:lang w:val="cs-CZ" w:eastAsia="cs-CZ"/>
              </w:rPr>
            </w:pP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PO 3 - Účinné nakládání energií, rozvoj energetické infrastruktury a obnovitelných zdrojů energie, podpora zavádění nových technologií v oblasti nakládání energií a druhotných surovin</w:t>
            </w:r>
          </w:p>
          <w:p w:rsidR="0089670B" w:rsidRPr="008B53A9" w:rsidRDefault="0089670B" w:rsidP="00142A82">
            <w:pPr>
              <w:pStyle w:val="Tabulka"/>
              <w:jc w:val="left"/>
              <w:rPr>
                <w:rFonts w:cs="Calibri"/>
                <w:lang w:val="cs-CZ" w:eastAsia="cs-CZ"/>
              </w:rPr>
            </w:pPr>
            <w:r w:rsidRPr="008B53A9">
              <w:rPr>
                <w:rFonts w:cs="Calibri"/>
                <w:lang w:val="cs-CZ" w:eastAsia="cs-CZ"/>
              </w:rPr>
              <w:t> </w:t>
            </w: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V souladu s čl. 14 odst. 1, čl. 16 odst. 2 a 3 směrnice Evropského parlamentu a a Rady 2009/28/ES jsou k dispozici transparentní režimy podpory, přednostní přístup k distribuční soustavě či zaručený přístup a přednost při spouštění zařízení, jakož i jednotná pravidla pro </w:t>
            </w:r>
            <w:r w:rsidRPr="008B53A9">
              <w:rPr>
                <w:rFonts w:cs="Calibri"/>
                <w:lang w:val="cs-CZ" w:eastAsia="cs-CZ"/>
              </w:rPr>
              <w:lastRenderedPageBreak/>
              <w:t>hrazení a sdílení nákladů na technické úpravy, jež byla zveřejněna.</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113" w:anchor="local-content" w:history="1">
              <w:r w:rsidR="0089670B" w:rsidRPr="008B53A9">
                <w:rPr>
                  <w:rStyle w:val="Hypertextovodkaz"/>
                  <w:rFonts w:cs="Calibri"/>
                  <w:color w:val="auto"/>
                  <w:u w:val="none"/>
                  <w:lang w:val="cs-CZ" w:eastAsia="cs-CZ"/>
                </w:rPr>
                <w:t>zákon č. 165/2012 Sb., o podporovaných zdrojích energie</w:t>
              </w:r>
            </w:hyperlink>
            <w:r w:rsidR="0089670B" w:rsidRPr="008B53A9">
              <w:rPr>
                <w:rFonts w:cs="Calibri"/>
                <w:lang w:val="cs-CZ" w:eastAsia="cs-CZ"/>
              </w:rPr>
              <w:t xml:space="preserve"> a </w:t>
            </w:r>
            <w:hyperlink r:id="rId114" w:history="1">
              <w:r w:rsidR="0089670B" w:rsidRPr="008B53A9">
                <w:rPr>
                  <w:rStyle w:val="Hypertextovodkaz"/>
                  <w:rFonts w:cs="Calibri"/>
                  <w:color w:val="auto"/>
                  <w:u w:val="none"/>
                  <w:lang w:val="cs-CZ" w:eastAsia="cs-CZ"/>
                </w:rPr>
                <w:t>prováděcí právní předpisy</w:t>
              </w:r>
            </w:hyperlink>
          </w:p>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Členský stát přijal národní akční plán pro energii z obnovitelných zdrojů shodně s článkem 4 směrnice 2009/28/ES.</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 ano</w:t>
            </w:r>
          </w:p>
        </w:tc>
        <w:tc>
          <w:tcPr>
            <w:tcW w:w="2126" w:type="dxa"/>
            <w:shd w:val="clear" w:color="auto" w:fill="auto"/>
          </w:tcPr>
          <w:p w:rsidR="0089670B" w:rsidRPr="008B53A9" w:rsidRDefault="008B53A9" w:rsidP="00142A82">
            <w:pPr>
              <w:pStyle w:val="Tabulka"/>
              <w:jc w:val="left"/>
              <w:rPr>
                <w:rFonts w:cs="Calibri"/>
                <w:lang w:val="cs-CZ" w:eastAsia="cs-CZ"/>
              </w:rPr>
            </w:pPr>
            <w:hyperlink r:id="rId115" w:history="1">
              <w:r w:rsidR="0089670B" w:rsidRPr="008B53A9">
                <w:rPr>
                  <w:rStyle w:val="Hypertextovodkaz"/>
                  <w:rFonts w:cs="Calibri"/>
                  <w:color w:val="auto"/>
                  <w:u w:val="none"/>
                  <w:lang w:val="cs-CZ" w:eastAsia="cs-CZ"/>
                </w:rPr>
                <w:t>Národní akční plán ČR pro energii z obnovitelných zdrojů 2010-2020</w:t>
              </w:r>
            </w:hyperlink>
          </w:p>
        </w:tc>
        <w:tc>
          <w:tcPr>
            <w:tcW w:w="4394" w:type="dxa"/>
            <w:shd w:val="clear" w:color="auto" w:fill="auto"/>
          </w:tcPr>
          <w:p w:rsidR="0089670B" w:rsidRPr="008B53A9" w:rsidRDefault="0089670B" w:rsidP="00142A82">
            <w:pPr>
              <w:pStyle w:val="Tabulka"/>
              <w:jc w:val="left"/>
              <w:rPr>
                <w:rFonts w:cs="Calibri"/>
                <w:lang w:val="cs-CZ" w:eastAsia="cs-CZ"/>
              </w:rPr>
            </w:pP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t>7.4 Rozvoj systémů inteligentní pro distribuci, skladování a přenos energie.</w:t>
            </w:r>
          </w:p>
          <w:p w:rsidR="0089670B" w:rsidRPr="008B53A9" w:rsidRDefault="0089670B" w:rsidP="00142A82">
            <w:pPr>
              <w:pStyle w:val="Tabulka"/>
              <w:jc w:val="left"/>
              <w:rPr>
                <w:rFonts w:cs="Calibri"/>
                <w:b/>
                <w:lang w:val="cs-CZ" w:eastAsia="cs-CZ"/>
              </w:rPr>
            </w:pPr>
            <w:r w:rsidRPr="008B53A9">
              <w:rPr>
                <w:rFonts w:cs="Calibri"/>
                <w:b/>
                <w:lang w:val="cs-CZ" w:eastAsia="cs-CZ"/>
              </w:rPr>
              <w:t xml:space="preserve">Existence komplexních plánů pro investice do inteligentní energetické infrastruktury  a regulačních opatření, která přispívají ke zlepšení energetické </w:t>
            </w:r>
            <w:r w:rsidRPr="008B53A9">
              <w:rPr>
                <w:rFonts w:cs="Calibri"/>
                <w:b/>
                <w:lang w:val="cs-CZ" w:eastAsia="cs-CZ"/>
              </w:rPr>
              <w:lastRenderedPageBreak/>
              <w:t>účinnosti a zabezpečení dodávek.</w:t>
            </w:r>
          </w:p>
          <w:p w:rsidR="0089670B" w:rsidRPr="008B53A9" w:rsidRDefault="0089670B" w:rsidP="00142A82">
            <w:pPr>
              <w:pStyle w:val="Tabulka"/>
              <w:jc w:val="left"/>
              <w:rPr>
                <w:rFonts w:cs="Calibri"/>
                <w:b/>
                <w:lang w:val="cs-CZ" w:eastAsia="cs-CZ"/>
              </w:rPr>
            </w:pP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PO 3 – Účinné nakládání energií, rozvoj energetické infrastruktury a obnovitelných zdrojů energie, podpora zavádění nových technologií v oblasti nakládání energií a druhotných surovin</w:t>
            </w: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Jsou zavedeny komplexní plány popisující priority vnitrostátní energetické infrastruktury:</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p w:rsidR="0089670B" w:rsidRPr="008B53A9" w:rsidRDefault="0089670B" w:rsidP="00142A82">
            <w:pPr>
              <w:pStyle w:val="Tabulka"/>
              <w:jc w:val="left"/>
              <w:rPr>
                <w:rFonts w:cs="Calibri"/>
                <w:lang w:val="cs-CZ" w:eastAsia="cs-CZ"/>
              </w:rPr>
            </w:pP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Energetický zákon (EZ):</w:t>
            </w:r>
          </w:p>
          <w:p w:rsidR="0089670B" w:rsidRPr="008B53A9" w:rsidRDefault="008B53A9" w:rsidP="00142A82">
            <w:pPr>
              <w:pStyle w:val="Tabulka"/>
              <w:jc w:val="left"/>
              <w:rPr>
                <w:rFonts w:cs="Calibri"/>
                <w:lang w:val="cs-CZ" w:eastAsia="cs-CZ"/>
              </w:rPr>
            </w:pPr>
            <w:hyperlink r:id="rId116" w:anchor="local-content" w:history="1">
              <w:r w:rsidR="0089670B" w:rsidRPr="008B53A9">
                <w:rPr>
                  <w:rStyle w:val="Hypertextovodkaz"/>
                  <w:rFonts w:cs="Calibri"/>
                  <w:color w:val="auto"/>
                  <w:u w:val="none"/>
                  <w:lang w:val="cs-CZ" w:eastAsia="cs-CZ"/>
                </w:rPr>
                <w:t>http://portal.gov.cz/app/zakony/zakonPar.jsp?idBiblio=49962&amp;fulltext=&amp;nr=458~2F2000&amp;part=&amp;name=&amp;rpp=15#local-content</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Obecná poznámka: ČR má v případě elektroenergetiky majetkové oddělení provozovatele přenosové soustavy</w:t>
            </w:r>
          </w:p>
        </w:tc>
      </w:tr>
      <w:tr w:rsidR="0089670B" w:rsidRPr="008B53A9">
        <w:tc>
          <w:tcPr>
            <w:tcW w:w="1752" w:type="dxa"/>
            <w:vMerge/>
            <w:shd w:val="clear" w:color="auto" w:fill="auto"/>
          </w:tcPr>
          <w:p w:rsidR="0089670B" w:rsidRPr="008B53A9" w:rsidRDefault="0089670B" w:rsidP="0089670B">
            <w:pPr>
              <w:pStyle w:val="Tabulka"/>
              <w:rPr>
                <w:rFonts w:cs="Calibri"/>
                <w:b/>
                <w:szCs w:val="24"/>
                <w:lang w:val="cs-CZ" w:eastAsia="cs-CZ"/>
              </w:rPr>
            </w:pPr>
          </w:p>
        </w:tc>
        <w:tc>
          <w:tcPr>
            <w:tcW w:w="1701" w:type="dxa"/>
            <w:vMerge/>
            <w:shd w:val="clear" w:color="auto" w:fill="auto"/>
          </w:tcPr>
          <w:p w:rsidR="0089670B" w:rsidRPr="008B53A9" w:rsidRDefault="0089670B" w:rsidP="0089670B">
            <w:pPr>
              <w:pStyle w:val="Tabulka"/>
              <w:rPr>
                <w:rFonts w:cs="Calibri"/>
                <w:szCs w:val="24"/>
                <w:lang w:val="cs-CZ" w:eastAsia="cs-CZ"/>
              </w:rPr>
            </w:pPr>
          </w:p>
        </w:tc>
        <w:tc>
          <w:tcPr>
            <w:tcW w:w="1276" w:type="dxa"/>
            <w:vMerge/>
            <w:shd w:val="clear" w:color="auto" w:fill="auto"/>
          </w:tcPr>
          <w:p w:rsidR="0089670B" w:rsidRPr="008B53A9" w:rsidRDefault="0089670B" w:rsidP="0089670B">
            <w:pPr>
              <w:pStyle w:val="Tabulka"/>
              <w:rPr>
                <w:rFonts w:cs="Calibri"/>
                <w:szCs w:val="24"/>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 souladu s článkem 22 směrnice 2009/72/EC a směrnice 2009/73/EC, nebo</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Style w:val="Hypertextovodkaz"/>
                <w:rFonts w:cs="Calibri"/>
                <w:color w:val="auto"/>
                <w:u w:val="none"/>
                <w:lang w:val="cs-CZ" w:eastAsia="cs-CZ"/>
              </w:rPr>
            </w:pPr>
            <w:r w:rsidRPr="008B53A9">
              <w:rPr>
                <w:rFonts w:eastAsia="Calibri" w:cs="Calibri"/>
                <w:lang w:val="cs-CZ" w:eastAsia="cs-CZ"/>
              </w:rPr>
              <w:fldChar w:fldCharType="begin"/>
            </w:r>
            <w:r w:rsidRPr="008B53A9">
              <w:rPr>
                <w:rFonts w:cs="Calibri"/>
                <w:lang w:val="cs-CZ" w:eastAsia="cs-CZ"/>
              </w:rPr>
              <w:instrText xml:space="preserve"> HYPERLINK "http://portal.gov.cz/app/zakony/zakonPar.jsp?idBiblio=49962&amp;fulltext=&amp;nr=458~2F2000&amp;part=&amp;name=&amp;rpp=15" \l "local-content" </w:instrText>
            </w:r>
            <w:r w:rsidRPr="008B53A9">
              <w:rPr>
                <w:rFonts w:eastAsia="Calibri" w:cs="Calibri"/>
                <w:lang w:val="cs-CZ" w:eastAsia="cs-CZ"/>
              </w:rPr>
              <w:fldChar w:fldCharType="separate"/>
            </w:r>
            <w:r w:rsidRPr="008B53A9">
              <w:rPr>
                <w:rStyle w:val="Hypertextovodkaz"/>
                <w:rFonts w:cs="Calibri"/>
                <w:color w:val="auto"/>
                <w:u w:val="none"/>
                <w:lang w:val="cs-CZ" w:eastAsia="cs-CZ"/>
              </w:rPr>
              <w:t>§ 24 odst. 10 písm. j),</w:t>
            </w:r>
          </w:p>
          <w:p w:rsidR="0089670B" w:rsidRPr="008B53A9" w:rsidRDefault="0089670B" w:rsidP="00142A82">
            <w:pPr>
              <w:pStyle w:val="Tabulka"/>
              <w:jc w:val="left"/>
              <w:rPr>
                <w:rFonts w:cs="Calibri"/>
                <w:lang w:val="cs-CZ" w:eastAsia="cs-CZ"/>
              </w:rPr>
            </w:pPr>
            <w:r w:rsidRPr="008B53A9">
              <w:rPr>
                <w:rStyle w:val="Hypertextovodkaz"/>
                <w:rFonts w:cs="Calibri"/>
                <w:color w:val="auto"/>
                <w:u w:val="none"/>
                <w:lang w:val="cs-CZ" w:eastAsia="cs-CZ"/>
              </w:rPr>
              <w:t>A § 58k odst.(3), (5), § 58l zákona č. 458/2000 Sb.</w:t>
            </w:r>
            <w:r w:rsidRPr="008B53A9">
              <w:rPr>
                <w:rFonts w:cs="Calibri"/>
                <w:lang w:val="cs-CZ" w:eastAsia="cs-CZ"/>
              </w:rPr>
              <w:fldChar w:fldCharType="end"/>
            </w:r>
          </w:p>
          <w:p w:rsidR="0089670B" w:rsidRPr="008B53A9" w:rsidRDefault="0089670B" w:rsidP="00142A82">
            <w:pPr>
              <w:pStyle w:val="Tabulka"/>
              <w:jc w:val="left"/>
              <w:rPr>
                <w:rFonts w:cs="Calibri"/>
                <w:lang w:val="cs-CZ" w:eastAsia="cs-CZ"/>
              </w:rPr>
            </w:pPr>
            <w:r w:rsidRPr="008B53A9">
              <w:rPr>
                <w:rFonts w:cs="Calibri"/>
                <w:lang w:val="cs-CZ" w:eastAsia="cs-CZ"/>
              </w:rPr>
              <w:t>ve znění zákona č. 211/2011 Sb. (dále jen EZ)</w:t>
            </w: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(10) Provozovatel přenosové soustavy je dále povinen</w:t>
            </w:r>
          </w:p>
          <w:p w:rsidR="0089670B" w:rsidRPr="008B53A9" w:rsidRDefault="0089670B" w:rsidP="00142A82">
            <w:pPr>
              <w:pStyle w:val="Tabulka"/>
              <w:jc w:val="left"/>
              <w:rPr>
                <w:rFonts w:cs="Calibri"/>
                <w:lang w:val="cs-CZ" w:eastAsia="cs-CZ"/>
              </w:rPr>
            </w:pPr>
            <w:r w:rsidRPr="008B53A9">
              <w:rPr>
                <w:rFonts w:cs="Calibri"/>
                <w:lang w:val="cs-CZ" w:eastAsia="cs-CZ"/>
              </w:rPr>
              <w:t>j) každoročně zpracovávat plán rozvoje přenosové soustavy včetně plánu investičního v rozsahu podle § 58k odst. (3) a po jeho schválení jej zveřejňovat; ustanovení § 58l odst. (5) se použije obdobně,</w:t>
            </w:r>
          </w:p>
        </w:tc>
      </w:tr>
      <w:tr w:rsidR="0089670B" w:rsidRPr="008B53A9">
        <w:tc>
          <w:tcPr>
            <w:tcW w:w="1752" w:type="dxa"/>
            <w:vMerge/>
            <w:shd w:val="clear" w:color="auto" w:fill="auto"/>
          </w:tcPr>
          <w:p w:rsidR="0089670B" w:rsidRPr="008B53A9" w:rsidRDefault="0089670B" w:rsidP="0089670B">
            <w:pPr>
              <w:pStyle w:val="Tabulka"/>
              <w:rPr>
                <w:rFonts w:cs="Calibri"/>
                <w:b/>
                <w:szCs w:val="24"/>
                <w:lang w:val="cs-CZ" w:eastAsia="cs-CZ"/>
              </w:rPr>
            </w:pPr>
          </w:p>
        </w:tc>
        <w:tc>
          <w:tcPr>
            <w:tcW w:w="1701" w:type="dxa"/>
            <w:vMerge/>
            <w:shd w:val="clear" w:color="auto" w:fill="auto"/>
          </w:tcPr>
          <w:p w:rsidR="0089670B" w:rsidRPr="008B53A9" w:rsidRDefault="0089670B" w:rsidP="0089670B">
            <w:pPr>
              <w:pStyle w:val="Tabulka"/>
              <w:rPr>
                <w:rFonts w:cs="Calibri"/>
                <w:szCs w:val="24"/>
                <w:lang w:val="cs-CZ" w:eastAsia="cs-CZ"/>
              </w:rPr>
            </w:pPr>
          </w:p>
        </w:tc>
        <w:tc>
          <w:tcPr>
            <w:tcW w:w="1276" w:type="dxa"/>
            <w:vMerge/>
            <w:shd w:val="clear" w:color="auto" w:fill="auto"/>
          </w:tcPr>
          <w:p w:rsidR="0089670B" w:rsidRPr="008B53A9" w:rsidRDefault="0089670B" w:rsidP="0089670B">
            <w:pPr>
              <w:pStyle w:val="Tabulka"/>
              <w:rPr>
                <w:rFonts w:cs="Calibri"/>
                <w:szCs w:val="24"/>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v souladu s příslušnými </w:t>
            </w:r>
            <w:r w:rsidRPr="008B53A9">
              <w:rPr>
                <w:rFonts w:cs="Calibri"/>
                <w:lang w:val="cs-CZ" w:eastAsia="cs-CZ"/>
              </w:rPr>
              <w:lastRenderedPageBreak/>
              <w:t>regionálními plány investic podle článku 12 a s celounijním desetiletým plánem rozvoje sítí v souladu s písm. čl. 8 odst. 3 písm. b) (3)  nařízení Evropského parlamentu a Rady (ES) č. 714/2009</w:t>
            </w:r>
            <w:r w:rsidRPr="008B53A9">
              <w:rPr>
                <w:rStyle w:val="Znakapoznpodarou"/>
                <w:rFonts w:cs="Calibri"/>
                <w:vertAlign w:val="baseline"/>
                <w:lang w:val="cs-CZ" w:eastAsia="cs-CZ"/>
              </w:rPr>
              <w:footnoteReference w:id="106"/>
            </w:r>
            <w:r w:rsidRPr="008B53A9">
              <w:rPr>
                <w:rFonts w:cs="Calibri"/>
                <w:lang w:val="cs-CZ" w:eastAsia="cs-CZ"/>
              </w:rPr>
              <w:t xml:space="preserve"> a s nařízením Evropského parlamentu a Rady (ES) č. 715/2009</w:t>
            </w:r>
            <w:r w:rsidRPr="008B53A9">
              <w:rPr>
                <w:rStyle w:val="Znakapoznpodarou"/>
                <w:rFonts w:cs="Calibri"/>
                <w:vertAlign w:val="baseline"/>
                <w:lang w:val="cs-CZ" w:eastAsia="cs-CZ"/>
              </w:rPr>
              <w:footnoteReference w:id="107"/>
            </w:r>
            <w:r w:rsidRPr="008B53A9">
              <w:rPr>
                <w:rFonts w:cs="Calibri"/>
                <w:lang w:val="cs-CZ" w:eastAsia="cs-CZ"/>
              </w:rPr>
              <w:t xml:space="preserve">, nebo   </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117" w:anchor="local-content" w:history="1">
              <w:r w:rsidR="0089670B" w:rsidRPr="008B53A9">
                <w:rPr>
                  <w:rStyle w:val="Hypertextovodkaz"/>
                  <w:rFonts w:cs="Calibri"/>
                  <w:color w:val="auto"/>
                  <w:u w:val="none"/>
                  <w:lang w:val="cs-CZ" w:eastAsia="cs-CZ"/>
                </w:rPr>
                <w:t>§ 58k, zejména odst. (3); § 58l odst. (5) EZ</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ERU posuzuje soulad (konzistentnost) s plánem rozvoje soustavy pro celou EU podle nařízení o </w:t>
            </w:r>
            <w:r w:rsidRPr="008B53A9">
              <w:rPr>
                <w:rFonts w:cs="Calibri"/>
                <w:lang w:val="cs-CZ" w:eastAsia="cs-CZ"/>
              </w:rPr>
              <w:lastRenderedPageBreak/>
              <w:t>podmínkách přístupu</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 souladu s čl. 3 odst. 4 nařízení Evropského parlamentu a Rady č. 347/2013</w:t>
            </w:r>
            <w:r w:rsidRPr="008B53A9">
              <w:rPr>
                <w:rStyle w:val="Znakapoznpodarou"/>
                <w:rFonts w:cs="Calibri"/>
                <w:vertAlign w:val="baseline"/>
                <w:lang w:val="cs-CZ" w:eastAsia="cs-CZ"/>
              </w:rPr>
              <w:footnoteReference w:id="108"/>
            </w:r>
            <w:r w:rsidRPr="008B53A9">
              <w:rPr>
                <w:rFonts w:cs="Calibri"/>
                <w:lang w:val="cs-CZ" w:eastAsia="cs-CZ"/>
              </w:rPr>
              <w:t>;</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118" w:anchor="local-content" w:history="1">
              <w:r w:rsidR="0089670B" w:rsidRPr="008B53A9">
                <w:rPr>
                  <w:rStyle w:val="Hypertextovodkaz"/>
                  <w:rFonts w:cs="Calibri"/>
                  <w:color w:val="auto"/>
                  <w:u w:val="none"/>
                  <w:lang w:val="cs-CZ" w:eastAsia="cs-CZ"/>
                </w:rPr>
                <w:t>§ 58k, zejména odst. (3) a (8) EZ</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Požadavky dle čl. 3.4 Nařízení č. 347/2013 zajišťují TSO a kontroluje ERÚ</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Tyto plány obsahují:</w:t>
            </w:r>
          </w:p>
          <w:p w:rsidR="0089670B" w:rsidRPr="008B53A9" w:rsidRDefault="0089670B" w:rsidP="00142A82">
            <w:pPr>
              <w:pStyle w:val="Tabulka"/>
              <w:jc w:val="left"/>
              <w:rPr>
                <w:rFonts w:cs="Calibri"/>
                <w:lang w:val="cs-CZ" w:eastAsia="cs-CZ"/>
              </w:rPr>
            </w:pPr>
            <w:r w:rsidRPr="008B53A9">
              <w:rPr>
                <w:rFonts w:cs="Calibri"/>
                <w:lang w:val="cs-CZ" w:eastAsia="cs-CZ"/>
              </w:rPr>
              <w:t>realistický a vyspělý plán provádění projektů, u nichž se předpokládá podpora z ERDF;</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119" w:anchor="local-content" w:history="1">
              <w:r w:rsidR="0089670B" w:rsidRPr="008B53A9">
                <w:rPr>
                  <w:rStyle w:val="Hypertextovodkaz"/>
                  <w:rFonts w:cs="Calibri"/>
                  <w:color w:val="auto"/>
                  <w:u w:val="none"/>
                  <w:lang w:val="cs-CZ" w:eastAsia="cs-CZ"/>
                </w:rPr>
                <w:t>§ 58k, zejm. odst. (3) a (9) EZ</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Kontrola opodstatněnosti a „zralosti“ plánovaných investic je zajišťována ERÚ</w:t>
            </w: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pro dosažení cílů v oblasti sociální a hospodářské soudržnosti a ochrany životního prostředí v souladu s čl. 3 odst. 10  směrnice 2009/72/ES a čl. 3 odst. 7  směrnice 2009/73/ES;</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B53A9" w:rsidP="00142A82">
            <w:pPr>
              <w:pStyle w:val="Tabulka"/>
              <w:jc w:val="left"/>
              <w:rPr>
                <w:rFonts w:cs="Calibri"/>
                <w:lang w:val="cs-CZ" w:eastAsia="cs-CZ"/>
              </w:rPr>
            </w:pPr>
            <w:hyperlink r:id="rId120" w:anchor="local-content" w:history="1">
              <w:r w:rsidR="0089670B" w:rsidRPr="008B53A9">
                <w:rPr>
                  <w:rStyle w:val="Hypertextovodkaz"/>
                  <w:rFonts w:cs="Calibri"/>
                  <w:color w:val="auto"/>
                  <w:u w:val="none"/>
                  <w:lang w:val="cs-CZ" w:eastAsia="cs-CZ"/>
                </w:rPr>
                <w:t>§12a EZ</w:t>
              </w:r>
            </w:hyperlink>
          </w:p>
        </w:tc>
        <w:tc>
          <w:tcPr>
            <w:tcW w:w="4394" w:type="dxa"/>
            <w:shd w:val="clear" w:color="auto" w:fill="auto"/>
          </w:tcPr>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142A82">
            <w:pPr>
              <w:pStyle w:val="Tabulka"/>
              <w:jc w:val="left"/>
              <w:rPr>
                <w:rFonts w:cs="Calibri"/>
                <w:b/>
                <w:lang w:val="cs-CZ" w:eastAsia="cs-CZ"/>
              </w:rPr>
            </w:pPr>
          </w:p>
        </w:tc>
        <w:tc>
          <w:tcPr>
            <w:tcW w:w="1701" w:type="dxa"/>
            <w:vMerge/>
            <w:shd w:val="clear" w:color="auto" w:fill="auto"/>
          </w:tcPr>
          <w:p w:rsidR="0089670B" w:rsidRPr="008B53A9" w:rsidRDefault="0089670B" w:rsidP="00142A82">
            <w:pPr>
              <w:pStyle w:val="Tabulka"/>
              <w:jc w:val="left"/>
              <w:rPr>
                <w:rFonts w:cs="Calibri"/>
                <w:lang w:val="cs-CZ" w:eastAsia="cs-CZ"/>
              </w:rPr>
            </w:pPr>
          </w:p>
        </w:tc>
        <w:tc>
          <w:tcPr>
            <w:tcW w:w="1276" w:type="dxa"/>
            <w:vMerge/>
            <w:shd w:val="clear" w:color="auto" w:fill="auto"/>
          </w:tcPr>
          <w:p w:rsidR="0089670B" w:rsidRPr="008B53A9" w:rsidRDefault="0089670B" w:rsidP="00142A82">
            <w:pPr>
              <w:pStyle w:val="Tabulka"/>
              <w:jc w:val="left"/>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pro optimalizaci využití energie a podporu energetické účinnosti v souladu s čl. 3 odst.11  směrnice 2009/72/ES a čl. 3 odst. 8 směrnice 2009/73/ES.</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Style w:val="Hypertextovodkaz"/>
                <w:rFonts w:cs="Calibri"/>
                <w:color w:val="auto"/>
                <w:u w:val="none"/>
                <w:lang w:val="cs-CZ" w:eastAsia="cs-CZ"/>
              </w:rPr>
            </w:pPr>
            <w:r w:rsidRPr="008B53A9">
              <w:rPr>
                <w:rFonts w:cs="Calibri"/>
                <w:lang w:val="cs-CZ" w:eastAsia="cs-CZ"/>
              </w:rPr>
              <w:fldChar w:fldCharType="begin"/>
            </w:r>
            <w:r w:rsidRPr="008B53A9">
              <w:rPr>
                <w:rFonts w:cs="Calibri"/>
                <w:lang w:val="cs-CZ" w:eastAsia="cs-CZ"/>
              </w:rPr>
              <w:instrText xml:space="preserve"> HYPERLINK "http://portal.gov.cz/app/zakony/zakonPar.jsp?idBiblio=49962&amp;fulltext=&amp;nr=458~2F2000&amp;part=&amp;name=&amp;rpp=15" \l "local-content" </w:instrText>
            </w:r>
            <w:r w:rsidRPr="008B53A9">
              <w:rPr>
                <w:rFonts w:cs="Calibri"/>
                <w:lang w:val="cs-CZ" w:eastAsia="cs-CZ"/>
              </w:rPr>
              <w:fldChar w:fldCharType="separate"/>
            </w:r>
            <w:r w:rsidRPr="008B53A9">
              <w:rPr>
                <w:rStyle w:val="Hypertextovodkaz"/>
                <w:rFonts w:cs="Calibri"/>
                <w:color w:val="auto"/>
                <w:u w:val="none"/>
                <w:lang w:val="cs-CZ" w:eastAsia="cs-CZ"/>
              </w:rPr>
              <w:t>§16k EZ - AMM,</w:t>
            </w:r>
          </w:p>
          <w:p w:rsidR="0089670B" w:rsidRPr="008B53A9" w:rsidRDefault="0089670B" w:rsidP="00142A82">
            <w:pPr>
              <w:pStyle w:val="Tabulka"/>
              <w:jc w:val="left"/>
              <w:rPr>
                <w:rFonts w:cs="Calibri"/>
                <w:lang w:val="cs-CZ" w:eastAsia="cs-CZ"/>
              </w:rPr>
            </w:pPr>
            <w:r w:rsidRPr="008B53A9">
              <w:rPr>
                <w:rStyle w:val="Hypertextovodkaz"/>
                <w:rFonts w:cs="Calibri"/>
                <w:color w:val="auto"/>
                <w:u w:val="none"/>
                <w:lang w:val="cs-CZ" w:eastAsia="cs-CZ"/>
              </w:rPr>
              <w:t>§49 EZ – měření jako takové</w:t>
            </w:r>
            <w:r w:rsidRPr="008B53A9">
              <w:rPr>
                <w:rFonts w:cs="Calibri"/>
                <w:lang w:val="cs-CZ" w:eastAsia="cs-CZ"/>
              </w:rPr>
              <w:fldChar w:fldCharType="end"/>
            </w: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Opatření k optimalizaci využití energie, inteligentní systémy měření - Advanced Metering Management – dále AMM - analýzy zavádění AMM zajištěné MPO</w:t>
            </w:r>
          </w:p>
        </w:tc>
      </w:tr>
      <w:tr w:rsidR="0089670B" w:rsidRPr="008B53A9">
        <w:tc>
          <w:tcPr>
            <w:tcW w:w="1752" w:type="dxa"/>
            <w:vMerge w:val="restart"/>
            <w:shd w:val="clear" w:color="auto" w:fill="auto"/>
          </w:tcPr>
          <w:p w:rsidR="0089670B" w:rsidRPr="008B53A9" w:rsidRDefault="0089670B" w:rsidP="00142A82">
            <w:pPr>
              <w:pStyle w:val="Tabulka"/>
              <w:jc w:val="left"/>
              <w:rPr>
                <w:rFonts w:cs="Calibri"/>
                <w:b/>
                <w:lang w:val="cs-CZ" w:eastAsia="cs-CZ"/>
              </w:rPr>
            </w:pPr>
            <w:r w:rsidRPr="008B53A9">
              <w:rPr>
                <w:rFonts w:cs="Calibri"/>
                <w:b/>
                <w:lang w:val="cs-CZ" w:eastAsia="cs-CZ"/>
              </w:rPr>
              <w:lastRenderedPageBreak/>
              <w:t xml:space="preserve">8.2. </w:t>
            </w:r>
          </w:p>
          <w:p w:rsidR="0089670B" w:rsidRPr="008B53A9" w:rsidRDefault="0089670B" w:rsidP="00142A82">
            <w:pPr>
              <w:pStyle w:val="Tabulka"/>
              <w:jc w:val="left"/>
              <w:rPr>
                <w:rFonts w:cs="Calibri"/>
                <w:b/>
                <w:lang w:val="cs-CZ" w:eastAsia="cs-CZ"/>
              </w:rPr>
            </w:pPr>
            <w:r w:rsidRPr="008B53A9">
              <w:rPr>
                <w:rFonts w:cs="Calibri"/>
                <w:b/>
                <w:lang w:val="cs-CZ" w:eastAsia="cs-CZ"/>
              </w:rPr>
              <w:t xml:space="preserve">Samostatná výdělečná činnost, podnikání a zakládání firem: existence strategického rámce politiky podpory začínajících podniků přispívající k začlenění. </w:t>
            </w:r>
          </w:p>
          <w:p w:rsidR="0089670B" w:rsidRPr="008B53A9" w:rsidRDefault="0089670B" w:rsidP="00142A82">
            <w:pPr>
              <w:pStyle w:val="Tabulka"/>
              <w:jc w:val="left"/>
              <w:rPr>
                <w:rFonts w:cs="Calibri"/>
                <w:b/>
                <w:lang w:val="cs-CZ" w:eastAsia="cs-CZ"/>
              </w:rPr>
            </w:pPr>
          </w:p>
        </w:tc>
        <w:tc>
          <w:tcPr>
            <w:tcW w:w="1701"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PO 2 - Rozvoj podnikání a konkurenceschopnosti malých a středních podniků</w:t>
            </w:r>
          </w:p>
          <w:p w:rsidR="0089670B" w:rsidRPr="008B53A9" w:rsidRDefault="0089670B" w:rsidP="00142A82">
            <w:pPr>
              <w:pStyle w:val="Tabulka"/>
              <w:jc w:val="left"/>
              <w:rPr>
                <w:rFonts w:cs="Calibri"/>
                <w:lang w:val="cs-CZ" w:eastAsia="cs-CZ"/>
              </w:rPr>
            </w:pPr>
          </w:p>
        </w:tc>
        <w:tc>
          <w:tcPr>
            <w:tcW w:w="1276" w:type="dxa"/>
            <w:vMerge w:val="restart"/>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Částečně</w:t>
            </w: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Je zaveden strategický rámec politiky podpory začínajících podniků přispívající k začlenění, obsahující tyto prvky:</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Strategie mezinárodní konkurenceschopnosti:</w:t>
            </w:r>
          </w:p>
          <w:p w:rsidR="0089670B" w:rsidRPr="008B53A9" w:rsidRDefault="008B53A9" w:rsidP="00142A82">
            <w:pPr>
              <w:pStyle w:val="Tabulka"/>
              <w:jc w:val="left"/>
              <w:rPr>
                <w:rStyle w:val="Hypertextovodkaz"/>
                <w:rFonts w:cs="Calibri"/>
                <w:color w:val="auto"/>
                <w:u w:val="none"/>
                <w:lang w:val="cs-CZ" w:eastAsia="cs-CZ"/>
              </w:rPr>
            </w:pPr>
            <w:hyperlink r:id="rId121" w:history="1">
              <w:r w:rsidR="0089670B" w:rsidRPr="008B53A9">
                <w:rPr>
                  <w:rStyle w:val="Hypertextovodkaz"/>
                  <w:rFonts w:cs="Calibri"/>
                  <w:color w:val="auto"/>
                  <w:u w:val="none"/>
                  <w:lang w:val="cs-CZ" w:eastAsia="cs-CZ"/>
                </w:rPr>
                <w:t>http://www.vlada.cz/assets/media-centrum/aktualne/Strategie-mezinarodni-konkurenceschopnosti-Ceske-republiky.pdf</w:t>
              </w:r>
            </w:hyperlink>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Koncepce podpory malých a středních podnikatelů na období let 2014–2020:</w:t>
            </w:r>
          </w:p>
          <w:p w:rsidR="0089670B" w:rsidRPr="008B53A9" w:rsidRDefault="008B53A9" w:rsidP="00142A82">
            <w:pPr>
              <w:pStyle w:val="Tabulka"/>
              <w:jc w:val="left"/>
              <w:rPr>
                <w:rStyle w:val="Hypertextovodkaz"/>
                <w:rFonts w:cs="Calibri"/>
                <w:color w:val="auto"/>
                <w:u w:val="none"/>
                <w:lang w:val="cs-CZ" w:eastAsia="cs-CZ"/>
              </w:rPr>
            </w:pPr>
            <w:hyperlink r:id="rId122" w:history="1">
              <w:r w:rsidR="0089670B" w:rsidRPr="008B53A9">
                <w:rPr>
                  <w:rStyle w:val="Hypertextovodkaz"/>
                  <w:rFonts w:cs="Calibri"/>
                  <w:color w:val="auto"/>
                  <w:u w:val="none"/>
                  <w:lang w:val="cs-CZ" w:eastAsia="cs-CZ"/>
                </w:rPr>
                <w:t>http://www.mpo.cz/dokument119071.html</w:t>
              </w:r>
            </w:hyperlink>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Národní program reforem (2014):</w:t>
            </w:r>
          </w:p>
          <w:p w:rsidR="0089670B" w:rsidRPr="008B53A9" w:rsidRDefault="008B53A9" w:rsidP="00142A82">
            <w:pPr>
              <w:pStyle w:val="Tabulka"/>
              <w:jc w:val="left"/>
              <w:rPr>
                <w:rFonts w:cs="Calibri"/>
                <w:lang w:val="cs-CZ" w:eastAsia="cs-CZ"/>
              </w:rPr>
            </w:pPr>
            <w:hyperlink r:id="rId123" w:history="1">
              <w:r w:rsidR="0089670B" w:rsidRPr="008B53A9">
                <w:rPr>
                  <w:rStyle w:val="Hypertextovodkaz"/>
                  <w:rFonts w:cs="Calibri"/>
                  <w:color w:val="auto"/>
                  <w:u w:val="none"/>
                  <w:lang w:val="cs-CZ" w:eastAsia="cs-CZ"/>
                </w:rPr>
                <w:t>http://www.vlada.cz/assets/evropske-zalezitosti/aktualne/NPR-2014.pdf</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Vládou byla schválena Strategie mezinárodní konkurenceschopnosti (SMK) v r. 2011.</w:t>
            </w:r>
          </w:p>
          <w:p w:rsidR="0089670B" w:rsidRPr="008B53A9" w:rsidRDefault="0089670B" w:rsidP="00142A82">
            <w:pPr>
              <w:pStyle w:val="Tabulka"/>
              <w:jc w:val="left"/>
              <w:rPr>
                <w:rFonts w:cs="Calibri"/>
                <w:lang w:val="cs-CZ" w:eastAsia="cs-CZ"/>
              </w:rPr>
            </w:pPr>
            <w:r w:rsidRPr="008B53A9">
              <w:rPr>
                <w:rFonts w:cs="Calibri"/>
                <w:lang w:val="cs-CZ" w:eastAsia="cs-CZ"/>
              </w:rPr>
              <w:t>Vládou byla schválena rovněž Koncepce podpory malých a středních podnikatelů na období let 2014–2020 (Koncepce MSP).</w:t>
            </w:r>
          </w:p>
          <w:p w:rsidR="0089670B" w:rsidRPr="008B53A9" w:rsidRDefault="0089670B" w:rsidP="00142A82">
            <w:pPr>
              <w:pStyle w:val="Tabulka"/>
              <w:jc w:val="left"/>
              <w:rPr>
                <w:rFonts w:cs="Calibri"/>
                <w:lang w:val="cs-CZ" w:eastAsia="cs-CZ"/>
              </w:rPr>
            </w:pPr>
            <w:r w:rsidRPr="008B53A9">
              <w:rPr>
                <w:rFonts w:cs="Calibri"/>
                <w:lang w:val="cs-CZ" w:eastAsia="cs-CZ"/>
              </w:rPr>
              <w:t>Opatření související se zesílením podpory podnikatelského prostředí jsou též součástí Národního programu reforem (2014), kap. 4.2.</w:t>
            </w:r>
          </w:p>
          <w:p w:rsidR="0089670B" w:rsidRPr="008B53A9" w:rsidRDefault="0089670B" w:rsidP="00142A82">
            <w:pPr>
              <w:pStyle w:val="Tabulka"/>
              <w:jc w:val="left"/>
              <w:rPr>
                <w:rFonts w:cs="Calibri"/>
                <w:lang w:val="cs-CZ" w:eastAsia="cs-CZ"/>
              </w:rPr>
            </w:pP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  Opatření zavedená s cílem zkrátit dobu potřebou k založení firmy a snížit příslušné náklady, která </w:t>
            </w:r>
            <w:r w:rsidRPr="008B53A9">
              <w:rPr>
                <w:rFonts w:cs="Calibri"/>
                <w:lang w:val="cs-CZ" w:eastAsia="cs-CZ"/>
              </w:rPr>
              <w:lastRenderedPageBreak/>
              <w:t>zohledňují cíle SBA</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lastRenderedPageBreak/>
              <w:t>částečně</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Živnostenský zákon:</w:t>
            </w:r>
          </w:p>
          <w:p w:rsidR="0089670B" w:rsidRPr="008B53A9" w:rsidRDefault="00C123AD" w:rsidP="00142A82">
            <w:pPr>
              <w:pStyle w:val="Tabulka"/>
              <w:jc w:val="left"/>
              <w:rPr>
                <w:rFonts w:cs="Calibri"/>
                <w:lang w:val="cs-CZ" w:eastAsia="cs-CZ"/>
              </w:rPr>
            </w:pPr>
            <w:r w:rsidRPr="008B53A9">
              <w:rPr>
                <w:rFonts w:cs="Calibri"/>
                <w:lang w:val="cs-CZ" w:eastAsia="cs-CZ"/>
              </w:rPr>
              <w:t>http://www.mpo.cz/dokument144140.html</w:t>
            </w: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Pro oblast živnostenského podnikání (gesce MPO) zákonem č. 130/2008 Sb. došlo ke snížení nákladů na vstup do podnikání a zkrátila se doba pro vydání dokladu o vzniku práva podnikat (z 15 na 5 pracovních dní). Oprávnění lze získat při splnění podmínek zákona i ve velmi krátké době (několik desítek minut, resp. </w:t>
            </w:r>
            <w:r w:rsidRPr="008B53A9">
              <w:rPr>
                <w:rFonts w:cs="Calibri"/>
                <w:lang w:val="cs-CZ" w:eastAsia="cs-CZ"/>
              </w:rPr>
              <w:lastRenderedPageBreak/>
              <w:t>na počkání). Vstupní náklady činí 1000 Kč.</w:t>
            </w:r>
          </w:p>
          <w:p w:rsidR="0089670B" w:rsidRPr="008B53A9" w:rsidRDefault="0089670B" w:rsidP="00142A82">
            <w:pPr>
              <w:pStyle w:val="Tabulka"/>
              <w:jc w:val="left"/>
              <w:rPr>
                <w:rFonts w:cs="Calibri"/>
                <w:lang w:val="cs-CZ" w:eastAsia="cs-CZ"/>
              </w:rPr>
            </w:pPr>
            <w:r w:rsidRPr="008B53A9">
              <w:rPr>
                <w:rFonts w:cs="Calibri"/>
                <w:lang w:val="cs-CZ" w:eastAsia="cs-CZ"/>
              </w:rPr>
              <w:t xml:space="preserve">Ke splnění podmínky jsou nutné kroky ke snížení nákladů na založení podniku v gesci MSp. Je připravováno legislativní řešení v souladu se zpracovaným akčním plánem. </w:t>
            </w:r>
          </w:p>
          <w:p w:rsidR="0089670B" w:rsidRPr="008B53A9" w:rsidRDefault="0089670B" w:rsidP="00142A82">
            <w:pPr>
              <w:pStyle w:val="Tabulka"/>
              <w:jc w:val="left"/>
              <w:rPr>
                <w:rFonts w:cs="Calibri"/>
                <w:lang w:val="cs-CZ" w:eastAsia="cs-CZ"/>
              </w:rPr>
            </w:pPr>
            <w:r w:rsidRPr="008B53A9">
              <w:rPr>
                <w:rFonts w:cs="Calibri"/>
                <w:lang w:val="cs-CZ" w:eastAsia="cs-CZ"/>
              </w:rPr>
              <w:t>Podrobněji  - viz podmínka č. 3.1 a příloha č. II.</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Opatření zavedená s cílem zkrátit dobu potřebnou k získání licencí a povolení k zahájení a provádění konkrétní činnosti podniku, která zohledňují cíle SBA</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Živnostenský zákon:</w:t>
            </w:r>
          </w:p>
          <w:p w:rsidR="0089670B" w:rsidRPr="008B53A9" w:rsidRDefault="008B53A9" w:rsidP="00142A82">
            <w:pPr>
              <w:pStyle w:val="Tabulka"/>
              <w:jc w:val="left"/>
              <w:rPr>
                <w:rFonts w:cs="Calibri"/>
                <w:lang w:val="cs-CZ" w:eastAsia="cs-CZ"/>
              </w:rPr>
            </w:pPr>
            <w:hyperlink r:id="rId124" w:history="1">
              <w:r w:rsidR="0089670B" w:rsidRPr="008B53A9">
                <w:rPr>
                  <w:rStyle w:val="Hypertextovodkaz"/>
                  <w:rFonts w:cs="Calibri"/>
                  <w:color w:val="auto"/>
                  <w:u w:val="none"/>
                  <w:lang w:val="cs-CZ" w:eastAsia="cs-CZ"/>
                </w:rPr>
                <w:t>http://www.mpo.cz/dokument144140.html</w:t>
              </w:r>
            </w:hyperlink>
          </w:p>
          <w:p w:rsidR="0089670B" w:rsidRPr="008B53A9" w:rsidRDefault="0089670B" w:rsidP="00142A82">
            <w:pPr>
              <w:pStyle w:val="Tabulka"/>
              <w:jc w:val="left"/>
              <w:rPr>
                <w:rFonts w:cs="Calibri"/>
                <w:lang w:val="cs-CZ" w:eastAsia="cs-CZ"/>
              </w:rPr>
            </w:pPr>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V oblasti živnostenského podnikání (gesce MPO) při  splnění podmínek zákona může podnikatel od okamžiku ohlášení živnosti podnikat. Pouze u koncesovaných živností je doba pro vznik oprávnění  delší (cca 1 měsíc od podání žádosti). Zákonem č. 130/2008 Sb. došlo ke snížení nákladů na vstup do živnostenského podnikání a zkrátila se doba pro vydání dokladu o vzniku práva podnikat (z 15 na 5 pracovních dní).</w:t>
            </w:r>
          </w:p>
          <w:p w:rsidR="0089670B" w:rsidRPr="008B53A9" w:rsidRDefault="0089670B" w:rsidP="00142A82">
            <w:pPr>
              <w:pStyle w:val="Tabulka"/>
              <w:jc w:val="left"/>
              <w:rPr>
                <w:rFonts w:cs="Calibri"/>
                <w:lang w:val="cs-CZ" w:eastAsia="cs-CZ"/>
              </w:rPr>
            </w:pPr>
            <w:r w:rsidRPr="008B53A9">
              <w:rPr>
                <w:rFonts w:cs="Calibri"/>
                <w:lang w:val="cs-CZ" w:eastAsia="cs-CZ"/>
              </w:rPr>
              <w:t>Zákon č. 304/2013 Sb., stanovuje povinnost soudu zapsat společnost do 5 pracovních dní. Současně umožňuje, aby zápis provedl notář. Bude-li mít k dispozici všechny dokumenty, zápis provede během 1 dne.</w:t>
            </w:r>
          </w:p>
          <w:p w:rsidR="0089670B" w:rsidRPr="008B53A9" w:rsidRDefault="0089670B" w:rsidP="00142A82">
            <w:pPr>
              <w:pStyle w:val="Tabulka"/>
              <w:jc w:val="left"/>
              <w:rPr>
                <w:rFonts w:cs="Calibri"/>
                <w:lang w:val="cs-CZ" w:eastAsia="cs-CZ"/>
              </w:rPr>
            </w:pPr>
            <w:r w:rsidRPr="008B53A9">
              <w:rPr>
                <w:rFonts w:cs="Calibri"/>
                <w:lang w:val="cs-CZ" w:eastAsia="cs-CZ"/>
              </w:rPr>
              <w:t>Ministerstvo spravedlnosti připravuje legislativní řešení, které sníží soudní poplatek za návrh na zahájení řízení ve věcech veřejného rejstříku za první zápis osoby do veřejného rejstříku, s výjimkou akciové společnosti nebo spolku dle požadavku EK. Legislativní řešení by mělo být v 9/2014 předloženo vládě, plánované nabytí účinnosti 11/2016.</w:t>
            </w:r>
          </w:p>
          <w:p w:rsidR="0089670B" w:rsidRPr="008B53A9" w:rsidRDefault="0089670B" w:rsidP="00142A82">
            <w:pPr>
              <w:pStyle w:val="Tabulka"/>
              <w:jc w:val="left"/>
              <w:rPr>
                <w:rFonts w:cs="Calibri"/>
                <w:lang w:val="cs-CZ" w:eastAsia="cs-CZ"/>
              </w:rPr>
            </w:pPr>
            <w:r w:rsidRPr="008B53A9">
              <w:rPr>
                <w:rFonts w:cs="Calibri"/>
                <w:lang w:val="cs-CZ" w:eastAsia="cs-CZ"/>
              </w:rPr>
              <w:t>Viz vyjádření u podmínky 3.1 a Příloha č. II.</w:t>
            </w:r>
          </w:p>
        </w:tc>
      </w:tr>
      <w:tr w:rsidR="0089670B" w:rsidRPr="008B53A9">
        <w:tc>
          <w:tcPr>
            <w:tcW w:w="1752" w:type="dxa"/>
            <w:vMerge/>
            <w:shd w:val="clear" w:color="auto" w:fill="auto"/>
          </w:tcPr>
          <w:p w:rsidR="0089670B" w:rsidRPr="008B53A9" w:rsidRDefault="0089670B" w:rsidP="0089670B">
            <w:pPr>
              <w:pStyle w:val="Tabulka"/>
              <w:rPr>
                <w:rFonts w:cs="Calibri"/>
                <w:b/>
                <w:lang w:val="cs-CZ" w:eastAsia="cs-CZ"/>
              </w:rPr>
            </w:pPr>
          </w:p>
        </w:tc>
        <w:tc>
          <w:tcPr>
            <w:tcW w:w="1701" w:type="dxa"/>
            <w:vMerge/>
            <w:shd w:val="clear" w:color="auto" w:fill="auto"/>
          </w:tcPr>
          <w:p w:rsidR="0089670B" w:rsidRPr="008B53A9" w:rsidRDefault="0089670B" w:rsidP="0089670B">
            <w:pPr>
              <w:pStyle w:val="Tabulka"/>
              <w:rPr>
                <w:rFonts w:cs="Calibri"/>
                <w:lang w:val="cs-CZ" w:eastAsia="cs-CZ"/>
              </w:rPr>
            </w:pPr>
          </w:p>
        </w:tc>
        <w:tc>
          <w:tcPr>
            <w:tcW w:w="1276" w:type="dxa"/>
            <w:vMerge/>
            <w:shd w:val="clear" w:color="auto" w:fill="auto"/>
          </w:tcPr>
          <w:p w:rsidR="0089670B" w:rsidRPr="008B53A9" w:rsidRDefault="0089670B" w:rsidP="0089670B">
            <w:pPr>
              <w:pStyle w:val="Tabulka"/>
              <w:rPr>
                <w:rFonts w:cs="Calibri"/>
                <w:lang w:val="cs-CZ" w:eastAsia="cs-CZ"/>
              </w:rPr>
            </w:pPr>
          </w:p>
        </w:tc>
        <w:tc>
          <w:tcPr>
            <w:tcW w:w="1843"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činnosti propojující vhodné služby pro rozvoj podnikání a finanční služby (přístup ke kapitálu), včetně aktivní pomoci pro znevýhodněné skupiny, popř. oblasti či obojí.</w:t>
            </w:r>
          </w:p>
        </w:tc>
        <w:tc>
          <w:tcPr>
            <w:tcW w:w="113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ano</w:t>
            </w:r>
          </w:p>
        </w:tc>
        <w:tc>
          <w:tcPr>
            <w:tcW w:w="2126"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Strategie mezinárodní konkurenceschopnosti:</w:t>
            </w:r>
          </w:p>
          <w:p w:rsidR="0089670B" w:rsidRPr="008B53A9" w:rsidRDefault="008B53A9" w:rsidP="00142A82">
            <w:pPr>
              <w:pStyle w:val="Tabulka"/>
              <w:jc w:val="left"/>
              <w:rPr>
                <w:rFonts w:cs="Calibri"/>
                <w:lang w:val="cs-CZ" w:eastAsia="cs-CZ"/>
              </w:rPr>
            </w:pPr>
            <w:hyperlink r:id="rId125" w:history="1">
              <w:r w:rsidR="0089670B" w:rsidRPr="008B53A9">
                <w:rPr>
                  <w:rStyle w:val="Hypertextovodkaz"/>
                  <w:rFonts w:cs="Calibri"/>
                  <w:color w:val="auto"/>
                  <w:u w:val="none"/>
                  <w:lang w:val="cs-CZ" w:eastAsia="cs-CZ"/>
                </w:rPr>
                <w:t>http://www.vlada.cz/assets/media-centrum/aktualne/Strategie-mezinarodni-konkurenceschopnosti-Ceske-republiky.pdf</w:t>
              </w:r>
            </w:hyperlink>
            <w:r w:rsidR="0089670B" w:rsidRPr="008B53A9">
              <w:rPr>
                <w:rFonts w:cs="Calibri"/>
                <w:lang w:val="cs-CZ" w:eastAsia="cs-CZ"/>
              </w:rPr>
              <w:t xml:space="preserve"> </w:t>
            </w:r>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Koncepce podpory malých a středních podnikatelů 2014–2020:</w:t>
            </w:r>
          </w:p>
          <w:p w:rsidR="0089670B" w:rsidRPr="008B53A9" w:rsidRDefault="008B53A9" w:rsidP="00142A82">
            <w:pPr>
              <w:pStyle w:val="Tabulka"/>
              <w:jc w:val="left"/>
              <w:rPr>
                <w:rFonts w:cs="Calibri"/>
                <w:lang w:val="cs-CZ" w:eastAsia="cs-CZ"/>
              </w:rPr>
            </w:pPr>
            <w:hyperlink r:id="rId126" w:history="1">
              <w:r w:rsidR="0089670B" w:rsidRPr="008B53A9">
                <w:rPr>
                  <w:rStyle w:val="Hypertextovodkaz"/>
                  <w:rFonts w:cs="Calibri"/>
                  <w:color w:val="auto"/>
                  <w:u w:val="none"/>
                  <w:lang w:val="cs-CZ" w:eastAsia="cs-CZ"/>
                </w:rPr>
                <w:t>http://www.mpo.cz/dokument119071.html</w:t>
              </w:r>
            </w:hyperlink>
          </w:p>
          <w:p w:rsidR="0089670B" w:rsidRPr="008B53A9" w:rsidRDefault="0089670B" w:rsidP="00142A82">
            <w:pPr>
              <w:pStyle w:val="Tabulka"/>
              <w:jc w:val="left"/>
              <w:rPr>
                <w:rFonts w:cs="Calibri"/>
                <w:lang w:val="cs-CZ" w:eastAsia="cs-CZ"/>
              </w:rPr>
            </w:pPr>
          </w:p>
          <w:p w:rsidR="0089670B" w:rsidRPr="008B53A9" w:rsidRDefault="0089670B" w:rsidP="00142A82">
            <w:pPr>
              <w:pStyle w:val="Tabulka"/>
              <w:jc w:val="left"/>
              <w:rPr>
                <w:rFonts w:cs="Calibri"/>
                <w:lang w:val="cs-CZ" w:eastAsia="cs-CZ"/>
              </w:rPr>
            </w:pPr>
            <w:r w:rsidRPr="008B53A9">
              <w:rPr>
                <w:rFonts w:cs="Calibri"/>
                <w:lang w:val="cs-CZ" w:eastAsia="cs-CZ"/>
              </w:rPr>
              <w:t>Národní programu reforem (2014):</w:t>
            </w:r>
          </w:p>
          <w:p w:rsidR="0089670B" w:rsidRPr="008B53A9" w:rsidRDefault="008B53A9" w:rsidP="00142A82">
            <w:pPr>
              <w:pStyle w:val="Tabulka"/>
              <w:jc w:val="left"/>
              <w:rPr>
                <w:rFonts w:cs="Calibri"/>
                <w:lang w:val="cs-CZ" w:eastAsia="cs-CZ"/>
              </w:rPr>
            </w:pPr>
            <w:hyperlink r:id="rId127" w:history="1">
              <w:r w:rsidR="0089670B" w:rsidRPr="008B53A9">
                <w:rPr>
                  <w:rStyle w:val="Hypertextovodkaz"/>
                  <w:rFonts w:cs="Calibri"/>
                  <w:color w:val="auto"/>
                  <w:u w:val="none"/>
                  <w:lang w:val="cs-CZ" w:eastAsia="cs-CZ"/>
                </w:rPr>
                <w:t>http://www.vlada.cz/assets/evropske-zalezitosti/aktualne/NPR-2014.pdf</w:t>
              </w:r>
            </w:hyperlink>
          </w:p>
        </w:tc>
        <w:tc>
          <w:tcPr>
            <w:tcW w:w="4394" w:type="dxa"/>
            <w:shd w:val="clear" w:color="auto" w:fill="auto"/>
          </w:tcPr>
          <w:p w:rsidR="0089670B" w:rsidRPr="008B53A9" w:rsidRDefault="0089670B" w:rsidP="00142A82">
            <w:pPr>
              <w:pStyle w:val="Tabulka"/>
              <w:jc w:val="left"/>
              <w:rPr>
                <w:rFonts w:cs="Calibri"/>
                <w:lang w:val="cs-CZ" w:eastAsia="cs-CZ"/>
              </w:rPr>
            </w:pPr>
            <w:r w:rsidRPr="008B53A9">
              <w:rPr>
                <w:rFonts w:cs="Calibri"/>
                <w:lang w:val="cs-CZ" w:eastAsia="cs-CZ"/>
              </w:rPr>
              <w:t xml:space="preserve">Jedním z cílů Koncepce MSP je zvyšování kvality poradenských služeb pro MSP. Důraz bude kladen na zvyšování finanční gramotnosti a sestavení a realizaci kvalitního business plánu (důležité pro začínající MSP a znevýhodněné skupiny, zejm. sociální podniky). Klíčová je podpora prostřednictvím zvýhodněných úvěrů, záruk a kapitálových vstupů. Je plánováno zvýhodnění sociálních podniků v jednotlivých programech OP PIK. </w:t>
            </w:r>
          </w:p>
          <w:p w:rsidR="0089670B" w:rsidRPr="008B53A9" w:rsidRDefault="0089670B" w:rsidP="00142A82">
            <w:pPr>
              <w:pStyle w:val="Tabulka"/>
              <w:jc w:val="left"/>
              <w:rPr>
                <w:rFonts w:cs="Calibri"/>
                <w:lang w:val="cs-CZ" w:eastAsia="cs-CZ"/>
              </w:rPr>
            </w:pPr>
            <w:r w:rsidRPr="008B53A9">
              <w:rPr>
                <w:rFonts w:cs="Calibri"/>
                <w:lang w:val="cs-CZ" w:eastAsia="cs-CZ"/>
              </w:rPr>
              <w:t>Na základě zákona č. 435/2004 Sb., zákona o zaměstnanosti je poskytována ÚP ČR podpora uchazečům o zaměstnání, kteří se rozhodnou zahájit samostatně výdělečnou činnost (zajištění rekvalifikačních kurzů, následně poskytnutí finančních prostředků na nákup vybavení, resp. na úhradu části provozních nákladů po zahájení podnikání). Strategie politiky zaměstnanosti do r. 2020 požaduje užší provázání jednotlivých podpor začínajícím OSVČ z řad uchazečů o zaměstnání, včetně vytvoření nových nástrojů v raných fázích zahájení podnikání (následné poradenství).</w:t>
            </w:r>
          </w:p>
          <w:p w:rsidR="0089670B" w:rsidRPr="008B53A9" w:rsidRDefault="0089670B" w:rsidP="00142A82">
            <w:pPr>
              <w:pStyle w:val="Tabulka"/>
              <w:jc w:val="left"/>
              <w:rPr>
                <w:rFonts w:cs="Calibri"/>
                <w:lang w:val="cs-CZ" w:eastAsia="cs-CZ"/>
              </w:rPr>
            </w:pPr>
            <w:r w:rsidRPr="008B53A9">
              <w:rPr>
                <w:rFonts w:cs="Calibri"/>
                <w:lang w:val="cs-CZ" w:eastAsia="cs-CZ"/>
              </w:rPr>
              <w:t>Viz Příloha II.</w:t>
            </w:r>
          </w:p>
        </w:tc>
      </w:tr>
    </w:tbl>
    <w:p w:rsidR="004B5A6C" w:rsidRPr="008B53A9" w:rsidRDefault="00F64D76" w:rsidP="008B53A9">
      <w:pPr>
        <w:pStyle w:val="Nadpis2"/>
        <w:keepLines/>
        <w:rPr>
          <w:rFonts w:cs="Calibri"/>
        </w:rPr>
      </w:pPr>
      <w:bookmarkStart w:id="134" w:name="_Toc391539694"/>
      <w:r w:rsidRPr="008B53A9">
        <w:rPr>
          <w:rFonts w:cs="Calibri"/>
        </w:rPr>
        <w:lastRenderedPageBreak/>
        <w:t>Popis opatření ke splnění předběžných podmínek, odpovědných subjektů a harmonogramu</w:t>
      </w:r>
      <w:bookmarkEnd w:id="134"/>
    </w:p>
    <w:p w:rsidR="007E3732" w:rsidRPr="008B53A9" w:rsidRDefault="007E3732" w:rsidP="008B53A9">
      <w:pPr>
        <w:pStyle w:val="Titulek"/>
        <w:keepNext/>
        <w:keepLines/>
      </w:pPr>
      <w:r w:rsidRPr="008B53A9">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25</w:t>
      </w:r>
      <w:r w:rsidR="00C3289B" w:rsidRPr="008B53A9">
        <w:rPr>
          <w:noProof/>
        </w:rPr>
        <w:fldChar w:fldCharType="end"/>
      </w:r>
      <w:r w:rsidRPr="008B53A9">
        <w:t xml:space="preserve">: </w:t>
      </w:r>
      <w:r w:rsidR="00436FDF" w:rsidRPr="008B53A9">
        <w:t>O</w:t>
      </w:r>
      <w:r w:rsidR="00FF200C" w:rsidRPr="008B53A9">
        <w:t xml:space="preserve">patření, která </w:t>
      </w:r>
      <w:r w:rsidR="00436FDF" w:rsidRPr="008B53A9">
        <w:t>je třeba přijmout, aby byly splněny platné obecné předběžné podmínky</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92"/>
        <w:gridCol w:w="2490"/>
        <w:gridCol w:w="3662"/>
        <w:gridCol w:w="2985"/>
        <w:gridCol w:w="2363"/>
      </w:tblGrid>
      <w:tr w:rsidR="008A186B" w:rsidRPr="008B53A9">
        <w:trPr>
          <w:trHeight w:val="647"/>
        </w:trPr>
        <w:tc>
          <w:tcPr>
            <w:tcW w:w="0" w:type="auto"/>
            <w:tcBorders>
              <w:bottom w:val="single" w:sz="4" w:space="0" w:color="auto"/>
            </w:tcBorders>
            <w:shd w:val="clear" w:color="auto" w:fill="B8CCE4"/>
            <w:vAlign w:val="center"/>
          </w:tcPr>
          <w:p w:rsidR="008A186B" w:rsidRPr="008B53A9" w:rsidRDefault="008A186B" w:rsidP="008B53A9">
            <w:pPr>
              <w:pStyle w:val="Tabulka"/>
              <w:keepNext/>
              <w:keepLines/>
              <w:rPr>
                <w:rFonts w:eastAsia="Calibri" w:cs="Calibri"/>
                <w:b/>
                <w:lang w:val="cs-CZ" w:eastAsia="cs-CZ"/>
              </w:rPr>
            </w:pPr>
            <w:r w:rsidRPr="008B53A9">
              <w:rPr>
                <w:rFonts w:eastAsia="Calibri" w:cs="Calibri"/>
                <w:b/>
                <w:lang w:val="cs-CZ" w:eastAsia="cs-CZ"/>
              </w:rPr>
              <w:t>Obecné předběžné podmínky</w:t>
            </w:r>
          </w:p>
        </w:tc>
        <w:tc>
          <w:tcPr>
            <w:tcW w:w="0" w:type="auto"/>
            <w:tcBorders>
              <w:bottom w:val="single" w:sz="4" w:space="0" w:color="auto"/>
            </w:tcBorders>
            <w:shd w:val="clear" w:color="auto" w:fill="B8CCE4"/>
            <w:vAlign w:val="center"/>
          </w:tcPr>
          <w:p w:rsidR="008A186B" w:rsidRPr="008B53A9" w:rsidRDefault="008A186B" w:rsidP="008B53A9">
            <w:pPr>
              <w:pStyle w:val="Tabulka"/>
              <w:keepNext/>
              <w:keepLines/>
              <w:rPr>
                <w:rFonts w:eastAsia="Calibri" w:cs="Calibri"/>
                <w:b/>
                <w:lang w:val="cs-CZ" w:eastAsia="cs-CZ"/>
              </w:rPr>
            </w:pPr>
            <w:r w:rsidRPr="008B53A9">
              <w:rPr>
                <w:rFonts w:eastAsia="Calibri" w:cs="Calibri"/>
                <w:b/>
                <w:lang w:val="cs-CZ" w:eastAsia="cs-CZ"/>
              </w:rPr>
              <w:t>Nesplněná kritéria</w:t>
            </w:r>
          </w:p>
        </w:tc>
        <w:tc>
          <w:tcPr>
            <w:tcW w:w="0" w:type="auto"/>
            <w:tcBorders>
              <w:bottom w:val="single" w:sz="4" w:space="0" w:color="auto"/>
            </w:tcBorders>
            <w:shd w:val="clear" w:color="auto" w:fill="B8CCE4"/>
            <w:vAlign w:val="center"/>
          </w:tcPr>
          <w:p w:rsidR="008A186B" w:rsidRPr="008B53A9" w:rsidRDefault="008A186B" w:rsidP="008B53A9">
            <w:pPr>
              <w:pStyle w:val="Tabulka"/>
              <w:keepNext/>
              <w:keepLines/>
              <w:rPr>
                <w:rFonts w:eastAsia="Calibri" w:cs="Calibri"/>
                <w:b/>
                <w:lang w:val="cs-CZ" w:eastAsia="cs-CZ"/>
              </w:rPr>
            </w:pPr>
            <w:r w:rsidRPr="008B53A9">
              <w:rPr>
                <w:rFonts w:eastAsia="Calibri" w:cs="Calibri"/>
                <w:b/>
                <w:lang w:val="cs-CZ" w:eastAsia="cs-CZ"/>
              </w:rPr>
              <w:t>Opatření, která je třeba přijmout</w:t>
            </w:r>
            <w:r w:rsidRPr="008B53A9">
              <w:rPr>
                <w:rStyle w:val="Znakapoznpodarou"/>
                <w:rFonts w:eastAsia="Calibri" w:cs="Calibri"/>
                <w:b/>
                <w:lang w:val="cs-CZ" w:eastAsia="cs-CZ"/>
              </w:rPr>
              <w:footnoteReference w:id="109"/>
            </w:r>
          </w:p>
        </w:tc>
        <w:tc>
          <w:tcPr>
            <w:tcW w:w="0" w:type="auto"/>
            <w:tcBorders>
              <w:bottom w:val="single" w:sz="4" w:space="0" w:color="auto"/>
            </w:tcBorders>
            <w:shd w:val="clear" w:color="auto" w:fill="B8CCE4"/>
            <w:vAlign w:val="center"/>
          </w:tcPr>
          <w:p w:rsidR="008A186B" w:rsidRPr="008B53A9" w:rsidRDefault="008A186B" w:rsidP="008B53A9">
            <w:pPr>
              <w:pStyle w:val="Tabulka"/>
              <w:keepNext/>
              <w:keepLines/>
              <w:rPr>
                <w:rFonts w:eastAsia="Calibri" w:cs="Calibri"/>
                <w:b/>
                <w:lang w:val="cs-CZ" w:eastAsia="cs-CZ"/>
              </w:rPr>
            </w:pPr>
            <w:r w:rsidRPr="008B53A9">
              <w:rPr>
                <w:rFonts w:eastAsia="Calibri" w:cs="Calibri"/>
                <w:b/>
                <w:lang w:val="cs-CZ" w:eastAsia="cs-CZ"/>
              </w:rPr>
              <w:t>Lhůta (datum)</w:t>
            </w:r>
          </w:p>
        </w:tc>
        <w:tc>
          <w:tcPr>
            <w:tcW w:w="0" w:type="auto"/>
            <w:tcBorders>
              <w:bottom w:val="single" w:sz="4" w:space="0" w:color="auto"/>
            </w:tcBorders>
            <w:shd w:val="clear" w:color="auto" w:fill="B8CCE4"/>
            <w:vAlign w:val="center"/>
          </w:tcPr>
          <w:p w:rsidR="008A186B" w:rsidRPr="008B53A9" w:rsidRDefault="008A186B" w:rsidP="008B53A9">
            <w:pPr>
              <w:pStyle w:val="Tabulka"/>
              <w:keepNext/>
              <w:keepLines/>
              <w:rPr>
                <w:rFonts w:eastAsia="Calibri" w:cs="Calibri"/>
                <w:b/>
                <w:lang w:val="cs-CZ" w:eastAsia="cs-CZ"/>
              </w:rPr>
            </w:pPr>
            <w:r w:rsidRPr="008B53A9">
              <w:rPr>
                <w:rFonts w:eastAsia="Calibri" w:cs="Calibri"/>
                <w:b/>
                <w:lang w:val="cs-CZ" w:eastAsia="cs-CZ"/>
              </w:rPr>
              <w:t>Subjekty odpovědné za plnění</w:t>
            </w:r>
          </w:p>
        </w:tc>
      </w:tr>
      <w:tr w:rsidR="00886028" w:rsidRPr="008B53A9">
        <w:trPr>
          <w:trHeight w:val="414"/>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b/>
                <w:lang w:val="cs-CZ" w:eastAsia="cs-CZ"/>
              </w:rPr>
            </w:pPr>
            <w:r w:rsidRPr="008B53A9">
              <w:rPr>
                <w:rFonts w:cs="Calibri"/>
                <w:b/>
                <w:lang w:val="cs-CZ" w:eastAsia="cs-CZ"/>
              </w:rPr>
              <w:t xml:space="preserve">Existence opatření pro účinné uplatňování právních předpisů Unie o </w:t>
            </w:r>
            <w:r w:rsidR="00B008FC" w:rsidRPr="008B53A9">
              <w:rPr>
                <w:rFonts w:cs="Calibri"/>
                <w:b/>
                <w:lang w:val="cs-CZ" w:eastAsia="cs-CZ"/>
              </w:rPr>
              <w:t>veřejné podpoře</w:t>
            </w:r>
            <w:r w:rsidRPr="008B53A9">
              <w:rPr>
                <w:rFonts w:cs="Calibri"/>
                <w:b/>
                <w:lang w:val="cs-CZ" w:eastAsia="cs-CZ"/>
              </w:rPr>
              <w:t xml:space="preserve"> v oblasti fondů ESI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Opatření pro účinné uplatňování pravidel Unie o státních podporách</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Zajistit dokončení monitorovacího systému MS2014+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V návaznosti na přijetí jednotlivých programů, nejpozději do 30. 9. 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MMR - OSMS</w:t>
            </w:r>
          </w:p>
        </w:tc>
      </w:tr>
      <w:tr w:rsidR="00886028" w:rsidRPr="008B53A9">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b/>
                <w:szCs w:val="24"/>
                <w:lang w:val="cs-CZ"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szCs w:val="24"/>
                <w:lang w:val="cs-CZ"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Zajistit funkčnost přenosu dat mezi MS2014+ a Centrálním registrem de minimis</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V návaznosti na přijetí jednotlivých programů, nejpozději do 30. 9. 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MMR - OSMS</w:t>
            </w:r>
          </w:p>
        </w:tc>
      </w:tr>
      <w:tr w:rsidR="00886028" w:rsidRPr="008B53A9">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b/>
                <w:szCs w:val="24"/>
                <w:lang w:val="cs-CZ"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szCs w:val="24"/>
                <w:lang w:val="cs-CZ"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Zajistit úpravu Centrálního registru de minimis s ohledem na nová nařízení</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Do 30. 6. 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t>ÚOHS / MZe</w:t>
            </w:r>
          </w:p>
        </w:tc>
      </w:tr>
      <w:tr w:rsidR="00886028" w:rsidRPr="008B53A9">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b/>
                <w:lang w:val="cs-CZ"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lang w:val="cs-CZ" w:eastAsia="cs-CZ"/>
              </w:rPr>
            </w:pPr>
            <w:r w:rsidRPr="008B53A9">
              <w:rPr>
                <w:lang w:val="cs-CZ" w:eastAsia="cs-CZ"/>
              </w:rPr>
              <w:t>Zajistit zapracování oblasti VP (v souladu s připravovanou metodikou) do dokumentace k programům, tj. podrobný popis činností, kterými bude zajištěno dodržování pravidel kumulace, principu Deggendorf, kontrola a případné vymáhání neoprávněné podpory, spolupráce s centrálními koordinačními orgány při hlášení a oznamování podpor apod.</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Manuál interních postupů bude vydán k 30. 6. 2014.</w:t>
            </w:r>
          </w:p>
          <w:p w:rsidR="00B008FC" w:rsidRPr="008B53A9" w:rsidRDefault="00B008FC" w:rsidP="00142A82">
            <w:pPr>
              <w:pStyle w:val="Tabulka"/>
              <w:widowControl w:val="0"/>
              <w:jc w:val="left"/>
              <w:rPr>
                <w:rFonts w:cs="Calibri"/>
                <w:lang w:val="cs-CZ" w:eastAsia="cs-CZ"/>
              </w:rPr>
            </w:pPr>
            <w:r w:rsidRPr="008B53A9">
              <w:rPr>
                <w:rFonts w:cs="Calibri"/>
                <w:lang w:val="cs-CZ" w:eastAsia="cs-CZ"/>
              </w:rPr>
              <w:t>Zvláštní postupy pro aplikaci pravidla de minimis pro ŘO a ZS budou vydány do 20.6.2014, dokumentace  k procesům (čestné prohlášení a informace pro příjemce) zpracována.</w:t>
            </w:r>
          </w:p>
          <w:p w:rsidR="00886028" w:rsidRPr="008B53A9" w:rsidRDefault="00B008FC" w:rsidP="00142A82">
            <w:pPr>
              <w:pStyle w:val="Tabulka"/>
              <w:widowControl w:val="0"/>
              <w:jc w:val="left"/>
              <w:rPr>
                <w:rFonts w:cs="Calibri"/>
                <w:lang w:val="cs-CZ" w:eastAsia="cs-CZ"/>
              </w:rPr>
            </w:pPr>
            <w:r w:rsidRPr="008B53A9">
              <w:rPr>
                <w:rFonts w:cs="Calibri"/>
                <w:lang w:val="cs-CZ" w:eastAsia="cs-CZ"/>
              </w:rPr>
              <w:t xml:space="preserve">Analýza aplikace relevantních předpisů VP pro jednotlivé aktivity OPPIK – zpracována průběžně dle dopracování / </w:t>
            </w:r>
            <w:r w:rsidRPr="008B53A9">
              <w:rPr>
                <w:rFonts w:cs="Calibri"/>
                <w:lang w:val="cs-CZ" w:eastAsia="cs-CZ"/>
              </w:rPr>
              <w:lastRenderedPageBreak/>
              <w:t>změn znění SC.</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886028" w:rsidRPr="008B53A9" w:rsidRDefault="00886028" w:rsidP="00142A82">
            <w:pPr>
              <w:pStyle w:val="Tabulka"/>
              <w:widowControl w:val="0"/>
              <w:jc w:val="left"/>
              <w:rPr>
                <w:rFonts w:cs="Calibri"/>
                <w:lang w:val="cs-CZ" w:eastAsia="cs-CZ"/>
              </w:rPr>
            </w:pPr>
            <w:r w:rsidRPr="008B53A9">
              <w:rPr>
                <w:rFonts w:cs="Calibri"/>
                <w:lang w:val="cs-CZ" w:eastAsia="cs-CZ"/>
              </w:rPr>
              <w:lastRenderedPageBreak/>
              <w:t>ŘO</w:t>
            </w:r>
          </w:p>
        </w:tc>
      </w:tr>
      <w:tr w:rsidR="00B008FC" w:rsidRPr="008B53A9">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b/>
                <w:lang w:val="cs-CZ"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Zajistit soulad programu s pravidly VP. Do každé výzvy zapracovat pravidla VP.</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Manuál interních postupů bude vydán k 30. 6. 2014. Soulad s pravidly je průběžně analyzován při tvorbě a úpravě OP. Pravidla budou zapracovávána do dokumentace k výzvám před vždy jejich vyhlášením v souladu s postupy a lhůtami dle interního manuálu.</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ŘO</w:t>
            </w:r>
          </w:p>
        </w:tc>
      </w:tr>
      <w:tr w:rsidR="00B008FC" w:rsidRPr="008B53A9">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b/>
                <w:lang w:val="cs-CZ" w:eastAsia="cs-CZ"/>
              </w:rPr>
            </w:pP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 xml:space="preserve">Opatření k zajištění správní kapacity pro provádění a uplatňování právních předpisů Unie o státních podporách </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 xml:space="preserve">Dokončit veřejnou zakázku „Podklady pro metodické doporučení pro oblast veřejné podpory“ </w:t>
            </w:r>
          </w:p>
          <w:p w:rsidR="00B008FC" w:rsidRPr="008B53A9" w:rsidRDefault="00B008FC" w:rsidP="00142A82">
            <w:pPr>
              <w:pStyle w:val="Tabulka"/>
              <w:widowControl w:val="0"/>
              <w:jc w:val="left"/>
              <w:rPr>
                <w:rFonts w:cs="Calibri"/>
                <w:lang w:val="cs-CZ" w:eastAsia="cs-CZ"/>
              </w:rPr>
            </w:pPr>
            <w:r w:rsidRPr="008B53A9">
              <w:rPr>
                <w:rFonts w:cs="Calibri"/>
                <w:lang w:val="cs-CZ" w:eastAsia="cs-CZ"/>
              </w:rPr>
              <w:t>(viz současný stav)</w:t>
            </w:r>
          </w:p>
          <w:p w:rsidR="00B008FC" w:rsidRPr="008B53A9" w:rsidRDefault="00B008FC" w:rsidP="00142A82">
            <w:pPr>
              <w:pStyle w:val="Tabulka"/>
              <w:widowControl w:val="0"/>
              <w:jc w:val="left"/>
              <w:rPr>
                <w:rFonts w:cs="Calibri"/>
                <w:sz w:val="24"/>
                <w:lang w:val="cs-CZ"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lang w:val="cs-CZ" w:eastAsia="cs-CZ"/>
              </w:rPr>
            </w:pPr>
            <w:r w:rsidRPr="008B53A9">
              <w:rPr>
                <w:lang w:val="cs-CZ" w:eastAsia="cs-CZ"/>
              </w:rPr>
              <w:t>Plnění proběhne ve čtyřech etapách od podpisu Smlouvy - termíny jsou vázány na zveřejnění příslušných nařízení v Úředním věstníku EU:</w:t>
            </w:r>
          </w:p>
          <w:p w:rsidR="00B008FC" w:rsidRPr="008B53A9" w:rsidRDefault="00B008FC" w:rsidP="00142A82">
            <w:pPr>
              <w:pStyle w:val="Tabulka"/>
              <w:widowControl w:val="0"/>
              <w:jc w:val="left"/>
              <w:rPr>
                <w:lang w:val="cs-CZ" w:eastAsia="cs-CZ"/>
              </w:rPr>
            </w:pPr>
            <w:r w:rsidRPr="008B53A9">
              <w:rPr>
                <w:lang w:val="cs-CZ" w:eastAsia="cs-CZ"/>
              </w:rPr>
              <w:t>1. etapa do 30 dnů od podpisu smlouvy (tj. do konce ledna 2014),</w:t>
            </w:r>
          </w:p>
          <w:p w:rsidR="00B008FC" w:rsidRPr="008B53A9" w:rsidRDefault="00B008FC" w:rsidP="00142A82">
            <w:pPr>
              <w:pStyle w:val="Tabulka"/>
              <w:widowControl w:val="0"/>
              <w:jc w:val="left"/>
              <w:rPr>
                <w:lang w:val="cs-CZ" w:eastAsia="cs-CZ"/>
              </w:rPr>
            </w:pPr>
            <w:r w:rsidRPr="008B53A9">
              <w:rPr>
                <w:lang w:val="cs-CZ" w:eastAsia="cs-CZ"/>
              </w:rPr>
              <w:t xml:space="preserve">2. etapa 15 dní od zveřejnění nového nařízení k podpoře de minimis </w:t>
            </w:r>
          </w:p>
          <w:p w:rsidR="00B008FC" w:rsidRPr="008B53A9" w:rsidRDefault="00B008FC" w:rsidP="00142A82">
            <w:pPr>
              <w:pStyle w:val="Tabulka"/>
              <w:widowControl w:val="0"/>
              <w:jc w:val="left"/>
              <w:rPr>
                <w:lang w:val="cs-CZ" w:eastAsia="cs-CZ"/>
              </w:rPr>
            </w:pPr>
            <w:r w:rsidRPr="008B53A9">
              <w:rPr>
                <w:lang w:val="cs-CZ" w:eastAsia="cs-CZ"/>
              </w:rPr>
              <w:t>3. etapa 25 dní od zveřejnění nového obecného nařízení k blokovým výjimkám,</w:t>
            </w:r>
          </w:p>
          <w:p w:rsidR="00B008FC" w:rsidRPr="008B53A9" w:rsidRDefault="00B008FC" w:rsidP="00142A82">
            <w:pPr>
              <w:pStyle w:val="Tabulka"/>
              <w:widowControl w:val="0"/>
              <w:jc w:val="left"/>
              <w:rPr>
                <w:lang w:val="cs-CZ" w:eastAsia="cs-CZ"/>
              </w:rPr>
            </w:pPr>
            <w:r w:rsidRPr="008B53A9">
              <w:rPr>
                <w:lang w:val="cs-CZ" w:eastAsia="cs-CZ"/>
              </w:rPr>
              <w:t>4. etapa finalizace dokumentu.</w:t>
            </w:r>
          </w:p>
          <w:p w:rsidR="00B008FC" w:rsidRPr="008B53A9" w:rsidRDefault="00B008FC" w:rsidP="00142A82">
            <w:pPr>
              <w:pStyle w:val="Tabulka"/>
              <w:widowControl w:val="0"/>
              <w:jc w:val="left"/>
              <w:rPr>
                <w:lang w:val="cs-CZ" w:eastAsia="cs-CZ"/>
              </w:rPr>
            </w:pPr>
            <w:r w:rsidRPr="008B53A9">
              <w:rPr>
                <w:lang w:val="cs-CZ" w:eastAsia="cs-CZ"/>
              </w:rPr>
              <w:t xml:space="preserve">Finální </w:t>
            </w:r>
            <w:r w:rsidR="00EE7B37" w:rsidRPr="008B53A9">
              <w:rPr>
                <w:lang w:val="cs-CZ" w:eastAsia="cs-CZ"/>
              </w:rPr>
              <w:t>verze do konce I. pololetí 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lang w:val="cs-CZ" w:eastAsia="cs-CZ"/>
              </w:rPr>
            </w:pPr>
            <w:r w:rsidRPr="008B53A9">
              <w:rPr>
                <w:lang w:val="cs-CZ" w:eastAsia="cs-CZ"/>
              </w:rPr>
              <w:t>MMR</w:t>
            </w:r>
          </w:p>
        </w:tc>
      </w:tr>
      <w:tr w:rsidR="00B008FC" w:rsidRPr="008B53A9">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b/>
                <w:lang w:val="cs-CZ"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 xml:space="preserve">Dokončit veřejnou zakázku „Analytické podklady pro přípravu metodického doporučení pro implementaci </w:t>
            </w:r>
            <w:r w:rsidRPr="008B53A9">
              <w:rPr>
                <w:rFonts w:cs="Calibri"/>
                <w:lang w:val="cs-CZ" w:eastAsia="cs-CZ"/>
              </w:rPr>
              <w:lastRenderedPageBreak/>
              <w:t>finančních nástrojů v programovém období 2014 – 2020“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lang w:val="cs-CZ" w:eastAsia="cs-CZ"/>
              </w:rPr>
            </w:pPr>
            <w:r w:rsidRPr="008B53A9">
              <w:rPr>
                <w:lang w:val="cs-CZ" w:eastAsia="cs-CZ"/>
              </w:rPr>
              <w:lastRenderedPageBreak/>
              <w:t xml:space="preserve">V současnosti bylo vyhlášeno výběrové řízení na zpracovatele zakázky. Dílo bude předáno do </w:t>
            </w:r>
            <w:r w:rsidRPr="008B53A9">
              <w:rPr>
                <w:lang w:val="cs-CZ" w:eastAsia="cs-CZ"/>
              </w:rPr>
              <w:lastRenderedPageBreak/>
              <w:t xml:space="preserve">85 dnů od podpisu smlouvy. </w:t>
            </w:r>
          </w:p>
          <w:p w:rsidR="00B008FC" w:rsidRPr="008B53A9" w:rsidRDefault="00B008FC" w:rsidP="00142A82">
            <w:pPr>
              <w:pStyle w:val="Tabulka"/>
              <w:widowControl w:val="0"/>
              <w:jc w:val="left"/>
              <w:rPr>
                <w:lang w:val="cs-CZ" w:eastAsia="cs-CZ"/>
              </w:rPr>
            </w:pPr>
            <w:r w:rsidRPr="008B53A9">
              <w:rPr>
                <w:lang w:val="cs-CZ" w:eastAsia="cs-CZ"/>
              </w:rPr>
              <w:t>Finální verze v průběhu II. pololetí 2014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lang w:val="cs-CZ" w:eastAsia="cs-CZ"/>
              </w:rPr>
            </w:pPr>
            <w:r w:rsidRPr="008B53A9">
              <w:rPr>
                <w:lang w:val="cs-CZ" w:eastAsia="cs-CZ"/>
              </w:rPr>
              <w:lastRenderedPageBreak/>
              <w:t xml:space="preserve">MMR </w:t>
            </w:r>
          </w:p>
        </w:tc>
      </w:tr>
      <w:tr w:rsidR="00B008FC" w:rsidRPr="008B53A9">
        <w:trPr>
          <w:trHeight w:val="414"/>
        </w:trPr>
        <w:tc>
          <w:tcPr>
            <w:tcW w:w="0" w:type="auto"/>
            <w:vMerge/>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b/>
                <w:lang w:val="cs-CZ" w:eastAsia="cs-CZ"/>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Bude řešeno v rámci Platformy administrativní kapacita.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Operativně</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MMR + členové platformy</w:t>
            </w:r>
          </w:p>
        </w:tc>
      </w:tr>
      <w:tr w:rsidR="00EE7B37" w:rsidRPr="008B53A9">
        <w:trPr>
          <w:trHeight w:val="414"/>
        </w:trPr>
        <w:tc>
          <w:tcPr>
            <w:tcW w:w="0" w:type="auto"/>
            <w:tcBorders>
              <w:top w:val="single" w:sz="4" w:space="0" w:color="auto"/>
              <w:left w:val="single" w:sz="4" w:space="0" w:color="auto"/>
              <w:bottom w:val="single" w:sz="4" w:space="0" w:color="auto"/>
              <w:right w:val="single" w:sz="4" w:space="0" w:color="auto"/>
            </w:tcBorders>
            <w:shd w:val="clear" w:color="auto" w:fill="auto"/>
          </w:tcPr>
          <w:p w:rsidR="00EE7B37" w:rsidRPr="008B53A9" w:rsidRDefault="00EE7B37" w:rsidP="00142A82">
            <w:pPr>
              <w:pStyle w:val="Tabulka"/>
              <w:widowControl w:val="0"/>
              <w:jc w:val="left"/>
              <w:rPr>
                <w:rFonts w:cs="Calibri"/>
                <w:b/>
                <w:lang w:val="cs-CZ" w:eastAsia="cs-CZ"/>
              </w:rPr>
            </w:pPr>
            <w:r w:rsidRPr="008B53A9">
              <w:rPr>
                <w:rFonts w:cs="Calibri"/>
                <w:b/>
                <w:lang w:val="cs-CZ" w:eastAsia="cs-CZ"/>
              </w:rPr>
              <w:t>Existence opatření pro účinné uplatňování právních předpisů Unie pro oblast životního prostředí týkajících se EIA a SEA.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7B37" w:rsidRPr="008B53A9" w:rsidRDefault="00EE7B37" w:rsidP="00142A82">
            <w:pPr>
              <w:pStyle w:val="Tabulka"/>
              <w:widowControl w:val="0"/>
              <w:jc w:val="left"/>
              <w:rPr>
                <w:rFonts w:cs="Calibri"/>
                <w:lang w:val="cs-CZ" w:eastAsia="cs-CZ"/>
              </w:rPr>
            </w:pPr>
            <w:r w:rsidRPr="008B53A9">
              <w:rPr>
                <w:rFonts w:cs="Calibri"/>
                <w:color w:val="000000"/>
                <w:lang w:val="cs-CZ" w:eastAsia="cs-CZ"/>
              </w:rPr>
              <w:t>Opatření pro účinné uplatňování směrnice Evropského parlamentu a Rady 2011/92/EU  (EIA) a směrnice Evropského parlamentu a Rady 2001/42/ES (SEA),</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7B37" w:rsidRPr="008B53A9" w:rsidRDefault="00611498" w:rsidP="00142A82">
            <w:pPr>
              <w:pStyle w:val="Tabulka"/>
              <w:widowControl w:val="0"/>
              <w:jc w:val="left"/>
              <w:rPr>
                <w:lang w:val="cs-CZ" w:eastAsia="cs-CZ"/>
              </w:rPr>
            </w:pPr>
            <w:r w:rsidRPr="008B53A9">
              <w:t>Novelizace zákona EIA, stavebního zákona a souvisejících právních předpisů.</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611498" w:rsidRPr="008B53A9" w:rsidRDefault="00611498" w:rsidP="00611498">
            <w:pPr>
              <w:pStyle w:val="DAVA"/>
              <w:spacing w:before="0"/>
              <w:rPr>
                <w:rFonts w:ascii="Times New Roman" w:hAnsi="Times New Roman"/>
                <w:sz w:val="22"/>
                <w:szCs w:val="22"/>
              </w:rPr>
            </w:pPr>
            <w:r w:rsidRPr="008B53A9">
              <w:rPr>
                <w:rFonts w:ascii="Times New Roman" w:hAnsi="Times New Roman"/>
                <w:sz w:val="22"/>
                <w:szCs w:val="22"/>
              </w:rPr>
              <w:t>platnost 11/2014</w:t>
            </w:r>
          </w:p>
          <w:p w:rsidR="00611498" w:rsidRPr="008B53A9" w:rsidRDefault="00611498" w:rsidP="00611498">
            <w:pPr>
              <w:pStyle w:val="DAVA"/>
              <w:spacing w:before="0"/>
              <w:rPr>
                <w:rFonts w:ascii="Times New Roman" w:hAnsi="Times New Roman"/>
                <w:sz w:val="22"/>
                <w:szCs w:val="22"/>
              </w:rPr>
            </w:pPr>
            <w:r w:rsidRPr="008B53A9">
              <w:rPr>
                <w:rFonts w:ascii="Times New Roman" w:hAnsi="Times New Roman"/>
                <w:sz w:val="22"/>
                <w:szCs w:val="22"/>
              </w:rPr>
              <w:t xml:space="preserve">účinnost </w:t>
            </w:r>
          </w:p>
          <w:p w:rsidR="00EE7B37" w:rsidRPr="008B53A9" w:rsidRDefault="00611498" w:rsidP="00611498">
            <w:pPr>
              <w:pStyle w:val="Tabulka"/>
              <w:widowControl w:val="0"/>
              <w:jc w:val="left"/>
              <w:rPr>
                <w:rFonts w:cs="Calibri"/>
                <w:lang w:val="cs-CZ" w:eastAsia="cs-CZ"/>
              </w:rPr>
            </w:pPr>
            <w:r w:rsidRPr="008B53A9">
              <w:t>1. 1. 2015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EE7B37" w:rsidRPr="008B53A9" w:rsidRDefault="00EE7B37" w:rsidP="00142A82">
            <w:pPr>
              <w:pStyle w:val="Tabulka"/>
              <w:widowControl w:val="0"/>
              <w:jc w:val="left"/>
              <w:rPr>
                <w:rFonts w:cs="Calibri"/>
                <w:lang w:val="cs-CZ" w:eastAsia="cs-CZ"/>
              </w:rPr>
            </w:pPr>
            <w:r w:rsidRPr="008B53A9">
              <w:rPr>
                <w:rFonts w:cs="Calibri"/>
                <w:lang w:val="cs-CZ" w:eastAsia="cs-CZ"/>
              </w:rPr>
              <w:t>MŽP</w:t>
            </w:r>
          </w:p>
          <w:p w:rsidR="00EE7B37" w:rsidRPr="008B53A9" w:rsidRDefault="00EE7B37" w:rsidP="00142A82">
            <w:pPr>
              <w:pStyle w:val="Tabulka"/>
              <w:widowControl w:val="0"/>
              <w:jc w:val="left"/>
              <w:rPr>
                <w:rFonts w:cs="Calibri"/>
                <w:lang w:val="cs-CZ" w:eastAsia="cs-CZ"/>
              </w:rPr>
            </w:pPr>
            <w:r w:rsidRPr="008B53A9">
              <w:rPr>
                <w:rFonts w:cs="Calibri"/>
                <w:lang w:val="cs-CZ" w:eastAsia="cs-CZ"/>
              </w:rPr>
              <w:t>MMR</w:t>
            </w:r>
          </w:p>
        </w:tc>
      </w:tr>
      <w:tr w:rsidR="00B008FC" w:rsidRPr="008B53A9">
        <w:trPr>
          <w:trHeight w:val="424"/>
        </w:trPr>
        <w:tc>
          <w:tcPr>
            <w:tcW w:w="0" w:type="auto"/>
            <w:vMerge w:val="restart"/>
            <w:tcBorders>
              <w:top w:val="single" w:sz="4" w:space="0" w:color="auto"/>
            </w:tcBorders>
            <w:shd w:val="clear" w:color="auto" w:fill="auto"/>
          </w:tcPr>
          <w:p w:rsidR="00B008FC" w:rsidRPr="008B53A9" w:rsidRDefault="00B008FC" w:rsidP="00142A82">
            <w:pPr>
              <w:pStyle w:val="Tabulka"/>
              <w:widowControl w:val="0"/>
              <w:jc w:val="left"/>
              <w:rPr>
                <w:rFonts w:cs="Calibri"/>
                <w:b/>
                <w:lang w:val="cs-CZ" w:eastAsia="cs-CZ"/>
              </w:rPr>
            </w:pPr>
            <w:r w:rsidRPr="008B53A9">
              <w:rPr>
                <w:rFonts w:cs="Calibri"/>
                <w:b/>
                <w:lang w:val="cs-CZ" w:eastAsia="cs-CZ"/>
              </w:rPr>
              <w:t>Existence statistického základu nezbytného k provádění hodnocení za účelem posouzení účinnosti a dopadu programů.</w:t>
            </w:r>
          </w:p>
        </w:tc>
        <w:tc>
          <w:tcPr>
            <w:tcW w:w="0" w:type="auto"/>
            <w:vMerge w:val="restart"/>
            <w:tcBorders>
              <w:top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 xml:space="preserve">Opatření pro včasný sběr a agregaci statistických </w:t>
            </w:r>
            <w:r w:rsidR="0089670B" w:rsidRPr="008B53A9">
              <w:rPr>
                <w:rFonts w:cs="Calibri"/>
                <w:lang w:val="cs-CZ" w:eastAsia="cs-CZ"/>
              </w:rPr>
              <w:t>údajů</w:t>
            </w:r>
          </w:p>
        </w:tc>
        <w:tc>
          <w:tcPr>
            <w:tcW w:w="0" w:type="auto"/>
            <w:tcBorders>
              <w:top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Úprava zákona č. 101/2000 Sb., tak aby byla zajištěna možnost sl</w:t>
            </w:r>
            <w:r w:rsidR="0089670B" w:rsidRPr="008B53A9">
              <w:rPr>
                <w:rFonts w:cs="Calibri"/>
                <w:lang w:val="cs-CZ" w:eastAsia="cs-CZ"/>
              </w:rPr>
              <w:t>edování mikrodat o účastnících.</w:t>
            </w:r>
          </w:p>
        </w:tc>
        <w:tc>
          <w:tcPr>
            <w:tcW w:w="0" w:type="auto"/>
            <w:tcBorders>
              <w:top w:val="single" w:sz="4" w:space="0" w:color="auto"/>
            </w:tcBorders>
            <w:shd w:val="clear" w:color="auto" w:fill="auto"/>
          </w:tcPr>
          <w:p w:rsidR="00B008FC" w:rsidRPr="008B53A9" w:rsidRDefault="00B008FC" w:rsidP="00142A82">
            <w:pPr>
              <w:pStyle w:val="Tabulka"/>
              <w:widowControl w:val="0"/>
              <w:jc w:val="left"/>
              <w:rPr>
                <w:rFonts w:cs="Calibri"/>
                <w:lang w:val="cs-CZ" w:eastAsia="cs-CZ"/>
              </w:rPr>
            </w:pPr>
            <w:r w:rsidRPr="008B53A9">
              <w:rPr>
                <w:rFonts w:cs="Calibri"/>
                <w:lang w:val="cs-CZ" w:eastAsia="cs-CZ"/>
              </w:rPr>
              <w:t>v průběhu roku 2014</w:t>
            </w:r>
          </w:p>
        </w:tc>
        <w:tc>
          <w:tcPr>
            <w:tcW w:w="0" w:type="auto"/>
            <w:tcBorders>
              <w:top w:val="single" w:sz="4" w:space="0" w:color="auto"/>
            </w:tcBorders>
            <w:shd w:val="clear" w:color="auto" w:fill="auto"/>
          </w:tcPr>
          <w:p w:rsidR="00B008FC" w:rsidRPr="008B53A9" w:rsidRDefault="00B008FC" w:rsidP="008B53A9">
            <w:pPr>
              <w:pStyle w:val="Tabulka"/>
              <w:widowControl w:val="0"/>
              <w:jc w:val="left"/>
              <w:rPr>
                <w:rFonts w:cs="Calibri"/>
                <w:lang w:val="cs-CZ" w:eastAsia="cs-CZ"/>
              </w:rPr>
            </w:pPr>
            <w:r w:rsidRPr="008B53A9">
              <w:rPr>
                <w:rFonts w:cs="Calibri"/>
                <w:lang w:val="cs-CZ" w:eastAsia="cs-CZ"/>
              </w:rPr>
              <w:t>MMR, Úřad vlády (Úřad pro ochranu osobních údajů) + ŘO ESF programů, které mají povinnost monitorovat účastníky projektů v rámci povinných společných indikátorů (MPSV, HMP, MŠMT)</w:t>
            </w:r>
          </w:p>
        </w:tc>
      </w:tr>
      <w:tr w:rsidR="00B008FC" w:rsidRPr="008B53A9">
        <w:trPr>
          <w:trHeight w:val="424"/>
        </w:trPr>
        <w:tc>
          <w:tcPr>
            <w:tcW w:w="0" w:type="auto"/>
            <w:vMerge/>
            <w:shd w:val="clear" w:color="auto" w:fill="auto"/>
            <w:vAlign w:val="center"/>
          </w:tcPr>
          <w:p w:rsidR="00B008FC" w:rsidRPr="008B53A9" w:rsidRDefault="00B008FC" w:rsidP="00DA3EA1">
            <w:pPr>
              <w:pStyle w:val="Tabulka"/>
              <w:rPr>
                <w:rFonts w:cs="Calibri"/>
                <w:b/>
                <w:szCs w:val="24"/>
                <w:lang w:val="cs-CZ" w:eastAsia="cs-CZ"/>
              </w:rPr>
            </w:pPr>
          </w:p>
        </w:tc>
        <w:tc>
          <w:tcPr>
            <w:tcW w:w="0" w:type="auto"/>
            <w:vMerge/>
            <w:shd w:val="clear" w:color="auto" w:fill="auto"/>
            <w:vAlign w:val="center"/>
          </w:tcPr>
          <w:p w:rsidR="00B008FC" w:rsidRPr="008B53A9" w:rsidRDefault="00B008FC" w:rsidP="00142A82">
            <w:pPr>
              <w:pStyle w:val="Tabulka"/>
              <w:jc w:val="left"/>
              <w:rPr>
                <w:rFonts w:cs="Calibri"/>
                <w:szCs w:val="24"/>
                <w:lang w:val="cs-CZ" w:eastAsia="cs-CZ"/>
              </w:rPr>
            </w:pP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Technické řešení sběru údajů o účastnících (provazba na vybrané datové zdroje  - ČSSZ, ÚP apod.).</w:t>
            </w:r>
          </w:p>
          <w:p w:rsidR="00B008FC" w:rsidRPr="008B53A9" w:rsidRDefault="00B008FC" w:rsidP="00142A82">
            <w:pPr>
              <w:pStyle w:val="Tabulka"/>
              <w:jc w:val="left"/>
              <w:rPr>
                <w:rFonts w:cs="Calibri"/>
                <w:lang w:val="cs-CZ" w:eastAsia="cs-CZ"/>
              </w:rPr>
            </w:pP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 průběhu roku 2014</w:t>
            </w:r>
          </w:p>
        </w:tc>
        <w:tc>
          <w:tcPr>
            <w:tcW w:w="0" w:type="auto"/>
            <w:shd w:val="clear" w:color="auto" w:fill="auto"/>
          </w:tcPr>
          <w:p w:rsidR="00B008FC" w:rsidRPr="008B53A9" w:rsidRDefault="00B008FC" w:rsidP="008B53A9">
            <w:pPr>
              <w:pStyle w:val="Tabulka"/>
              <w:jc w:val="left"/>
              <w:rPr>
                <w:rFonts w:cs="Calibri"/>
                <w:lang w:val="cs-CZ" w:eastAsia="cs-CZ"/>
              </w:rPr>
            </w:pPr>
            <w:r w:rsidRPr="008B53A9">
              <w:rPr>
                <w:rFonts w:cs="Calibri"/>
                <w:lang w:val="cs-CZ" w:eastAsia="cs-CZ"/>
              </w:rPr>
              <w:t>MMR, Úřad vlády (Úřad pro ochranu osobních údajů) + ŘO ESF programů, které mají povinnost monitorovat účastníky projektů v rámci povinných společných indikátorů (MPSV, HMP, MŠMT)</w:t>
            </w:r>
          </w:p>
        </w:tc>
      </w:tr>
      <w:tr w:rsidR="00B008FC" w:rsidRPr="008B53A9">
        <w:trPr>
          <w:trHeight w:val="424"/>
        </w:trPr>
        <w:tc>
          <w:tcPr>
            <w:tcW w:w="0" w:type="auto"/>
            <w:vMerge/>
            <w:shd w:val="clear" w:color="auto" w:fill="auto"/>
            <w:vAlign w:val="center"/>
          </w:tcPr>
          <w:p w:rsidR="00B008FC" w:rsidRPr="008B53A9" w:rsidRDefault="00B008FC" w:rsidP="00DA3EA1">
            <w:pPr>
              <w:pStyle w:val="Tabulka"/>
              <w:rPr>
                <w:rFonts w:cs="Calibri"/>
                <w:b/>
                <w:szCs w:val="24"/>
                <w:lang w:val="cs-CZ" w:eastAsia="cs-CZ"/>
              </w:rPr>
            </w:pP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 xml:space="preserve">Určení zdrojů a mechanismů pro zajištění statistického ověřování </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Tvorba Národního číselníku indikátorů pro programové období 2014-2020.</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 průběhu roku 2014</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 xml:space="preserve">MMR, ŘO, </w:t>
            </w:r>
          </w:p>
        </w:tc>
      </w:tr>
      <w:tr w:rsidR="00B008FC" w:rsidRPr="008B53A9">
        <w:trPr>
          <w:trHeight w:val="364"/>
        </w:trPr>
        <w:tc>
          <w:tcPr>
            <w:tcW w:w="0" w:type="auto"/>
            <w:vMerge/>
            <w:shd w:val="clear" w:color="auto" w:fill="auto"/>
            <w:vAlign w:val="center"/>
          </w:tcPr>
          <w:p w:rsidR="00B008FC" w:rsidRPr="008B53A9" w:rsidRDefault="00B008FC" w:rsidP="00DA3EA1">
            <w:pPr>
              <w:pStyle w:val="Tabulka"/>
              <w:rPr>
                <w:rFonts w:cs="Calibri"/>
                <w:b/>
                <w:szCs w:val="24"/>
                <w:lang w:val="cs-CZ" w:eastAsia="cs-CZ"/>
              </w:rPr>
            </w:pPr>
          </w:p>
        </w:tc>
        <w:tc>
          <w:tcPr>
            <w:tcW w:w="0" w:type="auto"/>
            <w:shd w:val="clear" w:color="auto" w:fill="auto"/>
            <w:vAlign w:val="center"/>
          </w:tcPr>
          <w:p w:rsidR="00B008FC" w:rsidRPr="008B53A9" w:rsidRDefault="00B008FC" w:rsidP="00142A82">
            <w:pPr>
              <w:pStyle w:val="Tabulka"/>
              <w:jc w:val="left"/>
              <w:rPr>
                <w:rFonts w:cs="Calibri"/>
                <w:lang w:val="cs-CZ" w:eastAsia="cs-CZ"/>
              </w:rPr>
            </w:pPr>
            <w:r w:rsidRPr="008B53A9">
              <w:rPr>
                <w:rFonts w:cs="Calibri"/>
                <w:lang w:val="cs-CZ" w:eastAsia="cs-CZ"/>
              </w:rPr>
              <w:t xml:space="preserve">Opatření pro zveřejňování a zpřístupňování souhrnných informací veřejnosti </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Metodický pokyn pro evaluace, publicitu včetně navazujících metodických dokumentů ŘO.</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 průběhu roku 2014</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MMR, ŘO</w:t>
            </w:r>
          </w:p>
        </w:tc>
      </w:tr>
      <w:tr w:rsidR="00B008FC" w:rsidRPr="008B53A9">
        <w:trPr>
          <w:trHeight w:val="424"/>
        </w:trPr>
        <w:tc>
          <w:tcPr>
            <w:tcW w:w="0" w:type="auto"/>
            <w:vMerge w:val="restart"/>
            <w:shd w:val="clear" w:color="auto" w:fill="auto"/>
          </w:tcPr>
          <w:p w:rsidR="00B008FC" w:rsidRPr="008B53A9" w:rsidRDefault="00B008FC" w:rsidP="00142A82">
            <w:pPr>
              <w:pStyle w:val="Tabulka"/>
              <w:jc w:val="left"/>
              <w:rPr>
                <w:rFonts w:cs="Calibri"/>
                <w:b/>
                <w:lang w:val="cs-CZ" w:eastAsia="cs-CZ"/>
              </w:rPr>
            </w:pPr>
            <w:r w:rsidRPr="008B53A9">
              <w:rPr>
                <w:rFonts w:cs="Calibri"/>
                <w:b/>
                <w:lang w:val="cs-CZ" w:eastAsia="cs-CZ"/>
              </w:rPr>
              <w:t>Existence systému ukazatele výsledků nezbytného pro  výběr opatření, jež budou nejúčinněji přispívat k dosahování požadovaných výsledků, k sledování  pokroku při plnění cílů a k provedení posouzení dopadů</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Účinný systém ukazatelů výsledků, včetně:</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Vytvoření jednotného metodického prostředí pro programové dokumenty a indikátorové soustavy.</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 xml:space="preserve">v průběhu roku 2014 </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MMR, ŘO</w:t>
            </w:r>
          </w:p>
        </w:tc>
      </w:tr>
      <w:tr w:rsidR="00B008FC" w:rsidRPr="008B53A9">
        <w:trPr>
          <w:trHeight w:val="424"/>
        </w:trPr>
        <w:tc>
          <w:tcPr>
            <w:tcW w:w="0" w:type="auto"/>
            <w:vMerge/>
            <w:shd w:val="clear" w:color="auto" w:fill="auto"/>
            <w:vAlign w:val="center"/>
          </w:tcPr>
          <w:p w:rsidR="00B008FC" w:rsidRPr="008B53A9" w:rsidRDefault="00B008FC" w:rsidP="00DA3EA1">
            <w:pPr>
              <w:pStyle w:val="Tabulka"/>
              <w:rPr>
                <w:rFonts w:cs="Calibri"/>
                <w:b/>
                <w:szCs w:val="24"/>
                <w:lang w:val="cs-CZ" w:eastAsia="cs-CZ"/>
              </w:rPr>
            </w:pP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výběru ukazatelů výsledků pro každý program, jež budou vypovídat o motivaci k výběru strategických kroků financovaných z programu</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Vytvoření jednotného metodického prostředí pro programové dokumenty a indikátorové soustavy.</w:t>
            </w:r>
          </w:p>
          <w:p w:rsidR="00B008FC" w:rsidRPr="008B53A9" w:rsidRDefault="00B008FC" w:rsidP="00142A82">
            <w:pPr>
              <w:pStyle w:val="Tabulka"/>
              <w:jc w:val="left"/>
              <w:rPr>
                <w:rFonts w:cs="Calibri"/>
                <w:lang w:val="cs-CZ" w:eastAsia="cs-CZ"/>
              </w:rPr>
            </w:pP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 průběhu roku 2014</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MMR, ŘO</w:t>
            </w:r>
          </w:p>
        </w:tc>
      </w:tr>
      <w:tr w:rsidR="00B008FC" w:rsidRPr="008B53A9">
        <w:trPr>
          <w:trHeight w:val="424"/>
        </w:trPr>
        <w:tc>
          <w:tcPr>
            <w:tcW w:w="0" w:type="auto"/>
            <w:vMerge/>
            <w:shd w:val="clear" w:color="auto" w:fill="auto"/>
            <w:vAlign w:val="center"/>
          </w:tcPr>
          <w:p w:rsidR="00B008FC" w:rsidRPr="008B53A9" w:rsidRDefault="00B008FC" w:rsidP="00DA3EA1">
            <w:pPr>
              <w:pStyle w:val="Tabulka"/>
              <w:rPr>
                <w:rFonts w:cs="Calibri"/>
                <w:b/>
                <w:szCs w:val="24"/>
                <w:lang w:val="cs-CZ" w:eastAsia="cs-CZ"/>
              </w:rPr>
            </w:pP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vytyčení cílů pro tyto ukazatele</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Schválení programů</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 průběhu roku 2014</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ŘO</w:t>
            </w:r>
          </w:p>
        </w:tc>
      </w:tr>
      <w:tr w:rsidR="00B008FC" w:rsidRPr="008B53A9">
        <w:trPr>
          <w:trHeight w:val="424"/>
        </w:trPr>
        <w:tc>
          <w:tcPr>
            <w:tcW w:w="0" w:type="auto"/>
            <w:vMerge/>
            <w:shd w:val="clear" w:color="auto" w:fill="auto"/>
            <w:vAlign w:val="center"/>
          </w:tcPr>
          <w:p w:rsidR="00B008FC" w:rsidRPr="008B53A9" w:rsidRDefault="00B008FC" w:rsidP="00DA3EA1">
            <w:pPr>
              <w:pStyle w:val="Tabulka"/>
              <w:rPr>
                <w:rFonts w:cs="Calibri"/>
                <w:b/>
                <w:szCs w:val="24"/>
                <w:lang w:val="cs-CZ" w:eastAsia="cs-CZ"/>
              </w:rPr>
            </w:pP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musí být zajištěn soulad každého ukazatele s těmito podmínkami: robustností a statistickou validací, jasným normativním výkladem, souladem se strategiemi, včasným sběrem údajů,</w:t>
            </w:r>
          </w:p>
        </w:tc>
        <w:tc>
          <w:tcPr>
            <w:tcW w:w="0" w:type="auto"/>
            <w:shd w:val="clear" w:color="auto" w:fill="auto"/>
          </w:tcPr>
          <w:p w:rsidR="00B008FC" w:rsidRPr="008B53A9" w:rsidRDefault="00B008FC" w:rsidP="00142A82">
            <w:pPr>
              <w:pStyle w:val="Tabulka"/>
              <w:jc w:val="left"/>
              <w:rPr>
                <w:rFonts w:cs="Calibri"/>
                <w:szCs w:val="24"/>
                <w:lang w:val="cs-CZ" w:eastAsia="cs-CZ"/>
              </w:rPr>
            </w:pPr>
            <w:r w:rsidRPr="008B53A9">
              <w:rPr>
                <w:rFonts w:cs="Calibri"/>
                <w:szCs w:val="24"/>
                <w:lang w:val="cs-CZ" w:eastAsia="cs-CZ"/>
              </w:rPr>
              <w:t>Vytvoření jednotného metodického prostředí pro tvorbu indikátorových soustav a monitorování.</w:t>
            </w:r>
          </w:p>
          <w:p w:rsidR="00B008FC" w:rsidRPr="008B53A9" w:rsidRDefault="00B008FC" w:rsidP="00142A82">
            <w:pPr>
              <w:pStyle w:val="Tabulka"/>
              <w:jc w:val="left"/>
              <w:rPr>
                <w:rFonts w:cs="Calibri"/>
                <w:szCs w:val="24"/>
                <w:lang w:val="cs-CZ" w:eastAsia="cs-CZ"/>
              </w:rPr>
            </w:pPr>
          </w:p>
        </w:tc>
        <w:tc>
          <w:tcPr>
            <w:tcW w:w="0" w:type="auto"/>
            <w:shd w:val="clear" w:color="auto" w:fill="auto"/>
          </w:tcPr>
          <w:p w:rsidR="00B008FC" w:rsidRPr="008B53A9" w:rsidRDefault="00B008FC" w:rsidP="00142A82">
            <w:pPr>
              <w:pStyle w:val="Tabulka"/>
              <w:jc w:val="left"/>
              <w:rPr>
                <w:rFonts w:cs="Calibri"/>
                <w:szCs w:val="24"/>
                <w:lang w:val="cs-CZ" w:eastAsia="cs-CZ"/>
              </w:rPr>
            </w:pPr>
            <w:r w:rsidRPr="008B53A9">
              <w:rPr>
                <w:rFonts w:cs="Calibri"/>
                <w:szCs w:val="24"/>
                <w:lang w:val="cs-CZ" w:eastAsia="cs-CZ"/>
              </w:rPr>
              <w:t>V průběhu roku 2014</w:t>
            </w:r>
          </w:p>
        </w:tc>
        <w:tc>
          <w:tcPr>
            <w:tcW w:w="0" w:type="auto"/>
            <w:shd w:val="clear" w:color="auto" w:fill="auto"/>
          </w:tcPr>
          <w:p w:rsidR="00B008FC" w:rsidRPr="008B53A9" w:rsidRDefault="00B008FC" w:rsidP="00142A82">
            <w:pPr>
              <w:pStyle w:val="Tabulka"/>
              <w:jc w:val="left"/>
              <w:rPr>
                <w:rFonts w:cs="Calibri"/>
                <w:szCs w:val="24"/>
                <w:lang w:val="cs-CZ" w:eastAsia="cs-CZ"/>
              </w:rPr>
            </w:pPr>
            <w:r w:rsidRPr="008B53A9">
              <w:rPr>
                <w:rFonts w:cs="Calibri"/>
                <w:szCs w:val="24"/>
                <w:lang w:val="cs-CZ" w:eastAsia="cs-CZ"/>
              </w:rPr>
              <w:t>MMR, ŘO</w:t>
            </w:r>
          </w:p>
        </w:tc>
      </w:tr>
      <w:tr w:rsidR="00B008FC" w:rsidRPr="008B53A9">
        <w:trPr>
          <w:trHeight w:val="424"/>
        </w:trPr>
        <w:tc>
          <w:tcPr>
            <w:tcW w:w="0" w:type="auto"/>
            <w:vMerge/>
            <w:shd w:val="clear" w:color="auto" w:fill="auto"/>
            <w:vAlign w:val="center"/>
          </w:tcPr>
          <w:p w:rsidR="00B008FC" w:rsidRPr="008B53A9" w:rsidRDefault="00B008FC" w:rsidP="00DA3EA1">
            <w:pPr>
              <w:pStyle w:val="Tabulka"/>
              <w:rPr>
                <w:rFonts w:cs="Calibri"/>
                <w:b/>
                <w:szCs w:val="24"/>
                <w:lang w:val="cs-CZ" w:eastAsia="cs-CZ"/>
              </w:rPr>
            </w:pP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 xml:space="preserve">postupy zajišťující, aby všechny operace financované z programu </w:t>
            </w:r>
            <w:r w:rsidRPr="008B53A9">
              <w:rPr>
                <w:rFonts w:cs="Calibri"/>
                <w:lang w:val="cs-CZ" w:eastAsia="cs-CZ"/>
              </w:rPr>
              <w:lastRenderedPageBreak/>
              <w:t>používaly účinný systém ukazatelů</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lastRenderedPageBreak/>
              <w:t>Vytvoření jednotného metodického prostředí pr</w:t>
            </w:r>
            <w:r w:rsidR="0089670B" w:rsidRPr="008B53A9">
              <w:rPr>
                <w:rFonts w:cs="Calibri"/>
                <w:lang w:val="cs-CZ" w:eastAsia="cs-CZ"/>
              </w:rPr>
              <w:t>o tvorbu indikátorových soustav</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V průběhu roku 2014</w:t>
            </w:r>
          </w:p>
        </w:tc>
        <w:tc>
          <w:tcPr>
            <w:tcW w:w="0" w:type="auto"/>
            <w:shd w:val="clear" w:color="auto" w:fill="auto"/>
          </w:tcPr>
          <w:p w:rsidR="00B008FC" w:rsidRPr="008B53A9" w:rsidRDefault="00B008FC" w:rsidP="00142A82">
            <w:pPr>
              <w:pStyle w:val="Tabulka"/>
              <w:jc w:val="left"/>
              <w:rPr>
                <w:rFonts w:cs="Calibri"/>
                <w:lang w:val="cs-CZ" w:eastAsia="cs-CZ"/>
              </w:rPr>
            </w:pPr>
            <w:r w:rsidRPr="008B53A9">
              <w:rPr>
                <w:rFonts w:cs="Calibri"/>
                <w:lang w:val="cs-CZ" w:eastAsia="cs-CZ"/>
              </w:rPr>
              <w:t>MMR, ŘO</w:t>
            </w:r>
          </w:p>
        </w:tc>
      </w:tr>
    </w:tbl>
    <w:p w:rsidR="007E3732" w:rsidRPr="008B53A9" w:rsidRDefault="007E3732" w:rsidP="00EE7B37">
      <w:pPr>
        <w:pStyle w:val="Titulek"/>
        <w:keepNext/>
        <w:keepLines/>
      </w:pPr>
      <w:r w:rsidRPr="008B53A9">
        <w:lastRenderedPageBreak/>
        <w:t xml:space="preserve">Tabulka </w:t>
      </w:r>
      <w:r w:rsidR="00C3289B" w:rsidRPr="008B53A9">
        <w:fldChar w:fldCharType="begin"/>
      </w:r>
      <w:r w:rsidR="00C3289B" w:rsidRPr="008B53A9">
        <w:instrText xml:space="preserve"> SEQ Tabulka \* ARABIC </w:instrText>
      </w:r>
      <w:r w:rsidR="00C3289B" w:rsidRPr="008B53A9">
        <w:fldChar w:fldCharType="separate"/>
      </w:r>
      <w:r w:rsidR="00E54216" w:rsidRPr="008B53A9">
        <w:rPr>
          <w:noProof/>
        </w:rPr>
        <w:t>26</w:t>
      </w:r>
      <w:r w:rsidR="00C3289B" w:rsidRPr="008B53A9">
        <w:rPr>
          <w:noProof/>
        </w:rPr>
        <w:fldChar w:fldCharType="end"/>
      </w:r>
      <w:r w:rsidRPr="008B53A9">
        <w:t xml:space="preserve">: </w:t>
      </w:r>
      <w:r w:rsidR="00AE778E" w:rsidRPr="008B53A9">
        <w:t>Opatření, která je třeba přijmout, aby byly splněny tematické předběžné podmínky</w:t>
      </w:r>
    </w:p>
    <w:tbl>
      <w:tblPr>
        <w:tblW w:w="0" w:type="auto"/>
        <w:tblInd w:w="-72" w:type="dxa"/>
        <w:tblCellMar>
          <w:left w:w="70" w:type="dxa"/>
          <w:right w:w="70" w:type="dxa"/>
        </w:tblCellMar>
        <w:tblLook w:val="04A0" w:firstRow="1" w:lastRow="0" w:firstColumn="1" w:lastColumn="0" w:noHBand="0" w:noVBand="1"/>
      </w:tblPr>
      <w:tblGrid>
        <w:gridCol w:w="3669"/>
        <w:gridCol w:w="3074"/>
        <w:gridCol w:w="3277"/>
        <w:gridCol w:w="1856"/>
        <w:gridCol w:w="2480"/>
      </w:tblGrid>
      <w:tr w:rsidR="008A186B" w:rsidRPr="008B53A9">
        <w:trPr>
          <w:trHeight w:val="915"/>
        </w:trPr>
        <w:tc>
          <w:tcPr>
            <w:tcW w:w="0" w:type="auto"/>
            <w:tcBorders>
              <w:top w:val="single" w:sz="8" w:space="0" w:color="auto"/>
              <w:left w:val="single" w:sz="8" w:space="0" w:color="auto"/>
              <w:bottom w:val="single" w:sz="8" w:space="0" w:color="auto"/>
              <w:right w:val="single" w:sz="4" w:space="0" w:color="auto"/>
            </w:tcBorders>
            <w:shd w:val="clear" w:color="auto" w:fill="B8CCE4"/>
            <w:vAlign w:val="center"/>
          </w:tcPr>
          <w:p w:rsidR="008A186B" w:rsidRPr="008B53A9" w:rsidRDefault="008A186B" w:rsidP="00EE7B37">
            <w:pPr>
              <w:pStyle w:val="Tabulka"/>
              <w:keepNext/>
              <w:keepLines/>
              <w:rPr>
                <w:rFonts w:cs="Calibri"/>
                <w:b/>
                <w:lang w:val="cs-CZ" w:eastAsia="cs-CZ"/>
              </w:rPr>
            </w:pPr>
            <w:r w:rsidRPr="008B53A9">
              <w:rPr>
                <w:rFonts w:cs="Calibri"/>
                <w:b/>
                <w:lang w:val="cs-CZ" w:eastAsia="cs-CZ"/>
              </w:rPr>
              <w:t>Tematické předběžné podmínky</w:t>
            </w:r>
          </w:p>
        </w:tc>
        <w:tc>
          <w:tcPr>
            <w:tcW w:w="0" w:type="auto"/>
            <w:tcBorders>
              <w:top w:val="single" w:sz="8" w:space="0" w:color="auto"/>
              <w:left w:val="single" w:sz="4" w:space="0" w:color="auto"/>
              <w:bottom w:val="single" w:sz="8" w:space="0" w:color="auto"/>
              <w:right w:val="double" w:sz="6" w:space="0" w:color="auto"/>
            </w:tcBorders>
            <w:shd w:val="clear" w:color="auto" w:fill="B8CCE4"/>
            <w:vAlign w:val="center"/>
          </w:tcPr>
          <w:p w:rsidR="008A186B" w:rsidRPr="008B53A9" w:rsidRDefault="008A186B" w:rsidP="00EE7B37">
            <w:pPr>
              <w:pStyle w:val="Tabulka"/>
              <w:keepNext/>
              <w:keepLines/>
              <w:rPr>
                <w:rFonts w:cs="Calibri"/>
                <w:b/>
                <w:lang w:val="cs-CZ" w:eastAsia="cs-CZ"/>
              </w:rPr>
            </w:pPr>
            <w:r w:rsidRPr="008B53A9">
              <w:rPr>
                <w:rFonts w:cs="Calibri"/>
                <w:b/>
                <w:lang w:val="cs-CZ" w:eastAsia="cs-CZ"/>
              </w:rPr>
              <w:t>Nesplněná kritéria</w:t>
            </w:r>
          </w:p>
        </w:tc>
        <w:tc>
          <w:tcPr>
            <w:tcW w:w="0" w:type="auto"/>
            <w:tcBorders>
              <w:top w:val="single" w:sz="8" w:space="0" w:color="auto"/>
              <w:left w:val="nil"/>
              <w:bottom w:val="single" w:sz="8" w:space="0" w:color="auto"/>
              <w:right w:val="double" w:sz="6" w:space="0" w:color="auto"/>
            </w:tcBorders>
            <w:shd w:val="clear" w:color="auto" w:fill="B8CCE4"/>
            <w:vAlign w:val="center"/>
          </w:tcPr>
          <w:p w:rsidR="008A186B" w:rsidRPr="008B53A9" w:rsidRDefault="008A186B" w:rsidP="00EE7B37">
            <w:pPr>
              <w:pStyle w:val="Tabulka"/>
              <w:keepNext/>
              <w:keepLines/>
              <w:rPr>
                <w:rFonts w:cs="Calibri"/>
                <w:b/>
                <w:lang w:val="cs-CZ" w:eastAsia="cs-CZ"/>
              </w:rPr>
            </w:pPr>
            <w:r w:rsidRPr="008B53A9">
              <w:rPr>
                <w:rFonts w:cs="Calibri"/>
                <w:b/>
                <w:lang w:val="cs-CZ" w:eastAsia="cs-CZ"/>
              </w:rPr>
              <w:t>Opatření, která je třeba přijmout</w:t>
            </w:r>
            <w:r w:rsidRPr="008B53A9">
              <w:rPr>
                <w:rStyle w:val="Znakapoznpodarou"/>
                <w:rFonts w:cs="Calibri"/>
                <w:b/>
                <w:lang w:val="cs-CZ" w:eastAsia="cs-CZ"/>
              </w:rPr>
              <w:footnoteReference w:id="110"/>
            </w:r>
          </w:p>
        </w:tc>
        <w:tc>
          <w:tcPr>
            <w:tcW w:w="0" w:type="auto"/>
            <w:tcBorders>
              <w:top w:val="single" w:sz="8" w:space="0" w:color="auto"/>
              <w:left w:val="nil"/>
              <w:bottom w:val="single" w:sz="8" w:space="0" w:color="auto"/>
              <w:right w:val="double" w:sz="6" w:space="0" w:color="auto"/>
            </w:tcBorders>
            <w:shd w:val="clear" w:color="auto" w:fill="B8CCE4"/>
            <w:vAlign w:val="center"/>
          </w:tcPr>
          <w:p w:rsidR="008A186B" w:rsidRPr="008B53A9" w:rsidRDefault="008A186B" w:rsidP="00EE7B37">
            <w:pPr>
              <w:pStyle w:val="Tabulka"/>
              <w:keepNext/>
              <w:keepLines/>
              <w:rPr>
                <w:rFonts w:cs="Calibri"/>
                <w:b/>
                <w:lang w:val="cs-CZ" w:eastAsia="cs-CZ"/>
              </w:rPr>
            </w:pPr>
            <w:r w:rsidRPr="008B53A9">
              <w:rPr>
                <w:rFonts w:cs="Calibri"/>
                <w:b/>
                <w:lang w:val="cs-CZ" w:eastAsia="cs-CZ"/>
              </w:rPr>
              <w:t>Lhůta (datum)</w:t>
            </w:r>
          </w:p>
        </w:tc>
        <w:tc>
          <w:tcPr>
            <w:tcW w:w="0" w:type="auto"/>
            <w:tcBorders>
              <w:top w:val="single" w:sz="8" w:space="0" w:color="auto"/>
              <w:left w:val="nil"/>
              <w:bottom w:val="single" w:sz="8" w:space="0" w:color="auto"/>
              <w:right w:val="single" w:sz="8" w:space="0" w:color="auto"/>
            </w:tcBorders>
            <w:shd w:val="clear" w:color="auto" w:fill="B8CCE4"/>
            <w:vAlign w:val="center"/>
          </w:tcPr>
          <w:p w:rsidR="008A186B" w:rsidRPr="008B53A9" w:rsidRDefault="008A186B" w:rsidP="00EE7B37">
            <w:pPr>
              <w:pStyle w:val="Tabulka"/>
              <w:keepNext/>
              <w:keepLines/>
              <w:rPr>
                <w:rFonts w:cs="Calibri"/>
                <w:b/>
                <w:lang w:val="cs-CZ" w:eastAsia="cs-CZ"/>
              </w:rPr>
            </w:pPr>
            <w:r w:rsidRPr="008B53A9">
              <w:rPr>
                <w:rFonts w:cs="Calibri"/>
                <w:b/>
                <w:lang w:val="cs-CZ" w:eastAsia="cs-CZ"/>
              </w:rPr>
              <w:t>Subjekty odpovědné za plnění</w:t>
            </w:r>
          </w:p>
        </w:tc>
      </w:tr>
      <w:tr w:rsidR="008A186B" w:rsidRPr="008B53A9">
        <w:trPr>
          <w:trHeight w:val="1275"/>
        </w:trPr>
        <w:tc>
          <w:tcPr>
            <w:tcW w:w="0" w:type="auto"/>
            <w:vMerge w:val="restart"/>
            <w:tcBorders>
              <w:top w:val="nil"/>
              <w:left w:val="single" w:sz="8" w:space="0" w:color="auto"/>
              <w:bottom w:val="single" w:sz="4" w:space="0" w:color="000000"/>
              <w:right w:val="single" w:sz="4" w:space="0" w:color="auto"/>
            </w:tcBorders>
            <w:shd w:val="clear" w:color="auto" w:fill="auto"/>
          </w:tcPr>
          <w:p w:rsidR="008A186B" w:rsidRPr="008B53A9" w:rsidRDefault="008A186B" w:rsidP="0089670B">
            <w:pPr>
              <w:pStyle w:val="Tabulka"/>
              <w:jc w:val="left"/>
              <w:rPr>
                <w:rFonts w:cs="Calibri"/>
                <w:b/>
                <w:lang w:val="cs-CZ" w:eastAsia="cs-CZ"/>
              </w:rPr>
            </w:pPr>
            <w:r w:rsidRPr="008B53A9">
              <w:rPr>
                <w:rFonts w:cs="Calibri"/>
                <w:b/>
                <w:lang w:val="cs-CZ" w:eastAsia="cs-CZ"/>
              </w:rPr>
              <w:t xml:space="preserve">1.1. Výzkum a inovace: Existence národní nebo regionální strategie pro inteligentní specializaci v souladu s národním programem reforem na podporu soukromých výdajů na výzkum a inovace, která je v souladu s rysy dobře fungujících celostátních nebo regionálních systémů výzkumu a inovací. </w:t>
            </w:r>
          </w:p>
          <w:p w:rsidR="008A186B" w:rsidRPr="008B53A9" w:rsidRDefault="008A186B" w:rsidP="0089670B">
            <w:pPr>
              <w:pStyle w:val="Tabulka"/>
              <w:jc w:val="left"/>
              <w:rPr>
                <w:rFonts w:cs="Calibri"/>
                <w:b/>
                <w:lang w:val="cs-CZ" w:eastAsia="cs-CZ"/>
              </w:rPr>
            </w:pPr>
          </w:p>
        </w:tc>
        <w:tc>
          <w:tcPr>
            <w:tcW w:w="0" w:type="auto"/>
            <w:tcBorders>
              <w:top w:val="nil"/>
              <w:left w:val="nil"/>
              <w:bottom w:val="single" w:sz="4" w:space="0" w:color="auto"/>
              <w:right w:val="single" w:sz="4"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Všechna – není k dispozici vnitrostátní nebo regionální strategický rámec výzkumné a inovační politiky pro inteligentní specializaci, která:</w:t>
            </w:r>
          </w:p>
        </w:tc>
        <w:tc>
          <w:tcPr>
            <w:tcW w:w="0" w:type="auto"/>
            <w:tcBorders>
              <w:top w:val="nil"/>
              <w:left w:val="double" w:sz="6" w:space="0" w:color="auto"/>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xml:space="preserve">Připravuje se národní </w:t>
            </w:r>
            <w:r w:rsidR="002B0AB0" w:rsidRPr="008B53A9">
              <w:rPr>
                <w:rFonts w:cs="Calibri"/>
                <w:lang w:val="cs-CZ" w:eastAsia="cs-CZ"/>
              </w:rPr>
              <w:t>RI</w:t>
            </w:r>
            <w:r w:rsidRPr="008B53A9">
              <w:rPr>
                <w:rFonts w:cs="Calibri"/>
                <w:lang w:val="cs-CZ" w:eastAsia="cs-CZ"/>
              </w:rPr>
              <w:t>S3 Strategie a stane se součástí Národní politiky VaVaI (NP VaVaI).</w:t>
            </w:r>
            <w:r w:rsidR="00C7369A" w:rsidRPr="008B53A9">
              <w:rPr>
                <w:rFonts w:cs="Calibri"/>
                <w:lang w:val="cs-CZ" w:eastAsia="cs-CZ"/>
              </w:rPr>
              <w:t xml:space="preserve"> Hlavním gestorem přípravy RIS3 Strategie je MŠMT.</w:t>
            </w:r>
            <w:r w:rsidRPr="008B53A9">
              <w:rPr>
                <w:rFonts w:cs="Calibri"/>
                <w:lang w:val="cs-CZ" w:eastAsia="cs-CZ"/>
              </w:rPr>
              <w:t xml:space="preserve"> </w:t>
            </w:r>
          </w:p>
          <w:p w:rsidR="00C7369A" w:rsidRPr="008B53A9" w:rsidRDefault="00C7369A" w:rsidP="0089670B">
            <w:pPr>
              <w:pStyle w:val="Tabulka"/>
              <w:jc w:val="left"/>
              <w:rPr>
                <w:rFonts w:cs="Calibri"/>
                <w:lang w:val="cs-CZ" w:eastAsia="cs-CZ"/>
              </w:rPr>
            </w:pPr>
            <w:r w:rsidRPr="008B53A9">
              <w:rPr>
                <w:rFonts w:cs="Calibri"/>
                <w:lang w:val="cs-CZ" w:eastAsia="cs-CZ"/>
              </w:rPr>
              <w:t>Podrobn</w:t>
            </w:r>
            <w:r w:rsidR="00015717" w:rsidRPr="008B53A9">
              <w:rPr>
                <w:rFonts w:cs="Calibri"/>
                <w:lang w:val="cs-CZ" w:eastAsia="cs-CZ"/>
              </w:rPr>
              <w:t>é vyjádření - viz Příloha č. II</w:t>
            </w:r>
            <w:r w:rsidR="00E31FBA" w:rsidRPr="008B53A9">
              <w:t xml:space="preserve"> a Akční plán pro plnění RIS3 ex-ante kondicionality.</w:t>
            </w:r>
          </w:p>
          <w:p w:rsidR="008A186B" w:rsidRPr="008B53A9" w:rsidRDefault="008A186B" w:rsidP="0089670B">
            <w:pPr>
              <w:pStyle w:val="Tabulka"/>
              <w:jc w:val="left"/>
              <w:rPr>
                <w:rFonts w:cs="Calibri"/>
                <w:lang w:val="cs-CZ" w:eastAsia="cs-CZ"/>
              </w:rPr>
            </w:pPr>
          </w:p>
        </w:tc>
        <w:tc>
          <w:tcPr>
            <w:tcW w:w="0" w:type="auto"/>
            <w:tcBorders>
              <w:top w:val="nil"/>
              <w:left w:val="nil"/>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31. 12. 2014</w:t>
            </w:r>
          </w:p>
        </w:tc>
        <w:tc>
          <w:tcPr>
            <w:tcW w:w="0" w:type="auto"/>
            <w:tcBorders>
              <w:top w:val="nil"/>
              <w:left w:val="nil"/>
              <w:bottom w:val="single" w:sz="4" w:space="0" w:color="auto"/>
              <w:right w:val="single" w:sz="8"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xml:space="preserve">MŠMT </w:t>
            </w:r>
          </w:p>
          <w:p w:rsidR="008A186B" w:rsidRPr="008B53A9" w:rsidRDefault="008A186B" w:rsidP="0089670B">
            <w:pPr>
              <w:pStyle w:val="Tabulka"/>
              <w:jc w:val="left"/>
              <w:rPr>
                <w:rFonts w:cs="Calibri"/>
                <w:lang w:val="cs-CZ" w:eastAsia="cs-CZ"/>
              </w:rPr>
            </w:pPr>
            <w:r w:rsidRPr="008B53A9">
              <w:rPr>
                <w:rFonts w:cs="Calibri"/>
                <w:lang w:val="cs-CZ" w:eastAsia="cs-CZ"/>
              </w:rPr>
              <w:t>MPO (spolugestor)</w:t>
            </w:r>
          </w:p>
          <w:p w:rsidR="008A186B" w:rsidRPr="008B53A9" w:rsidRDefault="008A186B" w:rsidP="0089670B">
            <w:pPr>
              <w:pStyle w:val="Tabulka"/>
              <w:jc w:val="left"/>
              <w:rPr>
                <w:rFonts w:cs="Calibri"/>
                <w:lang w:val="cs-CZ" w:eastAsia="cs-CZ"/>
              </w:rPr>
            </w:pPr>
            <w:r w:rsidRPr="008B53A9">
              <w:rPr>
                <w:rFonts w:cs="Calibri"/>
                <w:lang w:val="cs-CZ" w:eastAsia="cs-CZ"/>
              </w:rPr>
              <w:t>MHMP, URM – RIS Praha ve spolupráci s RIS3 Koordinační radou složenou ze zástupců následujících institucí: MŠMT, MPO, MMR, MZE, MPSV, MV, TA ČR, AV ČR, AK ČR, ČKR, RVVI, HK ČR, SPD, AVO, SMO, Magistrát hl. m. Prahy</w:t>
            </w:r>
          </w:p>
        </w:tc>
      </w:tr>
      <w:tr w:rsidR="008A186B" w:rsidRPr="008B53A9">
        <w:trPr>
          <w:trHeight w:val="1020"/>
        </w:trPr>
        <w:tc>
          <w:tcPr>
            <w:tcW w:w="0" w:type="auto"/>
            <w:vMerge/>
            <w:tcBorders>
              <w:top w:val="nil"/>
              <w:left w:val="single" w:sz="8" w:space="0" w:color="auto"/>
              <w:bottom w:val="single" w:sz="4" w:space="0" w:color="000000"/>
              <w:right w:val="single" w:sz="4" w:space="0" w:color="auto"/>
            </w:tcBorders>
            <w:shd w:val="clear" w:color="auto" w:fill="auto"/>
          </w:tcPr>
          <w:p w:rsidR="008A186B" w:rsidRPr="008B53A9" w:rsidRDefault="008A186B" w:rsidP="00DA3EA1">
            <w:pPr>
              <w:pStyle w:val="Tabulka"/>
              <w:jc w:val="left"/>
              <w:rPr>
                <w:rFonts w:cs="Calibri"/>
                <w:b/>
                <w:lang w:val="cs-CZ" w:eastAsia="cs-CZ"/>
              </w:rPr>
            </w:pPr>
          </w:p>
        </w:tc>
        <w:tc>
          <w:tcPr>
            <w:tcW w:w="0" w:type="auto"/>
            <w:tcBorders>
              <w:top w:val="nil"/>
              <w:left w:val="nil"/>
              <w:bottom w:val="single" w:sz="4" w:space="0" w:color="auto"/>
              <w:right w:val="single" w:sz="4"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je založena na analýze silných a slabých stránek, příležitostí a hrozeb nebo podobné analýze s cílem soustředit zdroje na omezený soubor priorit v oblasti výzkumu a inovací,</w:t>
            </w:r>
          </w:p>
        </w:tc>
        <w:tc>
          <w:tcPr>
            <w:tcW w:w="0" w:type="auto"/>
            <w:tcBorders>
              <w:top w:val="nil"/>
              <w:left w:val="double" w:sz="6" w:space="0" w:color="auto"/>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Viz výše.</w:t>
            </w:r>
          </w:p>
          <w:p w:rsidR="008A186B" w:rsidRPr="008B53A9" w:rsidRDefault="008A186B" w:rsidP="0089670B">
            <w:pPr>
              <w:pStyle w:val="Tabulka"/>
              <w:jc w:val="left"/>
              <w:rPr>
                <w:rFonts w:cs="Calibri"/>
                <w:lang w:val="cs-CZ" w:eastAsia="cs-CZ"/>
              </w:rPr>
            </w:pPr>
            <w:r w:rsidRPr="008B53A9">
              <w:rPr>
                <w:rFonts w:cs="Calibri"/>
                <w:lang w:val="cs-CZ" w:eastAsia="cs-CZ"/>
              </w:rPr>
              <w:t>Většina opatření v gesci MPO bude realizována odpovídajícími nástroji v období 2014+ .</w:t>
            </w:r>
          </w:p>
          <w:p w:rsidR="008A186B" w:rsidRPr="008B53A9" w:rsidRDefault="008A186B" w:rsidP="0089670B">
            <w:pPr>
              <w:pStyle w:val="Tabulka"/>
              <w:jc w:val="left"/>
              <w:rPr>
                <w:rFonts w:cs="Calibri"/>
                <w:lang w:val="cs-CZ" w:eastAsia="cs-CZ"/>
              </w:rPr>
            </w:pPr>
          </w:p>
        </w:tc>
        <w:tc>
          <w:tcPr>
            <w:tcW w:w="0" w:type="auto"/>
            <w:tcBorders>
              <w:top w:val="nil"/>
              <w:left w:val="nil"/>
              <w:bottom w:val="single" w:sz="4" w:space="0" w:color="auto"/>
              <w:right w:val="double" w:sz="6" w:space="0" w:color="auto"/>
            </w:tcBorders>
            <w:shd w:val="clear" w:color="auto" w:fill="auto"/>
          </w:tcPr>
          <w:p w:rsidR="008A186B" w:rsidRPr="008B53A9" w:rsidRDefault="008A186B" w:rsidP="00E31FBA">
            <w:pPr>
              <w:pStyle w:val="Tabulka"/>
              <w:jc w:val="left"/>
              <w:rPr>
                <w:rFonts w:cs="Calibri"/>
                <w:lang w:val="cs-CZ" w:eastAsia="cs-CZ"/>
              </w:rPr>
            </w:pPr>
            <w:r w:rsidRPr="008B53A9">
              <w:rPr>
                <w:rFonts w:cs="Calibri"/>
                <w:lang w:val="cs-CZ" w:eastAsia="cs-CZ"/>
              </w:rPr>
              <w:t xml:space="preserve">Do konce </w:t>
            </w:r>
            <w:r w:rsidR="00E31FBA" w:rsidRPr="008B53A9">
              <w:rPr>
                <w:rFonts w:cs="Calibri"/>
                <w:lang w:val="cs-CZ" w:eastAsia="cs-CZ"/>
              </w:rPr>
              <w:t>4</w:t>
            </w:r>
            <w:r w:rsidRPr="008B53A9">
              <w:rPr>
                <w:rFonts w:cs="Calibri"/>
                <w:lang w:val="cs-CZ" w:eastAsia="cs-CZ"/>
              </w:rPr>
              <w:t>Q 2014</w:t>
            </w:r>
          </w:p>
        </w:tc>
        <w:tc>
          <w:tcPr>
            <w:tcW w:w="0" w:type="auto"/>
            <w:tcBorders>
              <w:top w:val="nil"/>
              <w:left w:val="nil"/>
              <w:bottom w:val="single" w:sz="4" w:space="0" w:color="auto"/>
              <w:right w:val="single" w:sz="8"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Viz výše</w:t>
            </w:r>
          </w:p>
        </w:tc>
      </w:tr>
      <w:tr w:rsidR="008A186B" w:rsidRPr="008B53A9">
        <w:trPr>
          <w:trHeight w:val="765"/>
        </w:trPr>
        <w:tc>
          <w:tcPr>
            <w:tcW w:w="0" w:type="auto"/>
            <w:vMerge/>
            <w:tcBorders>
              <w:top w:val="nil"/>
              <w:left w:val="single" w:sz="8" w:space="0" w:color="auto"/>
              <w:bottom w:val="single" w:sz="4" w:space="0" w:color="000000"/>
              <w:right w:val="single" w:sz="4" w:space="0" w:color="auto"/>
            </w:tcBorders>
            <w:shd w:val="clear" w:color="auto" w:fill="auto"/>
          </w:tcPr>
          <w:p w:rsidR="008A186B" w:rsidRPr="008B53A9" w:rsidRDefault="008A186B" w:rsidP="00DA3EA1">
            <w:pPr>
              <w:pStyle w:val="Tabulka"/>
              <w:jc w:val="left"/>
              <w:rPr>
                <w:rFonts w:cs="Calibri"/>
                <w:b/>
                <w:lang w:val="cs-CZ" w:eastAsia="cs-CZ"/>
              </w:rPr>
            </w:pPr>
          </w:p>
        </w:tc>
        <w:tc>
          <w:tcPr>
            <w:tcW w:w="0" w:type="auto"/>
            <w:tcBorders>
              <w:top w:val="nil"/>
              <w:left w:val="nil"/>
              <w:bottom w:val="single" w:sz="4" w:space="0" w:color="auto"/>
              <w:right w:val="single" w:sz="4"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nastiňuje opatření na podporu soukromých investic v oblasti výzkumu a technického rozvoje,</w:t>
            </w:r>
          </w:p>
        </w:tc>
        <w:tc>
          <w:tcPr>
            <w:tcW w:w="0" w:type="auto"/>
            <w:tcBorders>
              <w:top w:val="nil"/>
              <w:left w:val="double" w:sz="6" w:space="0" w:color="auto"/>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Viz výše.</w:t>
            </w:r>
          </w:p>
          <w:p w:rsidR="008A186B" w:rsidRPr="008B53A9" w:rsidRDefault="008A186B" w:rsidP="0089670B">
            <w:pPr>
              <w:pStyle w:val="Tabulka"/>
              <w:jc w:val="left"/>
              <w:rPr>
                <w:rFonts w:cs="Calibri"/>
                <w:lang w:val="cs-CZ" w:eastAsia="cs-CZ"/>
              </w:rPr>
            </w:pPr>
            <w:r w:rsidRPr="008B53A9">
              <w:rPr>
                <w:rFonts w:cs="Calibri"/>
                <w:lang w:val="cs-CZ" w:eastAsia="cs-CZ"/>
              </w:rPr>
              <w:t xml:space="preserve">Většina opatření v gesci MPO bude realizována odpovídajícími nástroji v období 2014+ . </w:t>
            </w:r>
          </w:p>
        </w:tc>
        <w:tc>
          <w:tcPr>
            <w:tcW w:w="0" w:type="auto"/>
            <w:tcBorders>
              <w:top w:val="nil"/>
              <w:left w:val="nil"/>
              <w:bottom w:val="single" w:sz="4" w:space="0" w:color="auto"/>
              <w:right w:val="double" w:sz="6" w:space="0" w:color="auto"/>
            </w:tcBorders>
            <w:shd w:val="clear" w:color="auto" w:fill="auto"/>
          </w:tcPr>
          <w:p w:rsidR="008A186B" w:rsidRPr="008B53A9" w:rsidRDefault="002E4E3F" w:rsidP="00E31FBA">
            <w:pPr>
              <w:pStyle w:val="Tabulka"/>
              <w:jc w:val="left"/>
              <w:rPr>
                <w:rFonts w:cs="Calibri"/>
                <w:lang w:val="cs-CZ" w:eastAsia="cs-CZ"/>
              </w:rPr>
            </w:pPr>
            <w:r w:rsidRPr="008B53A9">
              <w:rPr>
                <w:rFonts w:cs="Calibri"/>
                <w:lang w:val="cs-CZ" w:eastAsia="cs-CZ"/>
              </w:rPr>
              <w:t xml:space="preserve">Do konce </w:t>
            </w:r>
            <w:r w:rsidR="00E31FBA" w:rsidRPr="008B53A9">
              <w:rPr>
                <w:rFonts w:cs="Calibri"/>
                <w:lang w:val="cs-CZ" w:eastAsia="cs-CZ"/>
              </w:rPr>
              <w:t>4</w:t>
            </w:r>
            <w:r w:rsidR="008A186B" w:rsidRPr="008B53A9">
              <w:rPr>
                <w:rFonts w:cs="Calibri"/>
                <w:lang w:val="cs-CZ" w:eastAsia="cs-CZ"/>
              </w:rPr>
              <w:t>Q 2014</w:t>
            </w:r>
          </w:p>
        </w:tc>
        <w:tc>
          <w:tcPr>
            <w:tcW w:w="0" w:type="auto"/>
            <w:tcBorders>
              <w:top w:val="nil"/>
              <w:left w:val="nil"/>
              <w:bottom w:val="single" w:sz="4" w:space="0" w:color="auto"/>
              <w:right w:val="single" w:sz="8"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Viz výše</w:t>
            </w:r>
          </w:p>
        </w:tc>
      </w:tr>
      <w:tr w:rsidR="008A186B" w:rsidRPr="008B53A9">
        <w:trPr>
          <w:trHeight w:val="300"/>
        </w:trPr>
        <w:tc>
          <w:tcPr>
            <w:tcW w:w="0" w:type="auto"/>
            <w:vMerge/>
            <w:tcBorders>
              <w:top w:val="nil"/>
              <w:left w:val="single" w:sz="8" w:space="0" w:color="auto"/>
              <w:bottom w:val="single" w:sz="4" w:space="0" w:color="000000"/>
              <w:right w:val="single" w:sz="4" w:space="0" w:color="auto"/>
            </w:tcBorders>
            <w:shd w:val="clear" w:color="auto" w:fill="auto"/>
          </w:tcPr>
          <w:p w:rsidR="008A186B" w:rsidRPr="008B53A9" w:rsidRDefault="008A186B" w:rsidP="00DA3EA1">
            <w:pPr>
              <w:pStyle w:val="Tabulka"/>
              <w:jc w:val="left"/>
              <w:rPr>
                <w:rFonts w:cs="Calibri"/>
                <w:b/>
                <w:lang w:val="cs-CZ" w:eastAsia="cs-CZ"/>
              </w:rPr>
            </w:pPr>
          </w:p>
        </w:tc>
        <w:tc>
          <w:tcPr>
            <w:tcW w:w="0" w:type="auto"/>
            <w:tcBorders>
              <w:top w:val="nil"/>
              <w:left w:val="nil"/>
              <w:bottom w:val="single" w:sz="4" w:space="0" w:color="auto"/>
              <w:right w:val="single" w:sz="4"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obsahuje mechanismus sledování</w:t>
            </w:r>
          </w:p>
        </w:tc>
        <w:tc>
          <w:tcPr>
            <w:tcW w:w="0" w:type="auto"/>
            <w:tcBorders>
              <w:top w:val="nil"/>
              <w:left w:val="double" w:sz="6" w:space="0" w:color="auto"/>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Součástí strategie bude sada monitorovacích indikátorů, s jejichž pomocí bude sledováno plnění RIS3.</w:t>
            </w:r>
            <w:r w:rsidR="00015717" w:rsidRPr="008B53A9">
              <w:rPr>
                <w:lang w:val="cs-CZ" w:eastAsia="cs-CZ"/>
              </w:rPr>
              <w:t xml:space="preserve"> Vzhledem k tomu, že Strategie bude naplňována zejména prostřednictvím operačních programů podporujících VaV, tyto monitorovací indikátory by měly v ideálním případě odpovídat či se do jisté míry krýt s monitorovacími indikátory jednotlivých operačních programů.</w:t>
            </w:r>
          </w:p>
        </w:tc>
        <w:tc>
          <w:tcPr>
            <w:tcW w:w="0" w:type="auto"/>
            <w:tcBorders>
              <w:top w:val="nil"/>
              <w:left w:val="nil"/>
              <w:bottom w:val="single" w:sz="4" w:space="0" w:color="auto"/>
              <w:right w:val="double" w:sz="6" w:space="0" w:color="auto"/>
            </w:tcBorders>
            <w:shd w:val="clear" w:color="auto" w:fill="auto"/>
          </w:tcPr>
          <w:p w:rsidR="008A186B" w:rsidRPr="008B53A9" w:rsidRDefault="008A186B" w:rsidP="00E31FBA">
            <w:pPr>
              <w:pStyle w:val="Tabulka"/>
              <w:jc w:val="left"/>
              <w:rPr>
                <w:rFonts w:cs="Calibri"/>
                <w:lang w:val="cs-CZ" w:eastAsia="cs-CZ"/>
              </w:rPr>
            </w:pPr>
            <w:r w:rsidRPr="008B53A9">
              <w:rPr>
                <w:rFonts w:cs="Calibri"/>
                <w:lang w:val="cs-CZ" w:eastAsia="cs-CZ"/>
              </w:rPr>
              <w:t xml:space="preserve">Do konce </w:t>
            </w:r>
            <w:r w:rsidR="00E31FBA" w:rsidRPr="008B53A9">
              <w:rPr>
                <w:rFonts w:cs="Calibri"/>
                <w:lang w:val="cs-CZ" w:eastAsia="cs-CZ"/>
              </w:rPr>
              <w:t>4</w:t>
            </w:r>
            <w:r w:rsidRPr="008B53A9">
              <w:rPr>
                <w:rFonts w:cs="Calibri"/>
                <w:lang w:val="cs-CZ" w:eastAsia="cs-CZ"/>
              </w:rPr>
              <w:t>Q 2014</w:t>
            </w:r>
          </w:p>
        </w:tc>
        <w:tc>
          <w:tcPr>
            <w:tcW w:w="0" w:type="auto"/>
            <w:tcBorders>
              <w:top w:val="nil"/>
              <w:left w:val="nil"/>
              <w:bottom w:val="single" w:sz="4" w:space="0" w:color="auto"/>
              <w:right w:val="single" w:sz="8"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Viz výše</w:t>
            </w:r>
          </w:p>
        </w:tc>
      </w:tr>
      <w:tr w:rsidR="008A186B" w:rsidRPr="008B53A9">
        <w:trPr>
          <w:trHeight w:val="765"/>
        </w:trPr>
        <w:tc>
          <w:tcPr>
            <w:tcW w:w="0" w:type="auto"/>
            <w:vMerge/>
            <w:tcBorders>
              <w:top w:val="nil"/>
              <w:left w:val="single" w:sz="8" w:space="0" w:color="auto"/>
              <w:bottom w:val="single" w:sz="4" w:space="0" w:color="auto"/>
              <w:right w:val="single" w:sz="4" w:space="0" w:color="auto"/>
            </w:tcBorders>
            <w:shd w:val="clear" w:color="auto" w:fill="auto"/>
          </w:tcPr>
          <w:p w:rsidR="008A186B" w:rsidRPr="008B53A9" w:rsidRDefault="008A186B" w:rsidP="00DA3EA1">
            <w:pPr>
              <w:pStyle w:val="Tabulka"/>
              <w:jc w:val="left"/>
              <w:rPr>
                <w:rFonts w:cs="Calibri"/>
                <w:b/>
                <w:lang w:val="cs-CZ" w:eastAsia="cs-CZ"/>
              </w:rPr>
            </w:pPr>
          </w:p>
        </w:tc>
        <w:tc>
          <w:tcPr>
            <w:tcW w:w="0" w:type="auto"/>
            <w:tcBorders>
              <w:top w:val="nil"/>
              <w:left w:val="nil"/>
              <w:bottom w:val="single" w:sz="4" w:space="0" w:color="auto"/>
              <w:right w:val="single" w:sz="4"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Byl přijat rámec, který vymezuje dostupné rozpočtové zdroje pro výzkum a inovace.</w:t>
            </w:r>
          </w:p>
        </w:tc>
        <w:tc>
          <w:tcPr>
            <w:tcW w:w="0" w:type="auto"/>
            <w:tcBorders>
              <w:top w:val="nil"/>
              <w:left w:val="double" w:sz="6" w:space="0" w:color="auto"/>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RIS3 bude součástí aktualizované NP VaVaI. Naváže na další dokumenty pro řízení zdrojů na VaV.</w:t>
            </w:r>
          </w:p>
        </w:tc>
        <w:tc>
          <w:tcPr>
            <w:tcW w:w="0" w:type="auto"/>
            <w:tcBorders>
              <w:top w:val="nil"/>
              <w:left w:val="nil"/>
              <w:bottom w:val="single" w:sz="4" w:space="0" w:color="auto"/>
              <w:right w:val="double" w:sz="6" w:space="0" w:color="auto"/>
            </w:tcBorders>
            <w:shd w:val="clear" w:color="auto" w:fill="auto"/>
          </w:tcPr>
          <w:p w:rsidR="008A186B" w:rsidRPr="008B53A9" w:rsidRDefault="008A186B" w:rsidP="00E31FBA">
            <w:pPr>
              <w:pStyle w:val="Tabulka"/>
              <w:jc w:val="left"/>
              <w:rPr>
                <w:rFonts w:cs="Calibri"/>
                <w:lang w:val="cs-CZ" w:eastAsia="cs-CZ"/>
              </w:rPr>
            </w:pPr>
            <w:r w:rsidRPr="008B53A9">
              <w:rPr>
                <w:rFonts w:cs="Calibri"/>
                <w:lang w:val="cs-CZ" w:eastAsia="cs-CZ"/>
              </w:rPr>
              <w:t xml:space="preserve">Do konce </w:t>
            </w:r>
            <w:r w:rsidR="00E31FBA" w:rsidRPr="008B53A9">
              <w:rPr>
                <w:rFonts w:cs="Calibri"/>
                <w:lang w:val="cs-CZ" w:eastAsia="cs-CZ"/>
              </w:rPr>
              <w:t>4</w:t>
            </w:r>
            <w:r w:rsidRPr="008B53A9">
              <w:rPr>
                <w:rFonts w:cs="Calibri"/>
                <w:lang w:val="cs-CZ" w:eastAsia="cs-CZ"/>
              </w:rPr>
              <w:t>Q 2014</w:t>
            </w:r>
          </w:p>
        </w:tc>
        <w:tc>
          <w:tcPr>
            <w:tcW w:w="0" w:type="auto"/>
            <w:tcBorders>
              <w:top w:val="nil"/>
              <w:left w:val="nil"/>
              <w:bottom w:val="single" w:sz="4" w:space="0" w:color="auto"/>
              <w:right w:val="single" w:sz="8"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Viz výše</w:t>
            </w:r>
          </w:p>
        </w:tc>
      </w:tr>
      <w:tr w:rsidR="008A186B" w:rsidRPr="008B53A9">
        <w:trPr>
          <w:trHeight w:val="928"/>
        </w:trPr>
        <w:tc>
          <w:tcPr>
            <w:tcW w:w="0" w:type="auto"/>
            <w:vMerge w:val="restart"/>
            <w:tcBorders>
              <w:top w:val="single" w:sz="4" w:space="0" w:color="auto"/>
              <w:left w:val="single" w:sz="8" w:space="0" w:color="auto"/>
              <w:bottom w:val="single" w:sz="4" w:space="0" w:color="000000"/>
              <w:right w:val="single" w:sz="4" w:space="0" w:color="auto"/>
            </w:tcBorders>
            <w:shd w:val="clear" w:color="auto" w:fill="auto"/>
          </w:tcPr>
          <w:p w:rsidR="008A186B" w:rsidRPr="008B53A9" w:rsidRDefault="008A186B" w:rsidP="0089670B">
            <w:pPr>
              <w:pStyle w:val="Tabulka"/>
              <w:jc w:val="left"/>
              <w:rPr>
                <w:rFonts w:cs="Calibri"/>
                <w:b/>
                <w:lang w:val="cs-CZ" w:eastAsia="cs-CZ"/>
              </w:rPr>
            </w:pPr>
            <w:r w:rsidRPr="008B53A9">
              <w:rPr>
                <w:rFonts w:cs="Calibri"/>
                <w:b/>
                <w:lang w:val="cs-CZ" w:eastAsia="cs-CZ"/>
              </w:rPr>
              <w:t>2.1: Digitální růst: Strategický rámec politiky pro digitální růst, který má podněcovat cenově dostupné, kvalitní a interoperabilní soukromé a veřejné služby v oblasti IKT a zvýšit míru jejich využívání občany(včetně zranitelných skupin), podniky a orgány veřejné správy včetně přeshraničních iniciativ</w:t>
            </w:r>
          </w:p>
        </w:tc>
        <w:tc>
          <w:tcPr>
            <w:tcW w:w="0" w:type="auto"/>
            <w:vMerge w:val="restart"/>
            <w:tcBorders>
              <w:top w:val="single" w:sz="4" w:space="0" w:color="auto"/>
              <w:left w:val="nil"/>
              <w:right w:val="single" w:sz="4"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xml:space="preserve"> V rámci národní nebo regionální strategie pro inteligentní specializaci je vypracován například strategický rámec politiky pro digitální růst, který obsahuje:</w:t>
            </w:r>
          </w:p>
        </w:tc>
        <w:tc>
          <w:tcPr>
            <w:tcW w:w="0" w:type="auto"/>
            <w:tcBorders>
              <w:top w:val="single" w:sz="4" w:space="0" w:color="auto"/>
              <w:left w:val="double" w:sz="6" w:space="0" w:color="auto"/>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xml:space="preserve">Přijmout vládou „Strategický rámec rozvoje veřejné správy </w:t>
            </w:r>
            <w:r w:rsidR="0029120E" w:rsidRPr="008B53A9">
              <w:rPr>
                <w:rFonts w:cs="Calibri"/>
                <w:lang w:val="cs-CZ" w:eastAsia="cs-CZ"/>
              </w:rPr>
              <w:t xml:space="preserve">České republiky </w:t>
            </w:r>
            <w:r w:rsidR="008539C6" w:rsidRPr="008B53A9">
              <w:rPr>
                <w:rFonts w:cs="Calibri"/>
                <w:lang w:val="cs-CZ" w:eastAsia="cs-CZ"/>
              </w:rPr>
              <w:t>2014+</w:t>
            </w:r>
            <w:r w:rsidRPr="008B53A9">
              <w:rPr>
                <w:rFonts w:cs="Calibri"/>
                <w:lang w:val="cs-CZ" w:eastAsia="cs-CZ"/>
              </w:rPr>
              <w:t>“</w:t>
            </w:r>
          </w:p>
        </w:tc>
        <w:tc>
          <w:tcPr>
            <w:tcW w:w="0" w:type="auto"/>
            <w:tcBorders>
              <w:top w:val="single" w:sz="4" w:space="0" w:color="auto"/>
              <w:left w:val="nil"/>
              <w:bottom w:val="single" w:sz="4" w:space="0" w:color="auto"/>
              <w:right w:val="double" w:sz="6" w:space="0" w:color="auto"/>
            </w:tcBorders>
            <w:shd w:val="clear" w:color="auto" w:fill="auto"/>
          </w:tcPr>
          <w:p w:rsidR="008A186B" w:rsidRPr="008B53A9" w:rsidRDefault="008539C6" w:rsidP="0089670B">
            <w:pPr>
              <w:pStyle w:val="Tabulka"/>
              <w:jc w:val="left"/>
              <w:rPr>
                <w:rFonts w:cs="Calibri"/>
                <w:lang w:val="cs-CZ" w:eastAsia="cs-CZ"/>
              </w:rPr>
            </w:pPr>
            <w:r w:rsidRPr="008B53A9">
              <w:rPr>
                <w:rFonts w:cs="Calibri"/>
                <w:lang w:val="cs-CZ" w:eastAsia="cs-CZ"/>
              </w:rPr>
              <w:t>6/</w:t>
            </w:r>
            <w:r w:rsidR="008A186B" w:rsidRPr="008B53A9">
              <w:rPr>
                <w:rFonts w:cs="Calibri"/>
                <w:lang w:val="cs-CZ" w:eastAsia="cs-CZ"/>
              </w:rPr>
              <w:t>2014</w:t>
            </w:r>
          </w:p>
          <w:p w:rsidR="008A186B" w:rsidRPr="008B53A9" w:rsidRDefault="008A186B" w:rsidP="0089670B">
            <w:pPr>
              <w:pStyle w:val="Tabulka"/>
              <w:jc w:val="left"/>
              <w:rPr>
                <w:rFonts w:cs="Calibri"/>
                <w:lang w:val="cs-CZ" w:eastAsia="cs-CZ"/>
              </w:rPr>
            </w:pPr>
          </w:p>
        </w:tc>
        <w:tc>
          <w:tcPr>
            <w:tcW w:w="0" w:type="auto"/>
            <w:tcBorders>
              <w:top w:val="single" w:sz="4" w:space="0" w:color="auto"/>
              <w:left w:val="nil"/>
              <w:bottom w:val="single" w:sz="4" w:space="0" w:color="auto"/>
              <w:right w:val="single" w:sz="8"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MV</w:t>
            </w:r>
          </w:p>
        </w:tc>
      </w:tr>
      <w:tr w:rsidR="008A186B" w:rsidRPr="008B53A9">
        <w:trPr>
          <w:trHeight w:val="1530"/>
        </w:trPr>
        <w:tc>
          <w:tcPr>
            <w:tcW w:w="0" w:type="auto"/>
            <w:vMerge/>
            <w:tcBorders>
              <w:top w:val="nil"/>
              <w:left w:val="single" w:sz="8" w:space="0" w:color="auto"/>
              <w:bottom w:val="single" w:sz="4" w:space="0" w:color="000000"/>
              <w:right w:val="single" w:sz="4" w:space="0" w:color="auto"/>
            </w:tcBorders>
            <w:shd w:val="clear" w:color="auto" w:fill="auto"/>
          </w:tcPr>
          <w:p w:rsidR="008A186B" w:rsidRPr="008B53A9" w:rsidRDefault="008A186B" w:rsidP="0089670B">
            <w:pPr>
              <w:pStyle w:val="Tabulka"/>
              <w:rPr>
                <w:rFonts w:cs="Calibri"/>
                <w:b/>
                <w:lang w:val="cs-CZ" w:eastAsia="cs-CZ"/>
              </w:rPr>
            </w:pPr>
          </w:p>
        </w:tc>
        <w:tc>
          <w:tcPr>
            <w:tcW w:w="0" w:type="auto"/>
            <w:vMerge/>
            <w:tcBorders>
              <w:left w:val="nil"/>
              <w:right w:val="single" w:sz="4" w:space="0" w:color="auto"/>
            </w:tcBorders>
            <w:shd w:val="clear" w:color="auto" w:fill="auto"/>
          </w:tcPr>
          <w:p w:rsidR="008A186B" w:rsidRPr="008B53A9" w:rsidRDefault="008A186B" w:rsidP="0089670B">
            <w:pPr>
              <w:pStyle w:val="Tabulka"/>
              <w:rPr>
                <w:rFonts w:cs="Calibri"/>
                <w:lang w:val="cs-CZ" w:eastAsia="cs-CZ"/>
              </w:rPr>
            </w:pPr>
          </w:p>
        </w:tc>
        <w:tc>
          <w:tcPr>
            <w:tcW w:w="0" w:type="auto"/>
            <w:tcBorders>
              <w:top w:val="nil"/>
              <w:left w:val="double" w:sz="6" w:space="0" w:color="auto"/>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Připravuje se Strategie pro zvýšení digitální gramotnosti a rozvoj elektronických dovedností občanů</w:t>
            </w:r>
            <w:r w:rsidR="008068AA" w:rsidRPr="008B53A9">
              <w:rPr>
                <w:rFonts w:cs="Calibri"/>
                <w:lang w:val="cs-CZ" w:eastAsia="cs-CZ"/>
              </w:rPr>
              <w:t xml:space="preserve"> (podkladové analýzy, SWOT analýza, příprava návrhu strategie).</w:t>
            </w:r>
          </w:p>
        </w:tc>
        <w:tc>
          <w:tcPr>
            <w:tcW w:w="0" w:type="auto"/>
            <w:tcBorders>
              <w:top w:val="nil"/>
              <w:left w:val="nil"/>
              <w:bottom w:val="single" w:sz="4" w:space="0" w:color="auto"/>
              <w:right w:val="double" w:sz="6" w:space="0" w:color="auto"/>
            </w:tcBorders>
            <w:shd w:val="clear" w:color="auto" w:fill="auto"/>
          </w:tcPr>
          <w:p w:rsidR="008A186B" w:rsidRPr="008B53A9" w:rsidRDefault="00A011E1" w:rsidP="0089670B">
            <w:pPr>
              <w:pStyle w:val="Tabulka"/>
              <w:jc w:val="left"/>
              <w:rPr>
                <w:rFonts w:cs="Calibri"/>
                <w:lang w:val="cs-CZ" w:eastAsia="cs-CZ"/>
              </w:rPr>
            </w:pPr>
            <w:r w:rsidRPr="008B53A9">
              <w:rPr>
                <w:rFonts w:cs="Calibri"/>
                <w:lang w:val="cs-CZ" w:eastAsia="cs-CZ"/>
              </w:rPr>
              <w:t>Do 30.6.2015</w:t>
            </w:r>
          </w:p>
          <w:p w:rsidR="008068AA" w:rsidRPr="008B53A9" w:rsidRDefault="008068AA" w:rsidP="0089670B">
            <w:pPr>
              <w:pStyle w:val="Tabulka"/>
              <w:jc w:val="left"/>
              <w:rPr>
                <w:rFonts w:cs="Calibri"/>
                <w:lang w:val="cs-CZ" w:eastAsia="cs-CZ"/>
              </w:rPr>
            </w:pPr>
            <w:r w:rsidRPr="008B53A9">
              <w:rPr>
                <w:rFonts w:cs="Calibri"/>
                <w:lang w:val="cs-CZ" w:eastAsia="cs-CZ"/>
              </w:rPr>
              <w:t>Indikativní HMG:</w:t>
            </w:r>
          </w:p>
          <w:p w:rsidR="008068AA" w:rsidRPr="008B53A9" w:rsidRDefault="008068AA" w:rsidP="0089670B">
            <w:pPr>
              <w:pStyle w:val="Tabulka"/>
              <w:jc w:val="left"/>
              <w:rPr>
                <w:rFonts w:cs="Calibri"/>
                <w:lang w:val="cs-CZ" w:eastAsia="cs-CZ"/>
              </w:rPr>
            </w:pPr>
            <w:r w:rsidRPr="008B53A9">
              <w:rPr>
                <w:rFonts w:cs="Calibri"/>
                <w:lang w:val="cs-CZ" w:eastAsia="cs-CZ"/>
              </w:rPr>
              <w:t xml:space="preserve">2014 - Příprava dokumentu (práce na strategii již byly zahájeny ve spolupráci MPSV s </w:t>
            </w:r>
            <w:r w:rsidRPr="008B53A9">
              <w:rPr>
                <w:rFonts w:cs="Calibri"/>
                <w:lang w:val="cs-CZ" w:eastAsia="cs-CZ"/>
              </w:rPr>
              <w:lastRenderedPageBreak/>
              <w:t>MŠMT)</w:t>
            </w:r>
          </w:p>
          <w:p w:rsidR="008068AA" w:rsidRPr="008B53A9" w:rsidRDefault="008068AA" w:rsidP="0089670B">
            <w:pPr>
              <w:pStyle w:val="Tabulka"/>
              <w:jc w:val="left"/>
              <w:rPr>
                <w:rFonts w:cs="Calibri"/>
                <w:lang w:val="cs-CZ" w:eastAsia="cs-CZ"/>
              </w:rPr>
            </w:pPr>
            <w:r w:rsidRPr="008B53A9">
              <w:rPr>
                <w:rFonts w:cs="Calibri"/>
                <w:lang w:val="cs-CZ" w:eastAsia="cs-CZ"/>
              </w:rPr>
              <w:t>2Q 2014 -  Připomínková řízení</w:t>
            </w:r>
          </w:p>
          <w:p w:rsidR="008068AA" w:rsidRPr="008B53A9" w:rsidRDefault="008068AA" w:rsidP="0089670B">
            <w:pPr>
              <w:pStyle w:val="Tabulka"/>
              <w:jc w:val="left"/>
              <w:rPr>
                <w:rFonts w:cs="Calibri"/>
                <w:lang w:val="cs-CZ" w:eastAsia="cs-CZ"/>
              </w:rPr>
            </w:pPr>
            <w:r w:rsidRPr="008B53A9">
              <w:rPr>
                <w:rFonts w:cs="Calibri"/>
                <w:lang w:val="cs-CZ" w:eastAsia="cs-CZ"/>
              </w:rPr>
              <w:t>30. 6. 2015 -  Nejzazší termín schválení strategie Vládou ČR.</w:t>
            </w:r>
          </w:p>
        </w:tc>
        <w:tc>
          <w:tcPr>
            <w:tcW w:w="0" w:type="auto"/>
            <w:tcBorders>
              <w:top w:val="nil"/>
              <w:left w:val="nil"/>
              <w:bottom w:val="single" w:sz="4" w:space="0" w:color="auto"/>
              <w:right w:val="single" w:sz="8" w:space="0" w:color="auto"/>
            </w:tcBorders>
            <w:shd w:val="clear" w:color="auto" w:fill="auto"/>
          </w:tcPr>
          <w:p w:rsidR="00792861" w:rsidRPr="008B53A9" w:rsidRDefault="008A186B" w:rsidP="0089670B">
            <w:pPr>
              <w:pStyle w:val="Tabulka"/>
              <w:jc w:val="left"/>
              <w:rPr>
                <w:rFonts w:cs="Calibri"/>
                <w:lang w:val="cs-CZ" w:eastAsia="cs-CZ"/>
              </w:rPr>
            </w:pPr>
            <w:r w:rsidRPr="008B53A9">
              <w:rPr>
                <w:rFonts w:cs="Calibri"/>
                <w:lang w:val="cs-CZ" w:eastAsia="cs-CZ"/>
              </w:rPr>
              <w:lastRenderedPageBreak/>
              <w:t>MPSV</w:t>
            </w:r>
            <w:r w:rsidR="008539C6" w:rsidRPr="008B53A9">
              <w:rPr>
                <w:rFonts w:cs="Calibri"/>
                <w:lang w:val="cs-CZ" w:eastAsia="cs-CZ"/>
              </w:rPr>
              <w:t xml:space="preserve"> </w:t>
            </w:r>
          </w:p>
          <w:p w:rsidR="008A186B" w:rsidRPr="008B53A9" w:rsidRDefault="008A186B" w:rsidP="0089670B">
            <w:pPr>
              <w:pStyle w:val="Tabulka"/>
              <w:jc w:val="left"/>
              <w:rPr>
                <w:rFonts w:cs="Calibri"/>
                <w:lang w:val="cs-CZ" w:eastAsia="cs-CZ"/>
              </w:rPr>
            </w:pPr>
            <w:r w:rsidRPr="008B53A9">
              <w:rPr>
                <w:rFonts w:cs="Calibri"/>
                <w:lang w:val="cs-CZ" w:eastAsia="cs-CZ"/>
              </w:rPr>
              <w:t>MŠMT</w:t>
            </w:r>
            <w:r w:rsidR="008539C6" w:rsidRPr="008B53A9">
              <w:rPr>
                <w:rFonts w:cs="Calibri"/>
                <w:lang w:val="cs-CZ" w:eastAsia="cs-CZ"/>
              </w:rPr>
              <w:t xml:space="preserve"> </w:t>
            </w:r>
          </w:p>
        </w:tc>
      </w:tr>
      <w:tr w:rsidR="008A186B" w:rsidRPr="008B53A9">
        <w:trPr>
          <w:trHeight w:val="930"/>
        </w:trPr>
        <w:tc>
          <w:tcPr>
            <w:tcW w:w="0" w:type="auto"/>
            <w:vMerge/>
            <w:tcBorders>
              <w:top w:val="nil"/>
              <w:left w:val="single" w:sz="8" w:space="0" w:color="auto"/>
              <w:bottom w:val="single" w:sz="4" w:space="0" w:color="000000"/>
              <w:right w:val="single" w:sz="4" w:space="0" w:color="auto"/>
            </w:tcBorders>
            <w:shd w:val="clear" w:color="auto" w:fill="auto"/>
          </w:tcPr>
          <w:p w:rsidR="008A186B" w:rsidRPr="008B53A9" w:rsidRDefault="008A186B" w:rsidP="0089670B">
            <w:pPr>
              <w:pStyle w:val="Tabulka"/>
              <w:rPr>
                <w:rFonts w:cs="Calibri"/>
                <w:b/>
                <w:lang w:val="cs-CZ" w:eastAsia="cs-CZ"/>
              </w:rPr>
            </w:pPr>
          </w:p>
        </w:tc>
        <w:tc>
          <w:tcPr>
            <w:tcW w:w="0" w:type="auto"/>
            <w:vMerge/>
            <w:tcBorders>
              <w:left w:val="nil"/>
              <w:bottom w:val="single" w:sz="4" w:space="0" w:color="auto"/>
              <w:right w:val="single" w:sz="4" w:space="0" w:color="auto"/>
            </w:tcBorders>
            <w:shd w:val="clear" w:color="auto" w:fill="auto"/>
          </w:tcPr>
          <w:p w:rsidR="008A186B" w:rsidRPr="008B53A9" w:rsidRDefault="008A186B" w:rsidP="0089670B">
            <w:pPr>
              <w:pStyle w:val="Tabulka"/>
              <w:rPr>
                <w:rFonts w:cs="Calibri"/>
                <w:lang w:val="cs-CZ" w:eastAsia="cs-CZ"/>
              </w:rPr>
            </w:pPr>
          </w:p>
        </w:tc>
        <w:tc>
          <w:tcPr>
            <w:tcW w:w="0" w:type="auto"/>
            <w:tcBorders>
              <w:top w:val="nil"/>
              <w:left w:val="double" w:sz="6" w:space="0" w:color="auto"/>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Dokončit a schválit vládou Národní strategii inteligentní specializace (RIS3). Viz též podmínka 1.1.</w:t>
            </w:r>
          </w:p>
        </w:tc>
        <w:tc>
          <w:tcPr>
            <w:tcW w:w="0" w:type="auto"/>
            <w:tcBorders>
              <w:top w:val="nil"/>
              <w:left w:val="nil"/>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Do konce 2Q 2014</w:t>
            </w:r>
          </w:p>
        </w:tc>
        <w:tc>
          <w:tcPr>
            <w:tcW w:w="0" w:type="auto"/>
            <w:tcBorders>
              <w:top w:val="nil"/>
              <w:left w:val="nil"/>
              <w:bottom w:val="single" w:sz="4" w:space="0" w:color="auto"/>
              <w:right w:val="single" w:sz="8"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MŠMT</w:t>
            </w:r>
          </w:p>
        </w:tc>
      </w:tr>
      <w:tr w:rsidR="008A186B" w:rsidRPr="008B53A9">
        <w:trPr>
          <w:trHeight w:val="2550"/>
        </w:trPr>
        <w:tc>
          <w:tcPr>
            <w:tcW w:w="0" w:type="auto"/>
            <w:vMerge/>
            <w:tcBorders>
              <w:top w:val="nil"/>
              <w:left w:val="single" w:sz="8" w:space="0" w:color="auto"/>
              <w:bottom w:val="single" w:sz="4" w:space="0" w:color="000000"/>
              <w:right w:val="single" w:sz="4" w:space="0" w:color="auto"/>
            </w:tcBorders>
            <w:shd w:val="clear" w:color="auto" w:fill="auto"/>
          </w:tcPr>
          <w:p w:rsidR="008A186B" w:rsidRPr="008B53A9" w:rsidRDefault="008A186B" w:rsidP="0089670B">
            <w:pPr>
              <w:pStyle w:val="Tabulka"/>
              <w:rPr>
                <w:rFonts w:cs="Calibri"/>
                <w:b/>
                <w:lang w:val="cs-CZ" w:eastAsia="cs-CZ"/>
              </w:rPr>
            </w:pPr>
          </w:p>
        </w:tc>
        <w:tc>
          <w:tcPr>
            <w:tcW w:w="0" w:type="auto"/>
            <w:tcBorders>
              <w:top w:val="nil"/>
              <w:left w:val="nil"/>
              <w:bottom w:val="single" w:sz="4" w:space="0" w:color="auto"/>
              <w:right w:val="single" w:sz="4"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ukazatele umožňující měření pokroku zásahů v oblastech, jako jsou počítačová gramotnost, digitální začlenění, digitální přístupnost a pokrok v elektronickém zdravotnictví v mezích článku 168 SFEU, jež jsou v souladu se stávajícími příslušnými unijními vnitrostátními nebo regionálními strategiemi pro jednotlivá odvětví,</w:t>
            </w:r>
          </w:p>
        </w:tc>
        <w:tc>
          <w:tcPr>
            <w:tcW w:w="0" w:type="auto"/>
            <w:tcBorders>
              <w:top w:val="nil"/>
              <w:left w:val="double" w:sz="6" w:space="0" w:color="auto"/>
              <w:bottom w:val="single" w:sz="4" w:space="0" w:color="auto"/>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Zpracování Strategie pro zvýšení digitální gramotnosti a rozvoj elektronických dovedností občanů</w:t>
            </w:r>
            <w:r w:rsidR="00734C9D" w:rsidRPr="008B53A9">
              <w:rPr>
                <w:rFonts w:cs="Calibri"/>
                <w:lang w:val="cs-CZ" w:eastAsia="cs-CZ"/>
              </w:rPr>
              <w:t>, která naplňuje opatření Digitálního Česka 2.0 v kapitole 5.6. Digitální gramotnost, elektronické dovednosti (e-skills).</w:t>
            </w:r>
          </w:p>
          <w:p w:rsidR="008A186B" w:rsidRPr="008B53A9" w:rsidRDefault="008A186B" w:rsidP="0089670B">
            <w:pPr>
              <w:pStyle w:val="Tabulka"/>
              <w:jc w:val="left"/>
              <w:rPr>
                <w:rFonts w:cs="Calibri"/>
                <w:lang w:val="cs-CZ" w:eastAsia="cs-CZ"/>
              </w:rPr>
            </w:pPr>
          </w:p>
        </w:tc>
        <w:tc>
          <w:tcPr>
            <w:tcW w:w="0" w:type="auto"/>
            <w:tcBorders>
              <w:top w:val="nil"/>
              <w:left w:val="nil"/>
              <w:bottom w:val="single" w:sz="4" w:space="0" w:color="auto"/>
              <w:right w:val="double" w:sz="6" w:space="0" w:color="auto"/>
            </w:tcBorders>
            <w:shd w:val="clear" w:color="auto" w:fill="auto"/>
          </w:tcPr>
          <w:p w:rsidR="00A011E1" w:rsidRPr="008B53A9" w:rsidRDefault="00A011E1" w:rsidP="0089670B">
            <w:pPr>
              <w:pStyle w:val="Tabulka"/>
              <w:jc w:val="left"/>
              <w:rPr>
                <w:rFonts w:cs="Calibri"/>
                <w:lang w:val="cs-CZ" w:eastAsia="cs-CZ"/>
              </w:rPr>
            </w:pPr>
            <w:r w:rsidRPr="008B53A9">
              <w:rPr>
                <w:rFonts w:cs="Calibri"/>
                <w:lang w:val="cs-CZ" w:eastAsia="cs-CZ"/>
              </w:rPr>
              <w:t>Do 30.6.2015</w:t>
            </w:r>
          </w:p>
        </w:tc>
        <w:tc>
          <w:tcPr>
            <w:tcW w:w="0" w:type="auto"/>
            <w:tcBorders>
              <w:top w:val="nil"/>
              <w:left w:val="nil"/>
              <w:bottom w:val="single" w:sz="4" w:space="0" w:color="auto"/>
              <w:right w:val="single" w:sz="8" w:space="0" w:color="auto"/>
            </w:tcBorders>
            <w:shd w:val="clear" w:color="auto" w:fill="auto"/>
          </w:tcPr>
          <w:p w:rsidR="000C1B34" w:rsidRPr="008B53A9" w:rsidRDefault="008A186B" w:rsidP="0089670B">
            <w:pPr>
              <w:pStyle w:val="Tabulka"/>
              <w:jc w:val="left"/>
              <w:rPr>
                <w:rFonts w:cs="Calibri"/>
                <w:lang w:val="cs-CZ" w:eastAsia="cs-CZ"/>
              </w:rPr>
            </w:pPr>
            <w:r w:rsidRPr="008B53A9">
              <w:rPr>
                <w:rFonts w:cs="Calibri"/>
                <w:lang w:val="cs-CZ" w:eastAsia="cs-CZ"/>
              </w:rPr>
              <w:t>MPSV</w:t>
            </w:r>
          </w:p>
          <w:p w:rsidR="008A186B" w:rsidRPr="008B53A9" w:rsidRDefault="008A186B" w:rsidP="0089670B">
            <w:pPr>
              <w:pStyle w:val="Tabulka"/>
              <w:jc w:val="left"/>
              <w:rPr>
                <w:rFonts w:cs="Calibri"/>
                <w:lang w:val="cs-CZ" w:eastAsia="cs-CZ"/>
              </w:rPr>
            </w:pPr>
            <w:r w:rsidRPr="008B53A9">
              <w:rPr>
                <w:rFonts w:cs="Calibri"/>
                <w:lang w:val="cs-CZ" w:eastAsia="cs-CZ"/>
              </w:rPr>
              <w:t>MŠMT</w:t>
            </w:r>
            <w:r w:rsidR="00734C9D" w:rsidRPr="008B53A9">
              <w:rPr>
                <w:rFonts w:cs="Calibri"/>
                <w:lang w:val="cs-CZ" w:eastAsia="cs-CZ"/>
              </w:rPr>
              <w:t xml:space="preserve"> </w:t>
            </w:r>
          </w:p>
        </w:tc>
      </w:tr>
      <w:tr w:rsidR="004C6C8E" w:rsidRPr="008B53A9">
        <w:trPr>
          <w:trHeight w:val="363"/>
        </w:trPr>
        <w:tc>
          <w:tcPr>
            <w:tcW w:w="0" w:type="auto"/>
            <w:vMerge w:val="restart"/>
            <w:tcBorders>
              <w:top w:val="nil"/>
              <w:left w:val="single" w:sz="8" w:space="0" w:color="auto"/>
              <w:right w:val="single" w:sz="4" w:space="0" w:color="auto"/>
            </w:tcBorders>
            <w:shd w:val="clear" w:color="auto" w:fill="auto"/>
          </w:tcPr>
          <w:p w:rsidR="004C6C8E" w:rsidRPr="008B53A9" w:rsidRDefault="004C6C8E" w:rsidP="0089670B">
            <w:pPr>
              <w:pStyle w:val="Tabulka"/>
              <w:jc w:val="left"/>
              <w:rPr>
                <w:rFonts w:cs="Calibri"/>
                <w:b/>
                <w:lang w:val="cs-CZ" w:eastAsia="cs-CZ"/>
              </w:rPr>
            </w:pPr>
            <w:r w:rsidRPr="008B53A9">
              <w:rPr>
                <w:rFonts w:cs="Calibri"/>
                <w:b/>
                <w:lang w:val="cs-CZ" w:eastAsia="cs-CZ"/>
              </w:rPr>
              <w:t xml:space="preserve">2.2. Infrastruktura přístupových sítí nové generace: Existence celostátních nebo regionálních plánů přístupových sítí nové generace, které zohledňují regionální opatření k dosažení cílů Unie v oblasti </w:t>
            </w:r>
            <w:r w:rsidRPr="008B53A9">
              <w:rPr>
                <w:rFonts w:cs="Calibri"/>
                <w:b/>
                <w:lang w:val="cs-CZ" w:eastAsia="cs-CZ"/>
              </w:rPr>
              <w:lastRenderedPageBreak/>
              <w:t>vysokorychlostního přístupu k internetu se zaměřením na oblasti, kde trh není schopen poskytovat otevřenou infrastrukturu za dostupnou cenu a v odpovídající kvalitě v souladu s pravidly Unie pro hospodářskou soutěž a státní podpory, a poskytují dostupné služby zranitelným skupinám.</w:t>
            </w:r>
          </w:p>
        </w:tc>
        <w:tc>
          <w:tcPr>
            <w:tcW w:w="0" w:type="auto"/>
            <w:tcBorders>
              <w:top w:val="nil"/>
              <w:left w:val="nil"/>
              <w:bottom w:val="single" w:sz="4" w:space="0" w:color="auto"/>
              <w:right w:val="single" w:sz="4"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lastRenderedPageBreak/>
              <w:t>Je vypracován celostátní nebo regionální plán přístupových sítí nové generace, který obsahuje:</w:t>
            </w:r>
          </w:p>
          <w:p w:rsidR="004C6C8E" w:rsidRPr="008B53A9" w:rsidRDefault="004C6C8E" w:rsidP="0089670B">
            <w:pPr>
              <w:pStyle w:val="Tabulka"/>
              <w:jc w:val="left"/>
              <w:rPr>
                <w:rFonts w:cs="Calibri"/>
                <w:lang w:val="cs-CZ" w:eastAsia="cs-CZ"/>
              </w:rPr>
            </w:pPr>
          </w:p>
          <w:p w:rsidR="004C6C8E" w:rsidRPr="008B53A9" w:rsidRDefault="004C6C8E" w:rsidP="0089670B">
            <w:pPr>
              <w:pStyle w:val="Tabulka"/>
              <w:jc w:val="left"/>
              <w:rPr>
                <w:rFonts w:cs="Calibri"/>
                <w:lang w:val="cs-CZ" w:eastAsia="cs-CZ"/>
              </w:rPr>
            </w:pPr>
          </w:p>
        </w:tc>
        <w:tc>
          <w:tcPr>
            <w:tcW w:w="0" w:type="auto"/>
            <w:tcBorders>
              <w:top w:val="nil"/>
              <w:left w:val="double" w:sz="6" w:space="0" w:color="auto"/>
              <w:bottom w:val="single" w:sz="4" w:space="0" w:color="auto"/>
              <w:right w:val="double" w:sz="6"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Zpracování Národního plánu rozvoje sítí nové generace.</w:t>
            </w:r>
          </w:p>
          <w:p w:rsidR="004C6C8E" w:rsidRPr="008B53A9" w:rsidRDefault="004C6C8E" w:rsidP="0089670B">
            <w:pPr>
              <w:pStyle w:val="Tabulka"/>
              <w:jc w:val="left"/>
              <w:rPr>
                <w:rFonts w:cs="Calibri"/>
                <w:lang w:val="cs-CZ" w:eastAsia="cs-CZ"/>
              </w:rPr>
            </w:pPr>
          </w:p>
        </w:tc>
        <w:tc>
          <w:tcPr>
            <w:tcW w:w="0" w:type="auto"/>
            <w:tcBorders>
              <w:top w:val="nil"/>
              <w:left w:val="nil"/>
              <w:bottom w:val="single" w:sz="4" w:space="0" w:color="auto"/>
              <w:right w:val="double" w:sz="6"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2/2015</w:t>
            </w:r>
          </w:p>
          <w:p w:rsidR="004C6C8E" w:rsidRPr="008B53A9" w:rsidRDefault="004C6C8E" w:rsidP="0089670B">
            <w:pPr>
              <w:pStyle w:val="Tabulka"/>
              <w:jc w:val="left"/>
              <w:rPr>
                <w:rFonts w:cs="Calibri"/>
                <w:lang w:val="cs-CZ" w:eastAsia="cs-CZ"/>
              </w:rPr>
            </w:pPr>
          </w:p>
          <w:p w:rsidR="004C6C8E" w:rsidRPr="008B53A9" w:rsidRDefault="004C6C8E" w:rsidP="0089670B">
            <w:pPr>
              <w:pStyle w:val="Tabulka"/>
              <w:jc w:val="left"/>
              <w:rPr>
                <w:rFonts w:cs="Calibri"/>
                <w:lang w:val="cs-CZ" w:eastAsia="cs-CZ"/>
              </w:rPr>
            </w:pPr>
            <w:r w:rsidRPr="008B53A9">
              <w:rPr>
                <w:rFonts w:cs="Calibri"/>
                <w:lang w:val="cs-CZ" w:eastAsia="cs-CZ"/>
              </w:rPr>
              <w:t>Dílčí kroky:</w:t>
            </w:r>
          </w:p>
          <w:p w:rsidR="004C6C8E" w:rsidRPr="008B53A9" w:rsidRDefault="004C6C8E" w:rsidP="0089670B">
            <w:pPr>
              <w:pStyle w:val="Tabulka"/>
              <w:jc w:val="left"/>
              <w:rPr>
                <w:rFonts w:cs="Calibri"/>
                <w:lang w:val="cs-CZ" w:eastAsia="cs-CZ"/>
              </w:rPr>
            </w:pPr>
            <w:r w:rsidRPr="008B53A9">
              <w:rPr>
                <w:rFonts w:cs="Calibri"/>
                <w:lang w:val="cs-CZ" w:eastAsia="cs-CZ"/>
              </w:rPr>
              <w:t>10/2014 – ucelená pracovní verze</w:t>
            </w:r>
          </w:p>
          <w:p w:rsidR="004C6C8E" w:rsidRPr="008B53A9" w:rsidRDefault="004C6C8E" w:rsidP="0089670B">
            <w:pPr>
              <w:pStyle w:val="Tabulka"/>
              <w:jc w:val="left"/>
              <w:rPr>
                <w:rFonts w:cs="Calibri"/>
                <w:lang w:val="cs-CZ" w:eastAsia="cs-CZ"/>
              </w:rPr>
            </w:pPr>
            <w:r w:rsidRPr="008B53A9">
              <w:rPr>
                <w:rFonts w:cs="Calibri"/>
                <w:lang w:val="cs-CZ" w:eastAsia="cs-CZ"/>
              </w:rPr>
              <w:t xml:space="preserve">1/2015 – </w:t>
            </w:r>
            <w:r w:rsidRPr="008B53A9">
              <w:rPr>
                <w:rFonts w:cs="Calibri"/>
                <w:lang w:val="cs-CZ" w:eastAsia="cs-CZ"/>
              </w:rPr>
              <w:lastRenderedPageBreak/>
              <w:t>předložení vládě</w:t>
            </w:r>
          </w:p>
          <w:p w:rsidR="004C6C8E" w:rsidRPr="008B53A9" w:rsidRDefault="004C6C8E" w:rsidP="0089670B">
            <w:pPr>
              <w:pStyle w:val="Tabulka"/>
              <w:jc w:val="left"/>
              <w:rPr>
                <w:rFonts w:cs="Calibri"/>
                <w:lang w:val="cs-CZ" w:eastAsia="cs-CZ"/>
              </w:rPr>
            </w:pPr>
            <w:r w:rsidRPr="008B53A9">
              <w:rPr>
                <w:rFonts w:cs="Calibri"/>
                <w:lang w:val="cs-CZ" w:eastAsia="cs-CZ"/>
              </w:rPr>
              <w:t>2/2015 – projednání vládou</w:t>
            </w:r>
          </w:p>
        </w:tc>
        <w:tc>
          <w:tcPr>
            <w:tcW w:w="0" w:type="auto"/>
            <w:tcBorders>
              <w:top w:val="nil"/>
              <w:left w:val="nil"/>
              <w:bottom w:val="single" w:sz="4" w:space="0" w:color="auto"/>
              <w:right w:val="single" w:sz="8"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lastRenderedPageBreak/>
              <w:t>MPO</w:t>
            </w:r>
          </w:p>
          <w:p w:rsidR="004C6C8E" w:rsidRPr="008B53A9" w:rsidRDefault="004C6C8E" w:rsidP="0089670B">
            <w:pPr>
              <w:pStyle w:val="Tabulka"/>
              <w:jc w:val="left"/>
              <w:rPr>
                <w:rFonts w:cs="Calibri"/>
                <w:lang w:val="cs-CZ" w:eastAsia="cs-CZ"/>
              </w:rPr>
            </w:pPr>
            <w:r w:rsidRPr="008B53A9">
              <w:rPr>
                <w:rFonts w:cs="Calibri"/>
                <w:lang w:val="cs-CZ" w:eastAsia="cs-CZ"/>
              </w:rPr>
              <w:t>ČTÚ</w:t>
            </w:r>
          </w:p>
          <w:p w:rsidR="004C6C8E" w:rsidRPr="008B53A9" w:rsidRDefault="004C6C8E" w:rsidP="0089670B">
            <w:pPr>
              <w:pStyle w:val="Tabulka"/>
              <w:jc w:val="left"/>
              <w:rPr>
                <w:rFonts w:cs="Calibri"/>
                <w:lang w:val="cs-CZ" w:eastAsia="cs-CZ"/>
              </w:rPr>
            </w:pPr>
          </w:p>
        </w:tc>
      </w:tr>
      <w:tr w:rsidR="004C6C8E" w:rsidRPr="008B53A9">
        <w:trPr>
          <w:trHeight w:val="1785"/>
        </w:trPr>
        <w:tc>
          <w:tcPr>
            <w:tcW w:w="0" w:type="auto"/>
            <w:vMerge/>
            <w:tcBorders>
              <w:left w:val="single" w:sz="8" w:space="0" w:color="auto"/>
              <w:right w:val="single" w:sz="4" w:space="0" w:color="auto"/>
            </w:tcBorders>
            <w:shd w:val="clear" w:color="auto" w:fill="auto"/>
          </w:tcPr>
          <w:p w:rsidR="004C6C8E" w:rsidRPr="008B53A9" w:rsidRDefault="004C6C8E" w:rsidP="00DA3EA1">
            <w:pPr>
              <w:pStyle w:val="Tabulka"/>
              <w:jc w:val="left"/>
              <w:rPr>
                <w:rFonts w:cs="Calibri"/>
                <w:b/>
                <w:lang w:val="cs-CZ" w:eastAsia="cs-CZ"/>
              </w:rPr>
            </w:pPr>
          </w:p>
        </w:tc>
        <w:tc>
          <w:tcPr>
            <w:tcW w:w="0" w:type="auto"/>
            <w:tcBorders>
              <w:top w:val="single" w:sz="4" w:space="0" w:color="auto"/>
              <w:left w:val="nil"/>
              <w:bottom w:val="single" w:sz="4" w:space="0" w:color="auto"/>
              <w:right w:val="single" w:sz="4"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 plán investic do infrastruktury vycházející z ekonomické analýzy a zohledňující stávající infrastrukturu a plánované investice,</w:t>
            </w:r>
          </w:p>
        </w:tc>
        <w:tc>
          <w:tcPr>
            <w:tcW w:w="0" w:type="auto"/>
            <w:tcBorders>
              <w:top w:val="nil"/>
              <w:left w:val="double" w:sz="6" w:space="0" w:color="auto"/>
              <w:bottom w:val="single" w:sz="4" w:space="0" w:color="auto"/>
              <w:right w:val="double" w:sz="6"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Zpracování Národního plánu rozvoje sítí nové generace.</w:t>
            </w:r>
          </w:p>
          <w:p w:rsidR="004C6C8E" w:rsidRPr="008B53A9" w:rsidRDefault="004C6C8E" w:rsidP="0089670B">
            <w:pPr>
              <w:pStyle w:val="Tabulka"/>
              <w:jc w:val="left"/>
              <w:rPr>
                <w:rFonts w:cs="Calibri"/>
                <w:lang w:val="cs-CZ" w:eastAsia="cs-CZ"/>
              </w:rPr>
            </w:pPr>
          </w:p>
        </w:tc>
        <w:tc>
          <w:tcPr>
            <w:tcW w:w="0" w:type="auto"/>
            <w:tcBorders>
              <w:top w:val="nil"/>
              <w:left w:val="nil"/>
              <w:bottom w:val="single" w:sz="4" w:space="0" w:color="auto"/>
              <w:right w:val="double" w:sz="6"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2/2015</w:t>
            </w:r>
          </w:p>
          <w:p w:rsidR="004C6C8E" w:rsidRPr="008B53A9" w:rsidRDefault="004C6C8E" w:rsidP="0089670B">
            <w:pPr>
              <w:pStyle w:val="Tabulka"/>
              <w:jc w:val="left"/>
              <w:rPr>
                <w:rFonts w:cs="Calibri"/>
                <w:lang w:val="cs-CZ" w:eastAsia="cs-CZ"/>
              </w:rPr>
            </w:pPr>
          </w:p>
          <w:p w:rsidR="004C6C8E" w:rsidRPr="008B53A9" w:rsidRDefault="004C6C8E" w:rsidP="0089670B">
            <w:pPr>
              <w:pStyle w:val="Tabulka"/>
              <w:jc w:val="left"/>
              <w:rPr>
                <w:rFonts w:cs="Calibri"/>
                <w:lang w:val="cs-CZ" w:eastAsia="cs-CZ"/>
              </w:rPr>
            </w:pPr>
            <w:r w:rsidRPr="008B53A9">
              <w:rPr>
                <w:rFonts w:cs="Calibri"/>
                <w:lang w:val="cs-CZ" w:eastAsia="cs-CZ"/>
              </w:rPr>
              <w:t>Dílčí kroky:</w:t>
            </w:r>
          </w:p>
          <w:p w:rsidR="004C6C8E" w:rsidRPr="008B53A9" w:rsidRDefault="004C6C8E" w:rsidP="0089670B">
            <w:pPr>
              <w:pStyle w:val="Tabulka"/>
              <w:jc w:val="left"/>
              <w:rPr>
                <w:rFonts w:cs="Calibri"/>
                <w:lang w:val="cs-CZ" w:eastAsia="cs-CZ"/>
              </w:rPr>
            </w:pPr>
            <w:r w:rsidRPr="008B53A9">
              <w:rPr>
                <w:rFonts w:cs="Calibri"/>
                <w:lang w:val="cs-CZ" w:eastAsia="cs-CZ"/>
              </w:rPr>
              <w:t>10/2014 – ucelená pracovní verze</w:t>
            </w:r>
          </w:p>
          <w:p w:rsidR="004C6C8E" w:rsidRPr="008B53A9" w:rsidRDefault="004C6C8E" w:rsidP="0089670B">
            <w:pPr>
              <w:pStyle w:val="Tabulka"/>
              <w:jc w:val="left"/>
              <w:rPr>
                <w:rFonts w:cs="Calibri"/>
                <w:lang w:val="cs-CZ" w:eastAsia="cs-CZ"/>
              </w:rPr>
            </w:pPr>
            <w:r w:rsidRPr="008B53A9">
              <w:rPr>
                <w:rFonts w:cs="Calibri"/>
                <w:lang w:val="cs-CZ" w:eastAsia="cs-CZ"/>
              </w:rPr>
              <w:t>1/2015 – předložení vládě</w:t>
            </w:r>
          </w:p>
          <w:p w:rsidR="004C6C8E" w:rsidRPr="008B53A9" w:rsidRDefault="004C6C8E" w:rsidP="0089670B">
            <w:pPr>
              <w:pStyle w:val="Tabulka"/>
              <w:jc w:val="left"/>
              <w:rPr>
                <w:rFonts w:cs="Calibri"/>
                <w:lang w:val="cs-CZ" w:eastAsia="cs-CZ"/>
              </w:rPr>
            </w:pPr>
            <w:r w:rsidRPr="008B53A9">
              <w:rPr>
                <w:rFonts w:cs="Calibri"/>
                <w:lang w:val="cs-CZ" w:eastAsia="cs-CZ"/>
              </w:rPr>
              <w:t>2/2015 – projednání vládou</w:t>
            </w:r>
          </w:p>
        </w:tc>
        <w:tc>
          <w:tcPr>
            <w:tcW w:w="0" w:type="auto"/>
            <w:tcBorders>
              <w:top w:val="nil"/>
              <w:left w:val="nil"/>
              <w:bottom w:val="single" w:sz="4" w:space="0" w:color="auto"/>
              <w:right w:val="single" w:sz="8"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MPO</w:t>
            </w:r>
          </w:p>
          <w:p w:rsidR="004C6C8E" w:rsidRPr="008B53A9" w:rsidRDefault="004C6C8E" w:rsidP="0089670B">
            <w:pPr>
              <w:pStyle w:val="Tabulka"/>
              <w:jc w:val="left"/>
              <w:rPr>
                <w:rFonts w:cs="Calibri"/>
                <w:lang w:val="cs-CZ" w:eastAsia="cs-CZ"/>
              </w:rPr>
            </w:pPr>
            <w:r w:rsidRPr="008B53A9">
              <w:rPr>
                <w:rFonts w:cs="Calibri"/>
                <w:lang w:val="cs-CZ" w:eastAsia="cs-CZ"/>
              </w:rPr>
              <w:t>ČTÚ</w:t>
            </w:r>
          </w:p>
        </w:tc>
      </w:tr>
      <w:tr w:rsidR="004C6C8E" w:rsidRPr="008B53A9">
        <w:trPr>
          <w:trHeight w:val="1275"/>
        </w:trPr>
        <w:tc>
          <w:tcPr>
            <w:tcW w:w="0" w:type="auto"/>
            <w:vMerge/>
            <w:tcBorders>
              <w:left w:val="single" w:sz="8" w:space="0" w:color="auto"/>
              <w:right w:val="single" w:sz="4" w:space="0" w:color="auto"/>
            </w:tcBorders>
            <w:shd w:val="clear" w:color="auto" w:fill="auto"/>
          </w:tcPr>
          <w:p w:rsidR="004C6C8E" w:rsidRPr="008B53A9" w:rsidRDefault="004C6C8E" w:rsidP="00DA3EA1">
            <w:pPr>
              <w:pStyle w:val="Tabulka"/>
              <w:jc w:val="left"/>
              <w:rPr>
                <w:rFonts w:cs="Calibri"/>
                <w:b/>
                <w:lang w:val="cs-CZ" w:eastAsia="cs-CZ"/>
              </w:rPr>
            </w:pPr>
          </w:p>
        </w:tc>
        <w:tc>
          <w:tcPr>
            <w:tcW w:w="0" w:type="auto"/>
            <w:tcBorders>
              <w:top w:val="nil"/>
              <w:left w:val="nil"/>
              <w:bottom w:val="single" w:sz="4" w:space="0" w:color="auto"/>
              <w:right w:val="single" w:sz="4"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 modely udržitelných investic, které posilují hospodářskou soutěž a zajišťují přístup k otevřeným, cenově dostupným, kvalitním a progresivním infrastrukturám a službám,</w:t>
            </w:r>
          </w:p>
        </w:tc>
        <w:tc>
          <w:tcPr>
            <w:tcW w:w="0" w:type="auto"/>
            <w:tcBorders>
              <w:top w:val="nil"/>
              <w:left w:val="double" w:sz="6" w:space="0" w:color="auto"/>
              <w:bottom w:val="single" w:sz="4" w:space="0" w:color="auto"/>
              <w:right w:val="double" w:sz="6"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Zpracování Národního plánu rozvoje sítí nové generace.</w:t>
            </w:r>
          </w:p>
          <w:p w:rsidR="004C6C8E" w:rsidRPr="008B53A9" w:rsidRDefault="004C6C8E" w:rsidP="0089670B">
            <w:pPr>
              <w:pStyle w:val="Tabulka"/>
              <w:jc w:val="left"/>
              <w:rPr>
                <w:rFonts w:cs="Calibri"/>
                <w:lang w:val="cs-CZ" w:eastAsia="cs-CZ"/>
              </w:rPr>
            </w:pPr>
          </w:p>
        </w:tc>
        <w:tc>
          <w:tcPr>
            <w:tcW w:w="0" w:type="auto"/>
            <w:tcBorders>
              <w:top w:val="nil"/>
              <w:left w:val="nil"/>
              <w:bottom w:val="single" w:sz="4" w:space="0" w:color="auto"/>
              <w:right w:val="double" w:sz="6"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 xml:space="preserve"> 2/2015</w:t>
            </w:r>
          </w:p>
          <w:p w:rsidR="004C6C8E" w:rsidRPr="008B53A9" w:rsidRDefault="004C6C8E" w:rsidP="0089670B">
            <w:pPr>
              <w:pStyle w:val="Tabulka"/>
              <w:jc w:val="left"/>
              <w:rPr>
                <w:rFonts w:cs="Calibri"/>
                <w:lang w:val="cs-CZ" w:eastAsia="cs-CZ"/>
              </w:rPr>
            </w:pPr>
          </w:p>
          <w:p w:rsidR="004C6C8E" w:rsidRPr="008B53A9" w:rsidRDefault="004C6C8E" w:rsidP="0089670B">
            <w:pPr>
              <w:pStyle w:val="Tabulka"/>
              <w:jc w:val="left"/>
              <w:rPr>
                <w:rFonts w:cs="Calibri"/>
                <w:lang w:val="cs-CZ" w:eastAsia="cs-CZ"/>
              </w:rPr>
            </w:pPr>
            <w:r w:rsidRPr="008B53A9">
              <w:rPr>
                <w:rFonts w:cs="Calibri"/>
                <w:lang w:val="cs-CZ" w:eastAsia="cs-CZ"/>
              </w:rPr>
              <w:t>Dílčí kroky:</w:t>
            </w:r>
          </w:p>
          <w:p w:rsidR="004C6C8E" w:rsidRPr="008B53A9" w:rsidRDefault="004C6C8E" w:rsidP="0089670B">
            <w:pPr>
              <w:pStyle w:val="Tabulka"/>
              <w:jc w:val="left"/>
              <w:rPr>
                <w:rFonts w:cs="Calibri"/>
                <w:lang w:val="cs-CZ" w:eastAsia="cs-CZ"/>
              </w:rPr>
            </w:pPr>
            <w:r w:rsidRPr="008B53A9">
              <w:rPr>
                <w:rFonts w:cs="Calibri"/>
                <w:lang w:val="cs-CZ" w:eastAsia="cs-CZ"/>
              </w:rPr>
              <w:t>10/2014 – ucelená pracovní verze</w:t>
            </w:r>
          </w:p>
          <w:p w:rsidR="004C6C8E" w:rsidRPr="008B53A9" w:rsidRDefault="004C6C8E" w:rsidP="0089670B">
            <w:pPr>
              <w:pStyle w:val="Tabulka"/>
              <w:jc w:val="left"/>
              <w:rPr>
                <w:rFonts w:cs="Calibri"/>
                <w:lang w:val="cs-CZ" w:eastAsia="cs-CZ"/>
              </w:rPr>
            </w:pPr>
            <w:r w:rsidRPr="008B53A9">
              <w:rPr>
                <w:rFonts w:cs="Calibri"/>
                <w:lang w:val="cs-CZ" w:eastAsia="cs-CZ"/>
              </w:rPr>
              <w:t>1/2015 – předložení vládě</w:t>
            </w:r>
          </w:p>
          <w:p w:rsidR="004C6C8E" w:rsidRPr="008B53A9" w:rsidRDefault="004C6C8E" w:rsidP="0089670B">
            <w:pPr>
              <w:pStyle w:val="Tabulka"/>
              <w:jc w:val="left"/>
              <w:rPr>
                <w:rFonts w:cs="Calibri"/>
                <w:lang w:val="cs-CZ" w:eastAsia="cs-CZ"/>
              </w:rPr>
            </w:pPr>
            <w:r w:rsidRPr="008B53A9">
              <w:rPr>
                <w:rFonts w:cs="Calibri"/>
                <w:lang w:val="cs-CZ" w:eastAsia="cs-CZ"/>
              </w:rPr>
              <w:t>2/2015 – projednání vládou</w:t>
            </w:r>
          </w:p>
        </w:tc>
        <w:tc>
          <w:tcPr>
            <w:tcW w:w="0" w:type="auto"/>
            <w:tcBorders>
              <w:top w:val="nil"/>
              <w:left w:val="nil"/>
              <w:bottom w:val="single" w:sz="4" w:space="0" w:color="auto"/>
              <w:right w:val="single" w:sz="8" w:space="0" w:color="auto"/>
            </w:tcBorders>
            <w:shd w:val="clear" w:color="auto" w:fill="auto"/>
          </w:tcPr>
          <w:p w:rsidR="004C6C8E" w:rsidRPr="008B53A9" w:rsidRDefault="004C6C8E" w:rsidP="0089670B">
            <w:pPr>
              <w:pStyle w:val="Tabulka"/>
              <w:jc w:val="left"/>
              <w:rPr>
                <w:rFonts w:cs="Calibri"/>
                <w:lang w:val="cs-CZ" w:eastAsia="cs-CZ"/>
              </w:rPr>
            </w:pPr>
            <w:r w:rsidRPr="008B53A9">
              <w:rPr>
                <w:rFonts w:cs="Calibri"/>
                <w:lang w:val="cs-CZ" w:eastAsia="cs-CZ"/>
              </w:rPr>
              <w:t>MPO</w:t>
            </w:r>
          </w:p>
          <w:p w:rsidR="004C6C8E" w:rsidRPr="008B53A9" w:rsidRDefault="004C6C8E" w:rsidP="0089670B">
            <w:pPr>
              <w:pStyle w:val="Tabulka"/>
              <w:jc w:val="left"/>
              <w:rPr>
                <w:rFonts w:cs="Calibri"/>
                <w:lang w:val="cs-CZ" w:eastAsia="cs-CZ"/>
              </w:rPr>
            </w:pPr>
            <w:r w:rsidRPr="008B53A9">
              <w:rPr>
                <w:rFonts w:cs="Calibri"/>
                <w:lang w:val="cs-CZ" w:eastAsia="cs-CZ"/>
              </w:rPr>
              <w:t>ČTÚ</w:t>
            </w:r>
          </w:p>
          <w:p w:rsidR="004C6C8E" w:rsidRPr="008B53A9" w:rsidRDefault="004C6C8E" w:rsidP="0089670B">
            <w:pPr>
              <w:pStyle w:val="Tabulka"/>
              <w:jc w:val="left"/>
              <w:rPr>
                <w:rFonts w:cs="Calibri"/>
                <w:lang w:val="cs-CZ" w:eastAsia="cs-CZ"/>
              </w:rPr>
            </w:pPr>
          </w:p>
        </w:tc>
      </w:tr>
      <w:tr w:rsidR="004C6C8E" w:rsidRPr="008B53A9">
        <w:trPr>
          <w:trHeight w:val="364"/>
        </w:trPr>
        <w:tc>
          <w:tcPr>
            <w:tcW w:w="0" w:type="auto"/>
            <w:vMerge/>
            <w:tcBorders>
              <w:left w:val="single" w:sz="8" w:space="0" w:color="auto"/>
              <w:bottom w:val="single" w:sz="4" w:space="0" w:color="000000"/>
              <w:right w:val="single" w:sz="4" w:space="0" w:color="auto"/>
            </w:tcBorders>
            <w:shd w:val="clear" w:color="auto" w:fill="auto"/>
          </w:tcPr>
          <w:p w:rsidR="004C6C8E" w:rsidRPr="008B53A9" w:rsidRDefault="004C6C8E" w:rsidP="0089670B">
            <w:pPr>
              <w:pStyle w:val="Tabulka"/>
              <w:jc w:val="left"/>
              <w:rPr>
                <w:rFonts w:cs="Calibri"/>
                <w:b/>
                <w:lang w:val="cs-CZ" w:eastAsia="cs-CZ"/>
              </w:rPr>
            </w:pPr>
          </w:p>
        </w:tc>
        <w:tc>
          <w:tcPr>
            <w:tcW w:w="0" w:type="auto"/>
            <w:tcBorders>
              <w:top w:val="single" w:sz="4" w:space="0" w:color="auto"/>
              <w:left w:val="single" w:sz="4" w:space="0" w:color="auto"/>
              <w:right w:val="double" w:sz="6" w:space="0" w:color="auto"/>
            </w:tcBorders>
            <w:shd w:val="clear" w:color="auto" w:fill="auto"/>
          </w:tcPr>
          <w:p w:rsidR="004C6C8E" w:rsidRPr="008B53A9" w:rsidRDefault="004C6C8E" w:rsidP="004C6C8E">
            <w:pPr>
              <w:pStyle w:val="Tabulka"/>
              <w:numPr>
                <w:ilvl w:val="0"/>
                <w:numId w:val="98"/>
              </w:numPr>
              <w:ind w:left="234" w:hanging="200"/>
              <w:jc w:val="left"/>
              <w:rPr>
                <w:rFonts w:cs="Calibri"/>
                <w:lang w:val="cs-CZ" w:eastAsia="cs-CZ"/>
              </w:rPr>
            </w:pPr>
            <w:r w:rsidRPr="008B53A9">
              <w:rPr>
                <w:rFonts w:cs="Calibri"/>
                <w:lang w:val="cs-CZ" w:eastAsia="cs-CZ"/>
              </w:rPr>
              <w:t>opatření k podnícení soukromých investic</w:t>
            </w:r>
          </w:p>
        </w:tc>
        <w:tc>
          <w:tcPr>
            <w:tcW w:w="0" w:type="auto"/>
            <w:tcBorders>
              <w:top w:val="single" w:sz="4" w:space="0" w:color="auto"/>
              <w:left w:val="nil"/>
              <w:right w:val="double" w:sz="6" w:space="0" w:color="auto"/>
            </w:tcBorders>
            <w:shd w:val="clear" w:color="auto" w:fill="auto"/>
          </w:tcPr>
          <w:p w:rsidR="004C6C8E" w:rsidRPr="008B53A9" w:rsidRDefault="004C6C8E" w:rsidP="004C6C8E">
            <w:pPr>
              <w:pStyle w:val="Tabulka"/>
              <w:jc w:val="left"/>
              <w:rPr>
                <w:rFonts w:cs="Calibri"/>
                <w:lang w:val="cs-CZ" w:eastAsia="cs-CZ"/>
              </w:rPr>
            </w:pPr>
            <w:r w:rsidRPr="008B53A9">
              <w:rPr>
                <w:rFonts w:cs="Calibri"/>
                <w:lang w:val="cs-CZ" w:eastAsia="cs-CZ"/>
              </w:rPr>
              <w:t>Zpracování Národního plánu rozvoje sítí nové generace.</w:t>
            </w:r>
          </w:p>
          <w:p w:rsidR="004C6C8E" w:rsidRPr="008B53A9" w:rsidRDefault="004C6C8E" w:rsidP="0089670B">
            <w:pPr>
              <w:pStyle w:val="Tabulka"/>
              <w:jc w:val="left"/>
              <w:rPr>
                <w:rFonts w:cs="Calibri"/>
                <w:lang w:val="cs-CZ" w:eastAsia="cs-CZ"/>
              </w:rPr>
            </w:pPr>
          </w:p>
        </w:tc>
        <w:tc>
          <w:tcPr>
            <w:tcW w:w="0" w:type="auto"/>
            <w:tcBorders>
              <w:top w:val="single" w:sz="4" w:space="0" w:color="auto"/>
              <w:left w:val="nil"/>
              <w:right w:val="double" w:sz="6" w:space="0" w:color="auto"/>
            </w:tcBorders>
            <w:shd w:val="clear" w:color="auto" w:fill="auto"/>
          </w:tcPr>
          <w:p w:rsidR="004C6C8E" w:rsidRPr="008B53A9" w:rsidRDefault="004C6C8E" w:rsidP="004C6C8E">
            <w:pPr>
              <w:pStyle w:val="Tabulka"/>
              <w:jc w:val="left"/>
              <w:rPr>
                <w:rFonts w:cs="Calibri"/>
                <w:lang w:val="cs-CZ" w:eastAsia="cs-CZ"/>
              </w:rPr>
            </w:pPr>
            <w:r w:rsidRPr="008B53A9">
              <w:rPr>
                <w:rFonts w:cs="Calibri"/>
                <w:lang w:val="cs-CZ" w:eastAsia="cs-CZ"/>
              </w:rPr>
              <w:t>2/2015</w:t>
            </w:r>
          </w:p>
          <w:p w:rsidR="004C6C8E" w:rsidRPr="008B53A9" w:rsidRDefault="004C6C8E" w:rsidP="004C6C8E">
            <w:pPr>
              <w:pStyle w:val="Tabulka"/>
              <w:jc w:val="left"/>
              <w:rPr>
                <w:rFonts w:cs="Calibri"/>
                <w:lang w:val="cs-CZ" w:eastAsia="cs-CZ"/>
              </w:rPr>
            </w:pPr>
          </w:p>
          <w:p w:rsidR="004C6C8E" w:rsidRPr="008B53A9" w:rsidRDefault="004C6C8E" w:rsidP="004C6C8E">
            <w:pPr>
              <w:pStyle w:val="Tabulka"/>
              <w:jc w:val="left"/>
              <w:rPr>
                <w:rFonts w:cs="Calibri"/>
                <w:lang w:val="cs-CZ" w:eastAsia="cs-CZ"/>
              </w:rPr>
            </w:pPr>
            <w:r w:rsidRPr="008B53A9">
              <w:rPr>
                <w:rFonts w:cs="Calibri"/>
                <w:lang w:val="cs-CZ" w:eastAsia="cs-CZ"/>
              </w:rPr>
              <w:t>Dílčí kroky:</w:t>
            </w:r>
          </w:p>
          <w:p w:rsidR="004C6C8E" w:rsidRPr="008B53A9" w:rsidRDefault="004C6C8E" w:rsidP="004C6C8E">
            <w:pPr>
              <w:pStyle w:val="Tabulka"/>
              <w:jc w:val="left"/>
              <w:rPr>
                <w:rFonts w:cs="Calibri"/>
                <w:lang w:val="cs-CZ" w:eastAsia="cs-CZ"/>
              </w:rPr>
            </w:pPr>
            <w:r w:rsidRPr="008B53A9">
              <w:rPr>
                <w:rFonts w:cs="Calibri"/>
                <w:lang w:val="cs-CZ" w:eastAsia="cs-CZ"/>
              </w:rPr>
              <w:t>10/2014 – ucelená pracovní verze</w:t>
            </w:r>
          </w:p>
          <w:p w:rsidR="004C6C8E" w:rsidRPr="008B53A9" w:rsidRDefault="004C6C8E" w:rsidP="004C6C8E">
            <w:pPr>
              <w:pStyle w:val="Tabulka"/>
              <w:jc w:val="left"/>
              <w:rPr>
                <w:rFonts w:cs="Calibri"/>
                <w:lang w:val="cs-CZ" w:eastAsia="cs-CZ"/>
              </w:rPr>
            </w:pPr>
            <w:r w:rsidRPr="008B53A9">
              <w:rPr>
                <w:rFonts w:cs="Calibri"/>
                <w:lang w:val="cs-CZ" w:eastAsia="cs-CZ"/>
              </w:rPr>
              <w:t xml:space="preserve">1/2015 – </w:t>
            </w:r>
            <w:r w:rsidRPr="008B53A9">
              <w:rPr>
                <w:rFonts w:cs="Calibri"/>
                <w:lang w:val="cs-CZ" w:eastAsia="cs-CZ"/>
              </w:rPr>
              <w:lastRenderedPageBreak/>
              <w:t>předložení vládě</w:t>
            </w:r>
          </w:p>
          <w:p w:rsidR="004C6C8E" w:rsidRPr="008B53A9" w:rsidRDefault="004C6C8E" w:rsidP="004C6C8E">
            <w:pPr>
              <w:pStyle w:val="Tabulka"/>
              <w:jc w:val="left"/>
              <w:rPr>
                <w:rFonts w:cs="Calibri"/>
                <w:lang w:val="cs-CZ" w:eastAsia="cs-CZ"/>
              </w:rPr>
            </w:pPr>
            <w:r w:rsidRPr="008B53A9">
              <w:rPr>
                <w:rFonts w:cs="Calibri"/>
                <w:lang w:val="cs-CZ" w:eastAsia="cs-CZ"/>
              </w:rPr>
              <w:t>2/2015 – projednání vládou</w:t>
            </w:r>
          </w:p>
        </w:tc>
        <w:tc>
          <w:tcPr>
            <w:tcW w:w="0" w:type="auto"/>
            <w:tcBorders>
              <w:top w:val="single" w:sz="4" w:space="0" w:color="auto"/>
              <w:left w:val="nil"/>
              <w:right w:val="single" w:sz="8" w:space="0" w:color="auto"/>
            </w:tcBorders>
            <w:shd w:val="clear" w:color="auto" w:fill="auto"/>
          </w:tcPr>
          <w:p w:rsidR="004C6C8E" w:rsidRPr="008B53A9" w:rsidRDefault="004C6C8E" w:rsidP="004C6C8E">
            <w:pPr>
              <w:pStyle w:val="Tabulka"/>
              <w:spacing w:before="0" w:after="0"/>
              <w:jc w:val="left"/>
              <w:rPr>
                <w:rFonts w:cs="Calibri"/>
                <w:lang w:val="cs-CZ" w:eastAsia="cs-CZ"/>
              </w:rPr>
            </w:pPr>
            <w:r w:rsidRPr="008B53A9">
              <w:rPr>
                <w:rFonts w:cs="Calibri"/>
                <w:lang w:val="cs-CZ" w:eastAsia="cs-CZ"/>
              </w:rPr>
              <w:lastRenderedPageBreak/>
              <w:t>MPO</w:t>
            </w:r>
          </w:p>
          <w:p w:rsidR="004C6C8E" w:rsidRPr="008B53A9" w:rsidRDefault="004C6C8E" w:rsidP="004C6C8E">
            <w:pPr>
              <w:pStyle w:val="Tabulka"/>
              <w:spacing w:before="0" w:after="0"/>
              <w:jc w:val="left"/>
              <w:rPr>
                <w:rFonts w:cs="Calibri"/>
                <w:lang w:val="cs-CZ" w:eastAsia="cs-CZ"/>
              </w:rPr>
            </w:pPr>
            <w:r w:rsidRPr="008B53A9">
              <w:rPr>
                <w:rFonts w:cs="Calibri"/>
                <w:lang w:val="cs-CZ" w:eastAsia="cs-CZ"/>
              </w:rPr>
              <w:t>ČTÚ</w:t>
            </w:r>
          </w:p>
          <w:p w:rsidR="004C6C8E" w:rsidRPr="008B53A9" w:rsidRDefault="004C6C8E" w:rsidP="0089670B">
            <w:pPr>
              <w:pStyle w:val="Tabulka"/>
              <w:jc w:val="left"/>
              <w:rPr>
                <w:rFonts w:cs="Calibri"/>
                <w:lang w:val="cs-CZ" w:eastAsia="cs-CZ"/>
              </w:rPr>
            </w:pPr>
          </w:p>
        </w:tc>
      </w:tr>
      <w:tr w:rsidR="008A186B" w:rsidRPr="008B53A9">
        <w:trPr>
          <w:trHeight w:val="364"/>
        </w:trPr>
        <w:tc>
          <w:tcPr>
            <w:tcW w:w="0" w:type="auto"/>
            <w:tcBorders>
              <w:top w:val="nil"/>
              <w:left w:val="single" w:sz="8" w:space="0" w:color="auto"/>
              <w:bottom w:val="single" w:sz="4" w:space="0" w:color="000000"/>
              <w:right w:val="double" w:sz="6" w:space="0" w:color="auto"/>
            </w:tcBorders>
            <w:shd w:val="clear" w:color="auto" w:fill="auto"/>
          </w:tcPr>
          <w:p w:rsidR="008A186B" w:rsidRPr="008B53A9" w:rsidRDefault="008A186B" w:rsidP="0089670B">
            <w:pPr>
              <w:pStyle w:val="Tabulka"/>
              <w:jc w:val="left"/>
              <w:rPr>
                <w:rFonts w:cs="Calibri"/>
                <w:b/>
                <w:lang w:val="cs-CZ" w:eastAsia="cs-CZ"/>
              </w:rPr>
            </w:pPr>
            <w:r w:rsidRPr="008B53A9">
              <w:rPr>
                <w:rFonts w:cs="Calibri"/>
                <w:b/>
                <w:lang w:val="cs-CZ" w:eastAsia="cs-CZ"/>
              </w:rPr>
              <w:lastRenderedPageBreak/>
              <w:t>3.1. Byla realizována zvláštní opatření k zesílení podporování podnikatelské činnosti v souladu se Small Business Act (SBA).</w:t>
            </w:r>
          </w:p>
        </w:tc>
        <w:tc>
          <w:tcPr>
            <w:tcW w:w="0" w:type="auto"/>
            <w:tcBorders>
              <w:top w:val="single" w:sz="4" w:space="0" w:color="auto"/>
              <w:left w:val="nil"/>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xml:space="preserve"> opatření zavedení s cílem zkrátit dobu potřebnou k založení firmy a snížit příslušné náklady, která zohledňují cíle SBA</w:t>
            </w:r>
          </w:p>
        </w:tc>
        <w:tc>
          <w:tcPr>
            <w:tcW w:w="0" w:type="auto"/>
            <w:tcBorders>
              <w:top w:val="single" w:sz="4" w:space="0" w:color="auto"/>
              <w:left w:val="nil"/>
              <w:right w:val="double" w:sz="6"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t xml:space="preserve">Návrh legislativního řešení snížení soudních poplatků </w:t>
            </w:r>
            <w:r w:rsidR="00832FA2" w:rsidRPr="008B53A9">
              <w:rPr>
                <w:rFonts w:cs="Calibri"/>
                <w:lang w:val="cs-CZ" w:eastAsia="cs-CZ"/>
              </w:rPr>
              <w:t xml:space="preserve">a odměny notáře </w:t>
            </w:r>
            <w:r w:rsidRPr="008B53A9">
              <w:rPr>
                <w:rFonts w:cs="Calibri"/>
                <w:lang w:val="cs-CZ" w:eastAsia="cs-CZ"/>
              </w:rPr>
              <w:t>za zakládání podniků (společností).</w:t>
            </w:r>
          </w:p>
          <w:p w:rsidR="00A7642E" w:rsidRPr="008B53A9" w:rsidRDefault="00A7642E" w:rsidP="0089670B">
            <w:pPr>
              <w:pStyle w:val="Tabulka"/>
              <w:jc w:val="left"/>
              <w:rPr>
                <w:rFonts w:cs="Calibri"/>
                <w:lang w:val="cs-CZ" w:eastAsia="cs-CZ"/>
              </w:rPr>
            </w:pPr>
            <w:r w:rsidRPr="008B53A9">
              <w:rPr>
                <w:rFonts w:cs="Calibri"/>
                <w:lang w:val="cs-CZ" w:eastAsia="cs-CZ"/>
              </w:rPr>
              <w:t>Podrobné vyjádření viz Příloha II.</w:t>
            </w:r>
          </w:p>
          <w:p w:rsidR="008A186B" w:rsidRPr="008B53A9" w:rsidRDefault="008A186B" w:rsidP="0089670B">
            <w:pPr>
              <w:pStyle w:val="Tabulka"/>
              <w:jc w:val="left"/>
              <w:rPr>
                <w:rFonts w:cs="Calibri"/>
                <w:lang w:val="cs-CZ" w:eastAsia="cs-CZ"/>
              </w:rPr>
            </w:pPr>
          </w:p>
          <w:p w:rsidR="008A186B" w:rsidRPr="008B53A9" w:rsidRDefault="008A186B" w:rsidP="0089670B">
            <w:pPr>
              <w:pStyle w:val="Tabulka"/>
              <w:jc w:val="left"/>
              <w:rPr>
                <w:rFonts w:cs="Calibri"/>
                <w:lang w:val="cs-CZ" w:eastAsia="cs-CZ"/>
              </w:rPr>
            </w:pPr>
            <w:r w:rsidRPr="008B53A9">
              <w:rPr>
                <w:rFonts w:cs="Calibri"/>
                <w:lang w:val="cs-CZ" w:eastAsia="cs-CZ"/>
              </w:rPr>
              <w:t xml:space="preserve"> </w:t>
            </w:r>
          </w:p>
        </w:tc>
        <w:tc>
          <w:tcPr>
            <w:tcW w:w="0" w:type="auto"/>
            <w:tcBorders>
              <w:top w:val="single" w:sz="4" w:space="0" w:color="auto"/>
              <w:left w:val="nil"/>
              <w:right w:val="double" w:sz="6" w:space="0" w:color="auto"/>
            </w:tcBorders>
            <w:shd w:val="clear" w:color="auto" w:fill="auto"/>
          </w:tcPr>
          <w:p w:rsidR="00832FA2" w:rsidRPr="008B53A9" w:rsidRDefault="00832FA2" w:rsidP="0089670B">
            <w:pPr>
              <w:pStyle w:val="Tabulka"/>
              <w:jc w:val="left"/>
              <w:rPr>
                <w:rFonts w:cs="Calibri"/>
                <w:lang w:val="cs-CZ" w:eastAsia="cs-CZ"/>
              </w:rPr>
            </w:pPr>
            <w:r w:rsidRPr="008B53A9">
              <w:rPr>
                <w:rFonts w:cs="Calibri"/>
                <w:lang w:val="cs-CZ" w:eastAsia="cs-CZ"/>
              </w:rPr>
              <w:t xml:space="preserve">Zpracování paragrafového znění </w:t>
            </w:r>
          </w:p>
          <w:p w:rsidR="00832FA2" w:rsidRPr="008B53A9" w:rsidRDefault="00832FA2" w:rsidP="0089670B">
            <w:pPr>
              <w:pStyle w:val="Tabulka"/>
              <w:jc w:val="left"/>
              <w:rPr>
                <w:rFonts w:cs="Calibri"/>
                <w:lang w:val="cs-CZ" w:eastAsia="cs-CZ"/>
              </w:rPr>
            </w:pPr>
            <w:r w:rsidRPr="008B53A9">
              <w:rPr>
                <w:rFonts w:cs="Calibri"/>
                <w:lang w:val="cs-CZ" w:eastAsia="cs-CZ"/>
              </w:rPr>
              <w:t>4/2014</w:t>
            </w:r>
          </w:p>
          <w:p w:rsidR="00832FA2" w:rsidRPr="008B53A9" w:rsidRDefault="00832FA2" w:rsidP="0089670B">
            <w:pPr>
              <w:pStyle w:val="Tabulka"/>
              <w:jc w:val="left"/>
              <w:rPr>
                <w:rFonts w:cs="Calibri"/>
                <w:lang w:val="cs-CZ" w:eastAsia="cs-CZ"/>
              </w:rPr>
            </w:pPr>
            <w:r w:rsidRPr="008B53A9">
              <w:rPr>
                <w:rFonts w:cs="Calibri"/>
                <w:lang w:val="cs-CZ" w:eastAsia="cs-CZ"/>
              </w:rPr>
              <w:t>Připomínkové řízení k novele a jeho vypořádání:</w:t>
            </w:r>
          </w:p>
          <w:p w:rsidR="00832FA2" w:rsidRPr="008B53A9" w:rsidRDefault="00832FA2" w:rsidP="0089670B">
            <w:pPr>
              <w:pStyle w:val="Tabulka"/>
              <w:jc w:val="left"/>
              <w:rPr>
                <w:rFonts w:cs="Calibri"/>
                <w:lang w:val="cs-CZ" w:eastAsia="cs-CZ"/>
              </w:rPr>
            </w:pPr>
            <w:r w:rsidRPr="008B53A9">
              <w:rPr>
                <w:rFonts w:cs="Calibri"/>
                <w:lang w:val="cs-CZ" w:eastAsia="cs-CZ"/>
              </w:rPr>
              <w:t>5-6/2014</w:t>
            </w:r>
          </w:p>
          <w:p w:rsidR="00832FA2" w:rsidRPr="008B53A9" w:rsidRDefault="00832FA2" w:rsidP="0089670B">
            <w:pPr>
              <w:pStyle w:val="Tabulka"/>
              <w:jc w:val="left"/>
              <w:rPr>
                <w:rFonts w:cs="Calibri"/>
                <w:lang w:val="cs-CZ" w:eastAsia="cs-CZ"/>
              </w:rPr>
            </w:pPr>
            <w:r w:rsidRPr="008B53A9">
              <w:rPr>
                <w:rFonts w:cs="Calibri"/>
                <w:lang w:val="cs-CZ" w:eastAsia="cs-CZ"/>
              </w:rPr>
              <w:t>Projednání novely legislativní radou vlády:</w:t>
            </w:r>
          </w:p>
          <w:p w:rsidR="00832FA2" w:rsidRPr="008B53A9" w:rsidRDefault="00832FA2" w:rsidP="0089670B">
            <w:pPr>
              <w:pStyle w:val="Tabulka"/>
              <w:jc w:val="left"/>
              <w:rPr>
                <w:rFonts w:cs="Calibri"/>
                <w:lang w:val="cs-CZ" w:eastAsia="cs-CZ"/>
              </w:rPr>
            </w:pPr>
            <w:r w:rsidRPr="008B53A9">
              <w:rPr>
                <w:rFonts w:cs="Calibri"/>
                <w:lang w:val="cs-CZ" w:eastAsia="cs-CZ"/>
              </w:rPr>
              <w:t>7/2014</w:t>
            </w:r>
          </w:p>
          <w:p w:rsidR="00312A51" w:rsidRPr="008B53A9" w:rsidRDefault="00312A51" w:rsidP="0089670B">
            <w:pPr>
              <w:pStyle w:val="Tabulka"/>
              <w:jc w:val="left"/>
              <w:rPr>
                <w:rFonts w:cs="Calibri"/>
                <w:lang w:val="cs-CZ" w:eastAsia="cs-CZ"/>
              </w:rPr>
            </w:pPr>
            <w:r w:rsidRPr="008B53A9">
              <w:rPr>
                <w:rFonts w:cs="Calibri"/>
                <w:lang w:val="cs-CZ" w:eastAsia="cs-CZ"/>
              </w:rPr>
              <w:t>Předložení návrhu novely vládě:</w:t>
            </w:r>
          </w:p>
          <w:p w:rsidR="00312A51" w:rsidRPr="008B53A9" w:rsidRDefault="00312A51" w:rsidP="0089670B">
            <w:pPr>
              <w:pStyle w:val="Tabulka"/>
              <w:jc w:val="left"/>
              <w:rPr>
                <w:rFonts w:cs="Calibri"/>
                <w:lang w:val="cs-CZ" w:eastAsia="cs-CZ"/>
              </w:rPr>
            </w:pPr>
            <w:r w:rsidRPr="008B53A9">
              <w:rPr>
                <w:rFonts w:cs="Calibri"/>
                <w:lang w:val="cs-CZ" w:eastAsia="cs-CZ"/>
              </w:rPr>
              <w:t>9/2014</w:t>
            </w:r>
          </w:p>
          <w:p w:rsidR="00832FA2" w:rsidRPr="008B53A9" w:rsidRDefault="00832FA2" w:rsidP="0089670B">
            <w:pPr>
              <w:pStyle w:val="Tabulka"/>
              <w:jc w:val="left"/>
              <w:rPr>
                <w:rFonts w:cs="Calibri"/>
                <w:lang w:val="cs-CZ" w:eastAsia="cs-CZ"/>
              </w:rPr>
            </w:pPr>
            <w:r w:rsidRPr="008B53A9">
              <w:rPr>
                <w:rFonts w:cs="Calibri"/>
                <w:lang w:val="cs-CZ" w:eastAsia="cs-CZ"/>
              </w:rPr>
              <w:t>Projednání novely v Poslanecké sněmovně:</w:t>
            </w:r>
          </w:p>
          <w:p w:rsidR="00832FA2" w:rsidRPr="008B53A9" w:rsidRDefault="00832FA2" w:rsidP="0089670B">
            <w:pPr>
              <w:pStyle w:val="Tabulka"/>
              <w:jc w:val="left"/>
              <w:rPr>
                <w:rFonts w:cs="Calibri"/>
                <w:lang w:val="cs-CZ" w:eastAsia="cs-CZ"/>
              </w:rPr>
            </w:pPr>
            <w:r w:rsidRPr="008B53A9">
              <w:rPr>
                <w:rFonts w:cs="Calibri"/>
                <w:lang w:val="cs-CZ" w:eastAsia="cs-CZ"/>
              </w:rPr>
              <w:t>10-11/2014</w:t>
            </w:r>
          </w:p>
          <w:p w:rsidR="00832FA2" w:rsidRPr="008B53A9" w:rsidRDefault="00832FA2" w:rsidP="0089670B">
            <w:pPr>
              <w:pStyle w:val="Tabulka"/>
              <w:jc w:val="left"/>
              <w:rPr>
                <w:rFonts w:cs="Calibri"/>
                <w:lang w:val="cs-CZ" w:eastAsia="cs-CZ"/>
              </w:rPr>
            </w:pPr>
            <w:r w:rsidRPr="008B53A9">
              <w:rPr>
                <w:rFonts w:cs="Calibri"/>
                <w:lang w:val="cs-CZ" w:eastAsia="cs-CZ"/>
              </w:rPr>
              <w:t>Projednání novely v Senátu:</w:t>
            </w:r>
          </w:p>
          <w:p w:rsidR="00832FA2" w:rsidRPr="008B53A9" w:rsidRDefault="00832FA2" w:rsidP="0089670B">
            <w:pPr>
              <w:pStyle w:val="Tabulka"/>
              <w:jc w:val="left"/>
              <w:rPr>
                <w:rFonts w:cs="Calibri"/>
                <w:lang w:val="cs-CZ" w:eastAsia="cs-CZ"/>
              </w:rPr>
            </w:pPr>
            <w:r w:rsidRPr="008B53A9">
              <w:rPr>
                <w:rFonts w:cs="Calibri"/>
                <w:lang w:val="cs-CZ" w:eastAsia="cs-CZ"/>
              </w:rPr>
              <w:t>12/2014 – 1/2015</w:t>
            </w:r>
          </w:p>
          <w:p w:rsidR="00832FA2" w:rsidRPr="008B53A9" w:rsidRDefault="00832FA2" w:rsidP="0089670B">
            <w:pPr>
              <w:pStyle w:val="Tabulka"/>
              <w:jc w:val="left"/>
              <w:rPr>
                <w:rFonts w:cs="Calibri"/>
                <w:lang w:val="cs-CZ" w:eastAsia="cs-CZ"/>
              </w:rPr>
            </w:pPr>
            <w:r w:rsidRPr="008B53A9">
              <w:rPr>
                <w:rFonts w:cs="Calibri"/>
                <w:lang w:val="cs-CZ" w:eastAsia="cs-CZ"/>
              </w:rPr>
              <w:t xml:space="preserve">Podpis novely prezidentem republiky a vyhlášení ve </w:t>
            </w:r>
            <w:r w:rsidRPr="008B53A9">
              <w:rPr>
                <w:rFonts w:cs="Calibri"/>
                <w:lang w:val="cs-CZ" w:eastAsia="cs-CZ"/>
              </w:rPr>
              <w:lastRenderedPageBreak/>
              <w:t>Sbírce zákonů:</w:t>
            </w:r>
          </w:p>
          <w:p w:rsidR="00832FA2" w:rsidRPr="008B53A9" w:rsidRDefault="00832FA2" w:rsidP="0089670B">
            <w:pPr>
              <w:pStyle w:val="Tabulka"/>
              <w:jc w:val="left"/>
              <w:rPr>
                <w:rFonts w:cs="Calibri"/>
                <w:lang w:val="cs-CZ" w:eastAsia="cs-CZ"/>
              </w:rPr>
            </w:pPr>
            <w:r w:rsidRPr="008B53A9">
              <w:rPr>
                <w:rFonts w:cs="Calibri"/>
                <w:lang w:val="cs-CZ" w:eastAsia="cs-CZ"/>
              </w:rPr>
              <w:t>2/2015</w:t>
            </w:r>
          </w:p>
          <w:p w:rsidR="00832FA2" w:rsidRPr="008B53A9" w:rsidRDefault="00832FA2" w:rsidP="0089670B">
            <w:pPr>
              <w:pStyle w:val="Tabulka"/>
              <w:jc w:val="left"/>
              <w:rPr>
                <w:rFonts w:cs="Calibri"/>
                <w:lang w:val="cs-CZ" w:eastAsia="cs-CZ"/>
              </w:rPr>
            </w:pPr>
          </w:p>
          <w:p w:rsidR="00312A51" w:rsidRPr="008B53A9" w:rsidRDefault="00312A51" w:rsidP="0089670B">
            <w:pPr>
              <w:pStyle w:val="Tabulka"/>
              <w:jc w:val="left"/>
              <w:rPr>
                <w:rFonts w:cs="Calibri"/>
                <w:lang w:val="cs-CZ" w:eastAsia="cs-CZ"/>
              </w:rPr>
            </w:pPr>
            <w:r w:rsidRPr="008B53A9">
              <w:rPr>
                <w:rFonts w:cs="Calibri"/>
                <w:lang w:val="cs-CZ" w:eastAsia="cs-CZ"/>
              </w:rPr>
              <w:t>Nabytí účinnosti novely:</w:t>
            </w:r>
          </w:p>
          <w:p w:rsidR="008A186B" w:rsidRPr="008B53A9" w:rsidRDefault="00312A51" w:rsidP="0089670B">
            <w:pPr>
              <w:pStyle w:val="Tabulka"/>
              <w:jc w:val="left"/>
              <w:rPr>
                <w:rFonts w:cs="Calibri"/>
                <w:lang w:val="cs-CZ" w:eastAsia="cs-CZ"/>
              </w:rPr>
            </w:pPr>
            <w:r w:rsidRPr="008B53A9">
              <w:rPr>
                <w:rFonts w:cs="Calibri"/>
                <w:lang w:val="cs-CZ" w:eastAsia="cs-CZ"/>
              </w:rPr>
              <w:t>11/2016</w:t>
            </w:r>
          </w:p>
        </w:tc>
        <w:tc>
          <w:tcPr>
            <w:tcW w:w="0" w:type="auto"/>
            <w:tcBorders>
              <w:top w:val="single" w:sz="4" w:space="0" w:color="auto"/>
              <w:left w:val="nil"/>
              <w:right w:val="single" w:sz="8" w:space="0" w:color="auto"/>
            </w:tcBorders>
            <w:shd w:val="clear" w:color="auto" w:fill="auto"/>
          </w:tcPr>
          <w:p w:rsidR="008A186B" w:rsidRPr="008B53A9" w:rsidRDefault="008A186B" w:rsidP="0089670B">
            <w:pPr>
              <w:pStyle w:val="Tabulka"/>
              <w:jc w:val="left"/>
              <w:rPr>
                <w:rFonts w:cs="Calibri"/>
                <w:lang w:val="cs-CZ" w:eastAsia="cs-CZ"/>
              </w:rPr>
            </w:pPr>
            <w:r w:rsidRPr="008B53A9">
              <w:rPr>
                <w:rFonts w:cs="Calibri"/>
                <w:lang w:val="cs-CZ" w:eastAsia="cs-CZ"/>
              </w:rPr>
              <w:lastRenderedPageBreak/>
              <w:t>MSp</w:t>
            </w:r>
          </w:p>
        </w:tc>
      </w:tr>
      <w:tr w:rsidR="00EF6B9A" w:rsidRPr="008B53A9">
        <w:trPr>
          <w:trHeight w:val="363"/>
        </w:trPr>
        <w:tc>
          <w:tcPr>
            <w:tcW w:w="0" w:type="auto"/>
            <w:vMerge w:val="restart"/>
            <w:tcBorders>
              <w:top w:val="single" w:sz="4" w:space="0" w:color="auto"/>
              <w:left w:val="single" w:sz="8" w:space="0" w:color="auto"/>
              <w:right w:val="double" w:sz="6" w:space="0" w:color="auto"/>
            </w:tcBorders>
            <w:shd w:val="clear" w:color="auto" w:fill="auto"/>
          </w:tcPr>
          <w:p w:rsidR="00EF6B9A" w:rsidRPr="008B53A9" w:rsidRDefault="00EF6B9A" w:rsidP="0089670B">
            <w:pPr>
              <w:pStyle w:val="Tabulka"/>
              <w:jc w:val="left"/>
              <w:rPr>
                <w:rFonts w:cs="Calibri"/>
                <w:b/>
                <w:lang w:val="cs-CZ" w:eastAsia="cs-CZ"/>
              </w:rPr>
            </w:pPr>
            <w:r w:rsidRPr="008B53A9">
              <w:rPr>
                <w:rFonts w:cs="Calibri"/>
                <w:b/>
                <w:lang w:val="cs-CZ" w:eastAsia="cs-CZ"/>
              </w:rPr>
              <w:lastRenderedPageBreak/>
              <w:t>4.1. Byla provedena opatření na podporu nákladově efektivního zvyšování energetické účinnosti u koncového uživatele a nákladově efektivních investic do energetické účinnost</w:t>
            </w:r>
            <w:r w:rsidR="004909F6" w:rsidRPr="008B53A9">
              <w:rPr>
                <w:rFonts w:cs="Calibri"/>
                <w:b/>
                <w:lang w:val="cs-CZ" w:eastAsia="cs-CZ"/>
              </w:rPr>
              <w:t>i při výstavbě a renovaci budov</w:t>
            </w:r>
          </w:p>
        </w:tc>
        <w:tc>
          <w:tcPr>
            <w:tcW w:w="0" w:type="auto"/>
            <w:tcBorders>
              <w:top w:val="single" w:sz="4" w:space="0" w:color="auto"/>
              <w:left w:val="nil"/>
              <w:right w:val="double" w:sz="6" w:space="0" w:color="auto"/>
            </w:tcBorders>
            <w:shd w:val="clear" w:color="auto" w:fill="auto"/>
          </w:tcPr>
          <w:p w:rsidR="00EF6B9A" w:rsidRPr="008B53A9" w:rsidRDefault="00EF6B9A" w:rsidP="0089670B">
            <w:pPr>
              <w:pStyle w:val="Tabulka"/>
              <w:jc w:val="left"/>
              <w:rPr>
                <w:rFonts w:cs="Calibri"/>
                <w:lang w:val="cs-CZ" w:eastAsia="cs-CZ"/>
              </w:rPr>
            </w:pPr>
            <w:r w:rsidRPr="008B53A9">
              <w:rPr>
                <w:rFonts w:cs="Calibri"/>
                <w:lang w:val="cs-CZ" w:eastAsia="cs-CZ"/>
              </w:rPr>
              <w:t>Opatření k zajištění minimálních požadavků týkajících se energetické náročnosti budov v souladu s články 3, 4 a 5 směrnice Evropského parlamentu a Rady 2010/31/EU,</w:t>
            </w:r>
          </w:p>
        </w:tc>
        <w:tc>
          <w:tcPr>
            <w:tcW w:w="0" w:type="auto"/>
            <w:tcBorders>
              <w:top w:val="single" w:sz="4" w:space="0" w:color="auto"/>
              <w:left w:val="nil"/>
              <w:bottom w:val="single" w:sz="4" w:space="0" w:color="auto"/>
              <w:right w:val="double" w:sz="6" w:space="0" w:color="auto"/>
            </w:tcBorders>
            <w:shd w:val="clear" w:color="auto" w:fill="auto"/>
          </w:tcPr>
          <w:p w:rsidR="00EF6B9A" w:rsidRPr="008B53A9" w:rsidRDefault="00EF6B9A" w:rsidP="0089670B">
            <w:pPr>
              <w:pStyle w:val="Tabulka"/>
              <w:jc w:val="left"/>
              <w:rPr>
                <w:rFonts w:cs="Calibri"/>
                <w:lang w:val="cs-CZ" w:eastAsia="cs-CZ"/>
              </w:rPr>
            </w:pPr>
            <w:r w:rsidRPr="008B53A9">
              <w:rPr>
                <w:rFonts w:cs="Calibri"/>
                <w:lang w:val="cs-CZ" w:eastAsia="cs-CZ"/>
              </w:rPr>
              <w:t xml:space="preserve">Úprava zákona č. 406/2000 Sb., o hospodaření s energií a vyhlášky č. 78/2013 Sb. </w:t>
            </w:r>
          </w:p>
          <w:p w:rsidR="00EF6B9A" w:rsidRPr="008B53A9" w:rsidDel="00C8176E" w:rsidRDefault="00EF6B9A" w:rsidP="0089670B">
            <w:pPr>
              <w:pStyle w:val="Tabulka"/>
              <w:jc w:val="left"/>
              <w:rPr>
                <w:rFonts w:cs="Calibri"/>
                <w:lang w:val="cs-CZ" w:eastAsia="cs-CZ"/>
              </w:rPr>
            </w:pPr>
          </w:p>
          <w:p w:rsidR="00EF6B9A" w:rsidRPr="008B53A9" w:rsidRDefault="00EF6B9A" w:rsidP="0089670B">
            <w:pPr>
              <w:pStyle w:val="Tabulka"/>
              <w:jc w:val="left"/>
              <w:rPr>
                <w:rFonts w:cs="Calibri"/>
                <w:lang w:val="cs-CZ" w:eastAsia="cs-CZ"/>
              </w:rPr>
            </w:pPr>
          </w:p>
        </w:tc>
        <w:tc>
          <w:tcPr>
            <w:tcW w:w="0" w:type="auto"/>
            <w:tcBorders>
              <w:top w:val="single" w:sz="4" w:space="0" w:color="auto"/>
              <w:left w:val="nil"/>
              <w:bottom w:val="single" w:sz="4" w:space="0" w:color="auto"/>
              <w:right w:val="double" w:sz="6" w:space="0" w:color="auto"/>
            </w:tcBorders>
            <w:shd w:val="clear" w:color="auto" w:fill="auto"/>
          </w:tcPr>
          <w:p w:rsidR="00EF6B9A" w:rsidRPr="008B53A9" w:rsidRDefault="00EF6B9A" w:rsidP="0089670B">
            <w:pPr>
              <w:pStyle w:val="Tabulka"/>
              <w:jc w:val="left"/>
              <w:rPr>
                <w:rFonts w:cs="Calibri"/>
                <w:lang w:val="cs-CZ" w:eastAsia="cs-CZ"/>
              </w:rPr>
            </w:pPr>
            <w:r w:rsidRPr="008B53A9">
              <w:rPr>
                <w:rFonts w:cs="Calibri"/>
                <w:lang w:val="cs-CZ" w:eastAsia="cs-CZ"/>
              </w:rPr>
              <w:t>Předložení návrhu vládě</w:t>
            </w:r>
          </w:p>
          <w:p w:rsidR="00EF6B9A" w:rsidRPr="008B53A9" w:rsidRDefault="00EF6B9A" w:rsidP="0089670B">
            <w:pPr>
              <w:pStyle w:val="Tabulka"/>
              <w:jc w:val="left"/>
              <w:rPr>
                <w:rFonts w:cs="Calibri"/>
                <w:lang w:val="cs-CZ" w:eastAsia="cs-CZ"/>
              </w:rPr>
            </w:pPr>
            <w:r w:rsidRPr="008B53A9">
              <w:rPr>
                <w:rFonts w:cs="Calibri"/>
                <w:lang w:val="cs-CZ" w:eastAsia="cs-CZ"/>
              </w:rPr>
              <w:t>6/2014</w:t>
            </w:r>
          </w:p>
          <w:p w:rsidR="00EF6B9A" w:rsidRPr="008B53A9" w:rsidRDefault="00EF6B9A" w:rsidP="0089670B">
            <w:pPr>
              <w:pStyle w:val="Tabulka"/>
              <w:jc w:val="left"/>
              <w:rPr>
                <w:rFonts w:cs="Calibri"/>
                <w:lang w:val="cs-CZ" w:eastAsia="cs-CZ"/>
              </w:rPr>
            </w:pPr>
            <w:r w:rsidRPr="008B53A9">
              <w:rPr>
                <w:rFonts w:cs="Calibri"/>
                <w:lang w:val="cs-CZ" w:eastAsia="cs-CZ"/>
              </w:rPr>
              <w:t xml:space="preserve">Předložení Parlamentu </w:t>
            </w:r>
          </w:p>
          <w:p w:rsidR="00EF6B9A" w:rsidRPr="008B53A9" w:rsidRDefault="00EF6B9A" w:rsidP="0089670B">
            <w:pPr>
              <w:pStyle w:val="Tabulka"/>
              <w:jc w:val="left"/>
              <w:rPr>
                <w:rFonts w:cs="Calibri"/>
                <w:lang w:val="cs-CZ" w:eastAsia="cs-CZ"/>
              </w:rPr>
            </w:pPr>
            <w:r w:rsidRPr="008B53A9">
              <w:rPr>
                <w:rFonts w:cs="Calibri"/>
                <w:lang w:val="cs-CZ" w:eastAsia="cs-CZ"/>
              </w:rPr>
              <w:t>9/2014</w:t>
            </w:r>
          </w:p>
          <w:p w:rsidR="00EF6B9A" w:rsidRPr="008B53A9" w:rsidRDefault="00EF6B9A" w:rsidP="0089670B">
            <w:pPr>
              <w:pStyle w:val="Tabulka"/>
              <w:jc w:val="left"/>
              <w:rPr>
                <w:rFonts w:cs="Calibri"/>
                <w:lang w:val="cs-CZ" w:eastAsia="cs-CZ"/>
              </w:rPr>
            </w:pPr>
            <w:r w:rsidRPr="008B53A9">
              <w:rPr>
                <w:rFonts w:cs="Calibri"/>
                <w:lang w:val="cs-CZ" w:eastAsia="cs-CZ"/>
              </w:rPr>
              <w:t>Předpokládané nabytí účinnosti</w:t>
            </w:r>
          </w:p>
          <w:p w:rsidR="00EF6B9A" w:rsidRPr="008B53A9" w:rsidRDefault="00EF6B9A" w:rsidP="0089670B">
            <w:pPr>
              <w:pStyle w:val="Tabulka"/>
              <w:jc w:val="left"/>
              <w:rPr>
                <w:rFonts w:cs="Calibri"/>
                <w:lang w:val="cs-CZ" w:eastAsia="cs-CZ"/>
              </w:rPr>
            </w:pPr>
            <w:r w:rsidRPr="008B53A9">
              <w:rPr>
                <w:rFonts w:cs="Calibri"/>
                <w:lang w:val="cs-CZ" w:eastAsia="cs-CZ"/>
              </w:rPr>
              <w:t>1/2015</w:t>
            </w:r>
          </w:p>
        </w:tc>
        <w:tc>
          <w:tcPr>
            <w:tcW w:w="0" w:type="auto"/>
            <w:tcBorders>
              <w:top w:val="single" w:sz="4" w:space="0" w:color="auto"/>
              <w:left w:val="nil"/>
              <w:bottom w:val="single" w:sz="4" w:space="0" w:color="auto"/>
              <w:right w:val="single" w:sz="8" w:space="0" w:color="auto"/>
            </w:tcBorders>
            <w:shd w:val="clear" w:color="auto" w:fill="auto"/>
          </w:tcPr>
          <w:p w:rsidR="00EF6B9A" w:rsidRPr="008B53A9" w:rsidRDefault="00EF6B9A" w:rsidP="0089670B">
            <w:pPr>
              <w:pStyle w:val="Tabulka"/>
              <w:jc w:val="left"/>
              <w:rPr>
                <w:rFonts w:cs="Calibri"/>
                <w:lang w:val="cs-CZ" w:eastAsia="cs-CZ"/>
              </w:rPr>
            </w:pPr>
            <w:r w:rsidRPr="008B53A9">
              <w:rPr>
                <w:rFonts w:cs="Calibri"/>
                <w:lang w:val="cs-CZ" w:eastAsia="cs-CZ"/>
              </w:rPr>
              <w:t>MPO</w:t>
            </w:r>
          </w:p>
        </w:tc>
      </w:tr>
      <w:tr w:rsidR="00EF6B9A" w:rsidRPr="008B53A9">
        <w:trPr>
          <w:trHeight w:val="2410"/>
        </w:trPr>
        <w:tc>
          <w:tcPr>
            <w:tcW w:w="0" w:type="auto"/>
            <w:vMerge/>
            <w:tcBorders>
              <w:left w:val="single" w:sz="8" w:space="0" w:color="auto"/>
              <w:right w:val="double" w:sz="6" w:space="0" w:color="auto"/>
            </w:tcBorders>
            <w:shd w:val="clear" w:color="auto" w:fill="auto"/>
          </w:tcPr>
          <w:p w:rsidR="00EF6B9A" w:rsidRPr="008B53A9" w:rsidRDefault="00EF6B9A" w:rsidP="00DA3EA1">
            <w:pPr>
              <w:pStyle w:val="Tabulka"/>
              <w:jc w:val="left"/>
              <w:rPr>
                <w:rFonts w:cs="Calibri"/>
                <w:b/>
                <w:lang w:val="cs-CZ" w:eastAsia="cs-CZ"/>
              </w:rPr>
            </w:pPr>
          </w:p>
        </w:tc>
        <w:tc>
          <w:tcPr>
            <w:tcW w:w="0" w:type="auto"/>
            <w:tcBorders>
              <w:top w:val="single" w:sz="4" w:space="0" w:color="auto"/>
              <w:left w:val="nil"/>
              <w:right w:val="double" w:sz="6" w:space="0" w:color="auto"/>
            </w:tcBorders>
            <w:shd w:val="clear" w:color="auto" w:fill="auto"/>
          </w:tcPr>
          <w:p w:rsidR="00EF6B9A" w:rsidRPr="008B53A9" w:rsidRDefault="00EF6B9A" w:rsidP="004909F6">
            <w:pPr>
              <w:pStyle w:val="Tabulka"/>
              <w:jc w:val="left"/>
              <w:rPr>
                <w:rFonts w:cs="Calibri"/>
                <w:lang w:val="cs-CZ" w:eastAsia="cs-CZ"/>
              </w:rPr>
            </w:pPr>
            <w:r w:rsidRPr="008B53A9">
              <w:rPr>
                <w:rFonts w:cs="Calibri"/>
                <w:lang w:val="cs-CZ" w:eastAsia="cs-CZ"/>
              </w:rPr>
              <w:t>Opatření nezbytná pro zavedení systému certifikace energetické náročnosti budov v souladu s článkem 11 směrnice 2010/31/EU,</w:t>
            </w:r>
          </w:p>
        </w:tc>
        <w:tc>
          <w:tcPr>
            <w:tcW w:w="0" w:type="auto"/>
            <w:tcBorders>
              <w:top w:val="single" w:sz="4" w:space="0" w:color="auto"/>
              <w:left w:val="nil"/>
              <w:right w:val="double" w:sz="6" w:space="0" w:color="auto"/>
            </w:tcBorders>
            <w:shd w:val="clear" w:color="auto" w:fill="auto"/>
          </w:tcPr>
          <w:p w:rsidR="00EF6B9A" w:rsidRPr="008B53A9" w:rsidRDefault="00EF6B9A" w:rsidP="004D52A1">
            <w:pPr>
              <w:pStyle w:val="Tabulka"/>
              <w:jc w:val="left"/>
              <w:rPr>
                <w:rFonts w:cs="Calibri"/>
                <w:lang w:val="cs-CZ" w:eastAsia="cs-CZ"/>
              </w:rPr>
            </w:pPr>
            <w:r w:rsidRPr="008B53A9">
              <w:rPr>
                <w:rFonts w:cs="Calibri"/>
                <w:lang w:val="cs-CZ" w:eastAsia="cs-CZ"/>
              </w:rPr>
              <w:t xml:space="preserve">Úprava zákona č. 406/2000 Sb., o hospodaření s energií a vyhlášky č. 78/2013 Sb. </w:t>
            </w:r>
          </w:p>
          <w:p w:rsidR="00EF6B9A" w:rsidRPr="008B53A9" w:rsidDel="008E10C9" w:rsidRDefault="00EF6B9A" w:rsidP="004D52A1">
            <w:pPr>
              <w:pStyle w:val="Tabulka"/>
              <w:jc w:val="left"/>
              <w:rPr>
                <w:rFonts w:cs="Calibri"/>
                <w:lang w:val="cs-CZ" w:eastAsia="cs-CZ"/>
              </w:rPr>
            </w:pPr>
          </w:p>
          <w:p w:rsidR="00EF6B9A" w:rsidRPr="008B53A9" w:rsidRDefault="00EF6B9A" w:rsidP="004D52A1">
            <w:pPr>
              <w:pStyle w:val="Tabulka"/>
              <w:jc w:val="left"/>
              <w:rPr>
                <w:rFonts w:cs="Calibri"/>
                <w:lang w:val="cs-CZ" w:eastAsia="cs-CZ"/>
              </w:rPr>
            </w:pPr>
          </w:p>
        </w:tc>
        <w:tc>
          <w:tcPr>
            <w:tcW w:w="0" w:type="auto"/>
            <w:tcBorders>
              <w:top w:val="single" w:sz="4" w:space="0" w:color="auto"/>
              <w:left w:val="nil"/>
              <w:right w:val="double" w:sz="6" w:space="0" w:color="auto"/>
            </w:tcBorders>
            <w:shd w:val="clear" w:color="auto" w:fill="auto"/>
          </w:tcPr>
          <w:p w:rsidR="00EF6B9A" w:rsidRPr="008B53A9" w:rsidRDefault="00EF6B9A" w:rsidP="004D52A1">
            <w:pPr>
              <w:pStyle w:val="Tabulka"/>
              <w:jc w:val="left"/>
              <w:rPr>
                <w:rFonts w:cs="Calibri"/>
                <w:lang w:val="cs-CZ" w:eastAsia="cs-CZ"/>
              </w:rPr>
            </w:pPr>
            <w:r w:rsidRPr="008B53A9">
              <w:rPr>
                <w:rFonts w:cs="Calibri"/>
                <w:lang w:val="cs-CZ" w:eastAsia="cs-CZ"/>
              </w:rPr>
              <w:t>Předložení návrhu vládě</w:t>
            </w:r>
          </w:p>
          <w:p w:rsidR="00EF6B9A" w:rsidRPr="008B53A9" w:rsidRDefault="00EF6B9A" w:rsidP="004D52A1">
            <w:pPr>
              <w:pStyle w:val="Tabulka"/>
              <w:jc w:val="left"/>
              <w:rPr>
                <w:rFonts w:cs="Calibri"/>
                <w:lang w:val="cs-CZ" w:eastAsia="cs-CZ"/>
              </w:rPr>
            </w:pPr>
            <w:r w:rsidRPr="008B53A9">
              <w:rPr>
                <w:rFonts w:cs="Calibri"/>
                <w:lang w:val="cs-CZ" w:eastAsia="cs-CZ"/>
              </w:rPr>
              <w:t>6/2014</w:t>
            </w:r>
          </w:p>
          <w:p w:rsidR="00EF6B9A" w:rsidRPr="008B53A9" w:rsidRDefault="00EF6B9A" w:rsidP="004D52A1">
            <w:pPr>
              <w:pStyle w:val="Tabulka"/>
              <w:jc w:val="left"/>
              <w:rPr>
                <w:rFonts w:cs="Calibri"/>
                <w:lang w:val="cs-CZ" w:eastAsia="cs-CZ"/>
              </w:rPr>
            </w:pPr>
            <w:r w:rsidRPr="008B53A9">
              <w:rPr>
                <w:rFonts w:cs="Calibri"/>
                <w:lang w:val="cs-CZ" w:eastAsia="cs-CZ"/>
              </w:rPr>
              <w:t xml:space="preserve">Předložení Parlamentu </w:t>
            </w:r>
          </w:p>
          <w:p w:rsidR="00EF6B9A" w:rsidRPr="008B53A9" w:rsidRDefault="00EF6B9A" w:rsidP="004D52A1">
            <w:pPr>
              <w:pStyle w:val="Tabulka"/>
              <w:jc w:val="left"/>
              <w:rPr>
                <w:rFonts w:cs="Calibri"/>
                <w:lang w:val="cs-CZ" w:eastAsia="cs-CZ"/>
              </w:rPr>
            </w:pPr>
            <w:r w:rsidRPr="008B53A9">
              <w:rPr>
                <w:rFonts w:cs="Calibri"/>
                <w:lang w:val="cs-CZ" w:eastAsia="cs-CZ"/>
              </w:rPr>
              <w:t>9/2014</w:t>
            </w:r>
          </w:p>
          <w:p w:rsidR="00EF6B9A" w:rsidRPr="008B53A9" w:rsidRDefault="00EF6B9A" w:rsidP="004D52A1">
            <w:pPr>
              <w:pStyle w:val="Tabulka"/>
              <w:jc w:val="left"/>
              <w:rPr>
                <w:rFonts w:cs="Calibri"/>
                <w:lang w:val="cs-CZ" w:eastAsia="cs-CZ"/>
              </w:rPr>
            </w:pPr>
            <w:r w:rsidRPr="008B53A9">
              <w:rPr>
                <w:rFonts w:cs="Calibri"/>
                <w:lang w:val="cs-CZ" w:eastAsia="cs-CZ"/>
              </w:rPr>
              <w:t>Předpokládané nabytí účinnosti</w:t>
            </w:r>
          </w:p>
          <w:p w:rsidR="00EF6B9A" w:rsidRPr="008B53A9" w:rsidRDefault="00EF6B9A" w:rsidP="004D52A1">
            <w:pPr>
              <w:pStyle w:val="Tabulka"/>
              <w:jc w:val="left"/>
              <w:rPr>
                <w:rFonts w:cs="Calibri"/>
                <w:lang w:val="cs-CZ" w:eastAsia="cs-CZ"/>
              </w:rPr>
            </w:pPr>
            <w:r w:rsidRPr="008B53A9">
              <w:rPr>
                <w:rFonts w:cs="Calibri"/>
                <w:lang w:val="cs-CZ" w:eastAsia="cs-CZ"/>
              </w:rPr>
              <w:t>1/2015</w:t>
            </w:r>
          </w:p>
        </w:tc>
        <w:tc>
          <w:tcPr>
            <w:tcW w:w="0" w:type="auto"/>
            <w:tcBorders>
              <w:top w:val="single" w:sz="4" w:space="0" w:color="auto"/>
              <w:left w:val="nil"/>
              <w:right w:val="single" w:sz="8" w:space="0" w:color="auto"/>
            </w:tcBorders>
            <w:shd w:val="clear" w:color="auto" w:fill="auto"/>
          </w:tcPr>
          <w:p w:rsidR="00EF6B9A" w:rsidRPr="008B53A9" w:rsidRDefault="00EF6B9A" w:rsidP="004D52A1">
            <w:pPr>
              <w:pStyle w:val="Tabulka"/>
              <w:jc w:val="left"/>
              <w:rPr>
                <w:rFonts w:cs="Calibri"/>
                <w:lang w:val="cs-CZ" w:eastAsia="cs-CZ"/>
              </w:rPr>
            </w:pPr>
            <w:r w:rsidRPr="008B53A9">
              <w:rPr>
                <w:rFonts w:cs="Calibri"/>
                <w:lang w:val="cs-CZ" w:eastAsia="cs-CZ"/>
              </w:rPr>
              <w:t>MPO</w:t>
            </w:r>
          </w:p>
        </w:tc>
      </w:tr>
      <w:tr w:rsidR="00EF6B9A" w:rsidRPr="008B53A9">
        <w:trPr>
          <w:trHeight w:val="2444"/>
        </w:trPr>
        <w:tc>
          <w:tcPr>
            <w:tcW w:w="0" w:type="auto"/>
            <w:vMerge/>
            <w:tcBorders>
              <w:left w:val="single" w:sz="8" w:space="0" w:color="auto"/>
              <w:right w:val="double" w:sz="6" w:space="0" w:color="auto"/>
            </w:tcBorders>
            <w:shd w:val="clear" w:color="auto" w:fill="auto"/>
          </w:tcPr>
          <w:p w:rsidR="00EF6B9A" w:rsidRPr="008B53A9" w:rsidRDefault="00EF6B9A" w:rsidP="00DA3EA1">
            <w:pPr>
              <w:pStyle w:val="Tabulka"/>
              <w:jc w:val="left"/>
              <w:rPr>
                <w:rFonts w:cs="Calibri"/>
                <w:b/>
                <w:lang w:val="cs-CZ" w:eastAsia="cs-CZ"/>
              </w:rPr>
            </w:pPr>
          </w:p>
        </w:tc>
        <w:tc>
          <w:tcPr>
            <w:tcW w:w="0" w:type="auto"/>
            <w:tcBorders>
              <w:top w:val="single" w:sz="4" w:space="0" w:color="auto"/>
              <w:left w:val="nil"/>
              <w:right w:val="double" w:sz="6" w:space="0" w:color="auto"/>
            </w:tcBorders>
            <w:shd w:val="clear" w:color="auto" w:fill="auto"/>
          </w:tcPr>
          <w:p w:rsidR="00EF6B9A" w:rsidRPr="008B53A9" w:rsidRDefault="00EF6B9A" w:rsidP="00ED06B3">
            <w:pPr>
              <w:pStyle w:val="Tabulka"/>
              <w:jc w:val="left"/>
              <w:rPr>
                <w:rFonts w:cs="Calibri"/>
                <w:lang w:val="cs-CZ" w:eastAsia="cs-CZ"/>
              </w:rPr>
            </w:pPr>
            <w:r w:rsidRPr="008B53A9">
              <w:rPr>
                <w:rFonts w:cs="Calibri"/>
                <w:lang w:val="cs-CZ" w:eastAsia="cs-CZ"/>
              </w:rPr>
              <w:t>Opatření v souladu s článkem 13 směrnice Evropského parlamentu a Rady 2006/32/ES zajišťující, aby pokud je to technicky možné, finančně únosné a úměrné potenciálním úsporám energie, byli koneční zákazníci vybaveni individuálními měřiči.</w:t>
            </w:r>
          </w:p>
        </w:tc>
        <w:tc>
          <w:tcPr>
            <w:tcW w:w="0" w:type="auto"/>
            <w:tcBorders>
              <w:top w:val="single" w:sz="4" w:space="0" w:color="auto"/>
              <w:left w:val="nil"/>
              <w:bottom w:val="single" w:sz="4" w:space="0" w:color="auto"/>
              <w:right w:val="double" w:sz="6" w:space="0" w:color="auto"/>
            </w:tcBorders>
            <w:shd w:val="clear" w:color="auto" w:fill="auto"/>
          </w:tcPr>
          <w:p w:rsidR="00EF6B9A" w:rsidRPr="008B53A9" w:rsidRDefault="00EF6B9A" w:rsidP="00ED06B3">
            <w:pPr>
              <w:pStyle w:val="Tabulka"/>
              <w:jc w:val="left"/>
              <w:rPr>
                <w:rFonts w:cs="Calibri"/>
                <w:lang w:val="cs-CZ" w:eastAsia="cs-CZ"/>
              </w:rPr>
            </w:pPr>
            <w:r w:rsidRPr="008B53A9">
              <w:rPr>
                <w:rFonts w:cs="Calibri"/>
                <w:lang w:val="cs-CZ" w:eastAsia="cs-CZ"/>
              </w:rPr>
              <w:t>Doplnění energetického zákona (zákon č.  458/2000 Sb.) a novelizace vyhlášky č. 194/2007 Sb., úprava zákona č. 406/2000 Sb., o hospodaření s energií</w:t>
            </w:r>
          </w:p>
        </w:tc>
        <w:tc>
          <w:tcPr>
            <w:tcW w:w="0" w:type="auto"/>
            <w:tcBorders>
              <w:top w:val="single" w:sz="4" w:space="0" w:color="auto"/>
              <w:left w:val="nil"/>
              <w:bottom w:val="single" w:sz="4" w:space="0" w:color="auto"/>
              <w:right w:val="double" w:sz="6" w:space="0" w:color="auto"/>
            </w:tcBorders>
            <w:shd w:val="clear" w:color="auto" w:fill="auto"/>
          </w:tcPr>
          <w:p w:rsidR="00EF6B9A" w:rsidRPr="008B53A9" w:rsidRDefault="00EF6B9A" w:rsidP="00ED06B3">
            <w:pPr>
              <w:pStyle w:val="Tabulka"/>
              <w:jc w:val="left"/>
              <w:rPr>
                <w:rFonts w:cs="Calibri"/>
                <w:lang w:val="cs-CZ" w:eastAsia="cs-CZ"/>
              </w:rPr>
            </w:pPr>
            <w:r w:rsidRPr="008B53A9">
              <w:rPr>
                <w:rFonts w:cs="Calibri"/>
                <w:lang w:val="cs-CZ" w:eastAsia="cs-CZ"/>
              </w:rPr>
              <w:t>Předložení návrhu vládě</w:t>
            </w:r>
          </w:p>
          <w:p w:rsidR="00EF6B9A" w:rsidRPr="008B53A9" w:rsidRDefault="00EF6B9A" w:rsidP="00ED06B3">
            <w:pPr>
              <w:pStyle w:val="Tabulka"/>
              <w:jc w:val="left"/>
              <w:rPr>
                <w:rFonts w:cs="Calibri"/>
                <w:lang w:val="cs-CZ" w:eastAsia="cs-CZ"/>
              </w:rPr>
            </w:pPr>
            <w:r w:rsidRPr="008B53A9">
              <w:rPr>
                <w:rFonts w:cs="Calibri"/>
                <w:lang w:val="cs-CZ" w:eastAsia="cs-CZ"/>
              </w:rPr>
              <w:t>6/2014</w:t>
            </w:r>
          </w:p>
          <w:p w:rsidR="00EF6B9A" w:rsidRPr="008B53A9" w:rsidRDefault="00EF6B9A" w:rsidP="00ED06B3">
            <w:pPr>
              <w:pStyle w:val="Tabulka"/>
              <w:jc w:val="left"/>
              <w:rPr>
                <w:rFonts w:cs="Calibri"/>
                <w:lang w:val="cs-CZ" w:eastAsia="cs-CZ"/>
              </w:rPr>
            </w:pPr>
            <w:r w:rsidRPr="008B53A9">
              <w:rPr>
                <w:rFonts w:cs="Calibri"/>
                <w:lang w:val="cs-CZ" w:eastAsia="cs-CZ"/>
              </w:rPr>
              <w:t xml:space="preserve">Předložení Parlamentu </w:t>
            </w:r>
          </w:p>
          <w:p w:rsidR="00EF6B9A" w:rsidRPr="008B53A9" w:rsidRDefault="00EF6B9A" w:rsidP="00ED06B3">
            <w:pPr>
              <w:pStyle w:val="Tabulka"/>
              <w:jc w:val="left"/>
              <w:rPr>
                <w:rFonts w:cs="Calibri"/>
                <w:lang w:val="cs-CZ" w:eastAsia="cs-CZ"/>
              </w:rPr>
            </w:pPr>
            <w:r w:rsidRPr="008B53A9">
              <w:rPr>
                <w:rFonts w:cs="Calibri"/>
                <w:lang w:val="cs-CZ" w:eastAsia="cs-CZ"/>
              </w:rPr>
              <w:t>9/2014</w:t>
            </w:r>
          </w:p>
          <w:p w:rsidR="00EF6B9A" w:rsidRPr="008B53A9" w:rsidRDefault="00EF6B9A" w:rsidP="00ED06B3">
            <w:pPr>
              <w:pStyle w:val="Tabulka"/>
              <w:jc w:val="left"/>
              <w:rPr>
                <w:rFonts w:cs="Calibri"/>
                <w:lang w:val="cs-CZ" w:eastAsia="cs-CZ"/>
              </w:rPr>
            </w:pPr>
            <w:r w:rsidRPr="008B53A9">
              <w:rPr>
                <w:rFonts w:cs="Calibri"/>
                <w:lang w:val="cs-CZ" w:eastAsia="cs-CZ"/>
              </w:rPr>
              <w:t>Předpokládané nabytí účinnosti</w:t>
            </w:r>
          </w:p>
          <w:p w:rsidR="00EF6B9A" w:rsidRPr="008B53A9" w:rsidRDefault="00EF6B9A" w:rsidP="00ED06B3">
            <w:pPr>
              <w:pStyle w:val="Tabulka"/>
              <w:jc w:val="left"/>
              <w:rPr>
                <w:rFonts w:cs="Calibri"/>
                <w:lang w:val="cs-CZ" w:eastAsia="cs-CZ"/>
              </w:rPr>
            </w:pPr>
            <w:r w:rsidRPr="008B53A9">
              <w:rPr>
                <w:rFonts w:cs="Calibri"/>
                <w:lang w:val="cs-CZ" w:eastAsia="cs-CZ"/>
              </w:rPr>
              <w:t>1/2015</w:t>
            </w:r>
          </w:p>
        </w:tc>
        <w:tc>
          <w:tcPr>
            <w:tcW w:w="0" w:type="auto"/>
            <w:tcBorders>
              <w:top w:val="single" w:sz="4" w:space="0" w:color="auto"/>
              <w:left w:val="nil"/>
              <w:bottom w:val="single" w:sz="4" w:space="0" w:color="auto"/>
              <w:right w:val="single" w:sz="8" w:space="0" w:color="auto"/>
            </w:tcBorders>
            <w:shd w:val="clear" w:color="auto" w:fill="auto"/>
          </w:tcPr>
          <w:p w:rsidR="00EF6B9A" w:rsidRPr="008B53A9" w:rsidRDefault="00EF6B9A" w:rsidP="00ED06B3">
            <w:pPr>
              <w:pStyle w:val="Tabulka"/>
              <w:jc w:val="left"/>
              <w:rPr>
                <w:rFonts w:cs="Calibri"/>
                <w:lang w:val="cs-CZ" w:eastAsia="cs-CZ"/>
              </w:rPr>
            </w:pPr>
            <w:r w:rsidRPr="008B53A9">
              <w:rPr>
                <w:rFonts w:cs="Calibri"/>
                <w:lang w:val="cs-CZ" w:eastAsia="cs-CZ"/>
              </w:rPr>
              <w:t>MPO</w:t>
            </w:r>
          </w:p>
        </w:tc>
      </w:tr>
      <w:tr w:rsidR="00D731A2" w:rsidRPr="008B53A9">
        <w:trPr>
          <w:trHeight w:val="1275"/>
        </w:trPr>
        <w:tc>
          <w:tcPr>
            <w:tcW w:w="0" w:type="auto"/>
            <w:tcBorders>
              <w:top w:val="single" w:sz="4" w:space="0" w:color="auto"/>
              <w:left w:val="single" w:sz="8" w:space="0" w:color="auto"/>
              <w:bottom w:val="single" w:sz="8" w:space="0" w:color="000000"/>
              <w:right w:val="double" w:sz="6" w:space="0" w:color="auto"/>
            </w:tcBorders>
            <w:shd w:val="clear" w:color="auto" w:fill="auto"/>
          </w:tcPr>
          <w:p w:rsidR="00D731A2" w:rsidRPr="008B53A9" w:rsidRDefault="00D731A2" w:rsidP="00ED06B3">
            <w:pPr>
              <w:pStyle w:val="Tabulka"/>
              <w:jc w:val="left"/>
              <w:rPr>
                <w:rFonts w:cs="Calibri"/>
                <w:b/>
                <w:lang w:val="cs-CZ" w:eastAsia="cs-CZ"/>
              </w:rPr>
            </w:pPr>
            <w:r w:rsidRPr="008B53A9">
              <w:rPr>
                <w:rFonts w:cs="Calibri"/>
                <w:b/>
                <w:lang w:val="cs-CZ" w:eastAsia="cs-CZ"/>
              </w:rPr>
              <w:t>8.2. Samostatná výdělečná činnost, podnikání a zakládání firem: existence strategického rámce politiky podpory začínajících podniků přispívající k začlenění.</w:t>
            </w:r>
          </w:p>
        </w:tc>
        <w:tc>
          <w:tcPr>
            <w:tcW w:w="0" w:type="auto"/>
            <w:tcBorders>
              <w:top w:val="single" w:sz="4" w:space="0" w:color="auto"/>
              <w:left w:val="nil"/>
              <w:bottom w:val="single" w:sz="8" w:space="0" w:color="auto"/>
              <w:right w:val="double" w:sz="6" w:space="0" w:color="auto"/>
            </w:tcBorders>
            <w:shd w:val="clear" w:color="auto" w:fill="auto"/>
          </w:tcPr>
          <w:p w:rsidR="00D731A2" w:rsidRPr="008B53A9" w:rsidRDefault="00B97D3C" w:rsidP="00B97D3C">
            <w:pPr>
              <w:pStyle w:val="Tabulka"/>
              <w:jc w:val="left"/>
              <w:rPr>
                <w:rFonts w:cs="Calibri"/>
                <w:lang w:val="cs-CZ" w:eastAsia="cs-CZ"/>
              </w:rPr>
            </w:pPr>
            <w:r w:rsidRPr="008B53A9">
              <w:rPr>
                <w:rFonts w:cs="Calibri"/>
                <w:lang w:val="cs-CZ" w:eastAsia="cs-CZ"/>
              </w:rPr>
              <w:t>Opatření zavedená s cílem zkrátit dobu potřebnou k založení firmy a snížit příslušné náklady, která zohledňují cíle SBA</w:t>
            </w:r>
          </w:p>
        </w:tc>
        <w:tc>
          <w:tcPr>
            <w:tcW w:w="0" w:type="auto"/>
            <w:tcBorders>
              <w:top w:val="single" w:sz="4" w:space="0" w:color="auto"/>
              <w:left w:val="nil"/>
              <w:bottom w:val="single" w:sz="8" w:space="0" w:color="auto"/>
              <w:right w:val="double" w:sz="6" w:space="0" w:color="auto"/>
            </w:tcBorders>
            <w:shd w:val="clear" w:color="auto" w:fill="auto"/>
          </w:tcPr>
          <w:p w:rsidR="00D731A2" w:rsidRPr="008B53A9" w:rsidRDefault="00D731A2" w:rsidP="00B97D3C">
            <w:pPr>
              <w:pStyle w:val="Tabulka"/>
              <w:jc w:val="left"/>
              <w:rPr>
                <w:rFonts w:cs="Calibri"/>
                <w:lang w:val="cs-CZ" w:eastAsia="cs-CZ"/>
              </w:rPr>
            </w:pPr>
            <w:r w:rsidRPr="008B53A9">
              <w:rPr>
                <w:rFonts w:cs="Calibri"/>
                <w:lang w:val="cs-CZ" w:eastAsia="cs-CZ"/>
              </w:rPr>
              <w:t xml:space="preserve">Vyjádření uvedeno u podmínky č. 3.1 </w:t>
            </w:r>
          </w:p>
        </w:tc>
        <w:tc>
          <w:tcPr>
            <w:tcW w:w="0" w:type="auto"/>
            <w:tcBorders>
              <w:top w:val="single" w:sz="4" w:space="0" w:color="auto"/>
              <w:left w:val="nil"/>
              <w:bottom w:val="single" w:sz="8" w:space="0" w:color="auto"/>
              <w:right w:val="double" w:sz="6" w:space="0" w:color="auto"/>
            </w:tcBorders>
            <w:shd w:val="clear" w:color="auto" w:fill="auto"/>
          </w:tcPr>
          <w:p w:rsidR="00D731A2" w:rsidRPr="008B53A9" w:rsidRDefault="00D731A2" w:rsidP="00ED06B3">
            <w:pPr>
              <w:pStyle w:val="Tabulka"/>
              <w:jc w:val="left"/>
              <w:rPr>
                <w:rFonts w:cs="Calibri"/>
                <w:lang w:val="cs-CZ" w:eastAsia="cs-CZ"/>
              </w:rPr>
            </w:pPr>
            <w:r w:rsidRPr="008B53A9">
              <w:rPr>
                <w:rFonts w:cs="Calibri"/>
                <w:lang w:val="cs-CZ" w:eastAsia="cs-CZ"/>
              </w:rPr>
              <w:t>Viz vyjádření u podmínky 3.1</w:t>
            </w:r>
          </w:p>
        </w:tc>
        <w:tc>
          <w:tcPr>
            <w:tcW w:w="0" w:type="auto"/>
            <w:tcBorders>
              <w:top w:val="single" w:sz="4" w:space="0" w:color="auto"/>
              <w:left w:val="nil"/>
              <w:bottom w:val="single" w:sz="8" w:space="0" w:color="auto"/>
              <w:right w:val="single" w:sz="8" w:space="0" w:color="auto"/>
            </w:tcBorders>
            <w:shd w:val="clear" w:color="auto" w:fill="auto"/>
          </w:tcPr>
          <w:p w:rsidR="00D731A2" w:rsidRPr="008B53A9" w:rsidRDefault="00D731A2" w:rsidP="00ED06B3">
            <w:pPr>
              <w:pStyle w:val="Tabulka"/>
              <w:jc w:val="left"/>
              <w:rPr>
                <w:rFonts w:cs="Calibri"/>
                <w:lang w:val="cs-CZ" w:eastAsia="cs-CZ"/>
              </w:rPr>
            </w:pPr>
            <w:r w:rsidRPr="008B53A9">
              <w:rPr>
                <w:rFonts w:cs="Calibri"/>
                <w:lang w:val="cs-CZ" w:eastAsia="cs-CZ"/>
              </w:rPr>
              <w:t>MSp</w:t>
            </w:r>
          </w:p>
        </w:tc>
      </w:tr>
    </w:tbl>
    <w:p w:rsidR="00A72DFD" w:rsidRPr="008B53A9" w:rsidRDefault="00A72DFD" w:rsidP="00D20E3C">
      <w:pPr>
        <w:pStyle w:val="Standardntext"/>
      </w:pPr>
    </w:p>
    <w:p w:rsidR="00BF5615" w:rsidRPr="008B53A9" w:rsidRDefault="00BF5615" w:rsidP="004B5A6C">
      <w:pPr>
        <w:jc w:val="both"/>
        <w:rPr>
          <w:rFonts w:ascii="Calibri" w:hAnsi="Calibri" w:cs="Calibri"/>
          <w:sz w:val="28"/>
          <w:szCs w:val="28"/>
        </w:rPr>
        <w:sectPr w:rsidR="00BF5615" w:rsidRPr="008B53A9" w:rsidSect="00A72DFD">
          <w:headerReference w:type="default" r:id="rId128"/>
          <w:footerReference w:type="default" r:id="rId129"/>
          <w:pgSz w:w="16838" w:h="11906" w:orient="landscape"/>
          <w:pgMar w:top="1418" w:right="1418" w:bottom="1276" w:left="1276" w:header="709" w:footer="709" w:gutter="0"/>
          <w:cols w:space="708"/>
          <w:docGrid w:linePitch="272"/>
        </w:sectPr>
      </w:pPr>
    </w:p>
    <w:p w:rsidR="00FF200C" w:rsidRPr="008B53A9" w:rsidRDefault="00FF200C" w:rsidP="00FF200C">
      <w:pPr>
        <w:pStyle w:val="Nadpis1"/>
      </w:pPr>
      <w:bookmarkStart w:id="135" w:name="_Toc391539695"/>
      <w:r w:rsidRPr="008B53A9">
        <w:lastRenderedPageBreak/>
        <w:t>Snižování administrativní zátěže pro příjemce</w:t>
      </w:r>
      <w:bookmarkEnd w:id="135"/>
    </w:p>
    <w:p w:rsidR="00223D40" w:rsidRPr="008B53A9" w:rsidRDefault="00223D40" w:rsidP="00223D40">
      <w:pPr>
        <w:pStyle w:val="Standardntext"/>
      </w:pPr>
      <w:r w:rsidRPr="008B53A9">
        <w:t xml:space="preserve">Snižování administrativní zátěže byla věnována pozornost </w:t>
      </w:r>
      <w:r w:rsidR="00095B63" w:rsidRPr="008B53A9">
        <w:t xml:space="preserve">ze strany MPO </w:t>
      </w:r>
      <w:r w:rsidRPr="008B53A9">
        <w:t>již v průběhu implementace OPPI. Zásadním prvkem bylo využití informačního systému programu ISOP-Centrum a internetové aplikace e-Account pro zajištění elektronické komunikace mezi žadateli a příjemci podpory a implementační strukturou. Tato aplikace přinesla snížení nákladů u žadatelů a příjemců podpory i zjednodušení procesů v rámci vlastní administrace projektů. Aplikace e-Account byla na základě zkušeností a vzniklých potřeb v průběhu využívání doplňována (mj. na základě externě zpracované evaluace</w:t>
      </w:r>
      <w:r w:rsidRPr="008B53A9">
        <w:rPr>
          <w:rStyle w:val="Znakapoznpodarou"/>
        </w:rPr>
        <w:footnoteReference w:id="111"/>
      </w:r>
      <w:r w:rsidRPr="008B53A9">
        <w:t>). Dále bylo vyhodnoceno nastavení některých dalších procesů při implementaci OPPI</w:t>
      </w:r>
      <w:r w:rsidRPr="008B53A9">
        <w:rPr>
          <w:rStyle w:val="Znakapoznpodarou"/>
        </w:rPr>
        <w:footnoteReference w:id="112"/>
      </w:r>
      <w:r w:rsidRPr="008B53A9">
        <w:t>, na základě kterého došlo k optimalizaci administrativních procesů a postupů na straně Řídícího orgánu s pozitivním dopadem na administrativní nároky na žadatele a příjemce, stejně jako evaluace procesů souvisejících s žádostí o platbu</w:t>
      </w:r>
      <w:r w:rsidRPr="008B53A9">
        <w:rPr>
          <w:rStyle w:val="Znakapoznpodarou"/>
        </w:rPr>
        <w:footnoteReference w:id="113"/>
      </w:r>
      <w:r w:rsidRPr="008B53A9">
        <w:t>. Závěry z 1. etapy této evaluace budou využity pro nastavení procesů v OP PIK. Při implementaci programu je důraz kladen na intenzivní komunikaci s žadateli a příjemci podpory s cílem napomoci jim při plnění administrativních povinností při realizaci podpořených projektů v problémových oblastech, např. veřejné zakázky, příprava žádostí o platbu, kontroly.</w:t>
      </w:r>
      <w:r w:rsidRPr="008B53A9" w:rsidDel="009D218D">
        <w:t xml:space="preserve"> </w:t>
      </w:r>
      <w:r w:rsidRPr="008B53A9">
        <w:t xml:space="preserve">Snižování administrativní zátěže pro příjemce bude probíhat v souladu s usnesením vlády ČR ze dne 21. března 2012 č. 184 </w:t>
      </w:r>
      <w:r w:rsidRPr="008B53A9">
        <w:rPr>
          <w:i/>
        </w:rPr>
        <w:t>o doporučeních ke zjednodušení administrativní zátěže pro žadatele a příjemce při čerpání finančních prostředků z fondů EU v programovém období 2014–2020</w:t>
      </w:r>
      <w:r w:rsidRPr="008B53A9">
        <w:t xml:space="preserve"> ve třech rovinách:</w:t>
      </w:r>
    </w:p>
    <w:p w:rsidR="00223D40" w:rsidRPr="008B53A9" w:rsidRDefault="00223D40" w:rsidP="00210E9A">
      <w:pPr>
        <w:pStyle w:val="Standardntext"/>
        <w:numPr>
          <w:ilvl w:val="0"/>
          <w:numId w:val="80"/>
        </w:numPr>
        <w:spacing w:after="60"/>
        <w:ind w:left="714" w:hanging="357"/>
      </w:pPr>
      <w:r w:rsidRPr="008B53A9">
        <w:t>Vstřícný přístup k žadatelům</w:t>
      </w:r>
    </w:p>
    <w:p w:rsidR="00223D40" w:rsidRPr="008B53A9" w:rsidRDefault="00223D40" w:rsidP="00223D40">
      <w:pPr>
        <w:pStyle w:val="Standardntext"/>
        <w:ind w:left="720"/>
      </w:pPr>
      <w:r w:rsidRPr="008B53A9">
        <w:t>Cílem je redukovat požadavky na rozsah projektových žádostí a jejich příloh jen na informace nezbytné k posouzení žádosti. Předávání žádostí o platbu bude v maximální možné míř</w:t>
      </w:r>
      <w:r w:rsidR="00C8287F" w:rsidRPr="008B53A9">
        <w:t>e probíhat v elektronické podobě.</w:t>
      </w:r>
      <w:r w:rsidRPr="008B53A9">
        <w:t xml:space="preserve"> Samozřejmostí je oboustranná elektronická komunikace Řídícího orgánu se žadatelem, předávání rozhodnutí a jeho změn elektronicky do datové schránky žadatele či uchovávání dokumentů v informačním systému elektronicky. Tato opatření se plně osvědčila  v letech 2007 – 2013. Nezbytné je nastavení jednotlivých procesů při administraci žádosti a realizaci projektu tak, aby jednotlivé procesy a postupy na sebe navazovaly a měly jednoznačně stanoven svůj počátek a konec a také předcházející a návazný proces. Dále je nutné jednoznačně nastavit lhůty jednotlivých procesů tam, kde je to možné. Lhůty musí být součástí interních dokumentů Řídícího orgánu a musí být dodržovány. Cílem je dosáhnout jejich měření, vyhodnocení a následně také zkrácení. Indikativním časovým rámcem pro naplnění výše uvedených opatření je prosinec 2014.</w:t>
      </w:r>
    </w:p>
    <w:p w:rsidR="00223D40" w:rsidRPr="008B53A9" w:rsidRDefault="00223D40" w:rsidP="00210E9A">
      <w:pPr>
        <w:pStyle w:val="Standardntext"/>
        <w:numPr>
          <w:ilvl w:val="0"/>
          <w:numId w:val="80"/>
        </w:numPr>
        <w:spacing w:after="60"/>
        <w:ind w:left="714" w:hanging="357"/>
      </w:pPr>
      <w:r w:rsidRPr="008B53A9">
        <w:t>Efektivní a uživatelsky přívětivý informační systém</w:t>
      </w:r>
    </w:p>
    <w:p w:rsidR="00223D40" w:rsidRPr="008B53A9" w:rsidRDefault="00223D40" w:rsidP="00223D40">
      <w:pPr>
        <w:pStyle w:val="Standardntext"/>
        <w:ind w:left="720"/>
      </w:pPr>
      <w:r w:rsidRPr="008B53A9">
        <w:t xml:space="preserve">Ve spolupráci s gestorem jednotného monitorovacího prostředí (MMR) usiluje Řídící orgán OP PIK o to, aby informační systém vytvořil prostředí, které poskytne žadateli či příjemci jasné a přehledné uživatelské prostředí a naplní výše nastíněná opatření. Půjde zejména o to zabezpečit optimální míru elektronizace celého procesu přípravy </w:t>
      </w:r>
      <w:r w:rsidRPr="008B53A9">
        <w:lastRenderedPageBreak/>
        <w:t>projektových žádostí, jejich podání (včetně příloh, např. digitalizované kopie faktur, dokladů o úhradě apod.) formou elektronických formulářů a systému elektronického podepisování platné dokumentace, administrace projektových žádostí, systému hodnocení a výběru projektů, administrace monitorovacích zpráv a žádostí o platbu. Dalším opatřením bude maximální využití centrálních registrů v procesech Operačního programu. Z hlediska monitoringu</w:t>
      </w:r>
      <w:r w:rsidRPr="008B53A9">
        <w:rPr>
          <w:rStyle w:val="Znakapoznpodarou"/>
        </w:rPr>
        <w:footnoteReference w:id="114"/>
      </w:r>
      <w:r w:rsidRPr="008B53A9">
        <w:t xml:space="preserve"> se předpokládá existence systému statistického sledování projektů a jejich výstupů, systemizace sledování hodnocení předkládaných projektů formou jejich umístění v konkrétních hodnocených stavech a logická provázanost jednotlivých dílčích kroků. Nezbytná je rovněž existence komunikačního kanálu pro jasnou a rychlou spolupráci s příjemcem. Systém by měl umožnit efektivní nastavení, sledování a urgování plnění lhůt, aby žadatelé nemuseli dlouho čekat na vydání rozhodnutí a na proplacení příslušné výše podpory. Indikativním časovým rámcem pro naplnění výše uvedených opatření je dle harmonogramu gestora informačního systému září 2014.</w:t>
      </w:r>
    </w:p>
    <w:p w:rsidR="00223D40" w:rsidRPr="008B53A9" w:rsidRDefault="00223D40" w:rsidP="00210E9A">
      <w:pPr>
        <w:pStyle w:val="Standardntext"/>
        <w:numPr>
          <w:ilvl w:val="0"/>
          <w:numId w:val="80"/>
        </w:numPr>
        <w:spacing w:after="60"/>
        <w:ind w:left="714" w:hanging="357"/>
      </w:pPr>
      <w:r w:rsidRPr="008B53A9">
        <w:t>Jednoznačné a srozumitelné programy podpory a výzvy</w:t>
      </w:r>
    </w:p>
    <w:p w:rsidR="00223D40" w:rsidRPr="008B53A9" w:rsidRDefault="00223D40" w:rsidP="00223D40">
      <w:pPr>
        <w:pStyle w:val="Standardntext"/>
        <w:ind w:left="720"/>
      </w:pPr>
      <w:r w:rsidRPr="008B53A9">
        <w:t xml:space="preserve">Výběrová kritéria by měla maximalizovat kritéria binární, která jsou transparentní a srozumitelná pro žadatele a nekladou na žadatele přehnané nároky v podobě dokládání dokumentů a dalších podkladů, které pro posouzení kvality projektu nejsou nezbytně nutné. Tím se usnadní i případné odvolací a přezkumné procedury, pokud bude žadatelům dopředu zřejmé, kdo může o podporu v daném programu podpory žádat. Indikativním časovým rámcem pro naplnění výše uvedených opatření je termín vyhlášení prvních výzev v rámci OP PIK. </w:t>
      </w:r>
    </w:p>
    <w:p w:rsidR="00223D40" w:rsidRPr="008B53A9" w:rsidRDefault="00223D40" w:rsidP="00223D40">
      <w:pPr>
        <w:pStyle w:val="Standardntext"/>
      </w:pPr>
      <w:r w:rsidRPr="008B53A9">
        <w:t xml:space="preserve">K naplnění těchto principů přispěje vytvoření jednotného metodického prostředí na národní úrovni, kterým bude zajištěna standardizace postupů a pravidel, větší transparentnost procesů i přehlednost pravidel s pozitivním dopadem na nižší administrativní zátěž na straně příjemců podpory. Jednotné metodické dokumenty budou zohledněny v interních manuálech pro implementaci operačního programu. Dostupnost a sdílení metodických dokumentů bude ošetřeno softwarovou aplikací, která zajistí on-line přístup ke všem dokumentům celé implementační struktury. Tím bude zajištěn jednotný přístup k žadatelům v oblasti výkladu metodiky všemi účastníky podílejících se na implementaci OP PIK. </w:t>
      </w:r>
    </w:p>
    <w:p w:rsidR="00223D40" w:rsidRPr="008B53A9" w:rsidRDefault="00223D40" w:rsidP="00223D40">
      <w:pPr>
        <w:pStyle w:val="Standardntext"/>
      </w:pPr>
      <w:r w:rsidRPr="008B53A9">
        <w:t xml:space="preserve">ŘO OP PIK považuje za podstatné posílení metodického vedení programu tak, aby podnikatelé, jako hlavní skupina příjemců programu, měli jasné a jednoznačné vodítko, jak zpracovávat žádosti o podporu a realizovat své projekty. Zásadním způsobem by měla být řešena pravidla ve vztahu k problematice výběrových řízení - jasně a srozumitelně nastavená pravidla pro výběr dodavatelů, toto je oblast, která významně administrativně zatěžovala v letech 2007 – 2013 jak Řídící orgán programu, tak žadatele a příjemce podpory. </w:t>
      </w:r>
    </w:p>
    <w:p w:rsidR="00223D40" w:rsidRPr="008B53A9" w:rsidRDefault="00223D40" w:rsidP="00210E9A">
      <w:pPr>
        <w:pStyle w:val="Standardntext"/>
        <w:spacing w:after="60"/>
      </w:pPr>
      <w:r w:rsidRPr="008B53A9">
        <w:t>S ohledem na charakter hlavní cílové skupiny konečných příjemců (malé a střední podniky) umožní snížení administrativní náročnosti účasti v operačním programu také provádění pomoci prostřednictvím finančních nástrojů:</w:t>
      </w:r>
    </w:p>
    <w:p w:rsidR="00223D40" w:rsidRPr="008B53A9" w:rsidRDefault="00223D40" w:rsidP="00210E9A">
      <w:pPr>
        <w:pStyle w:val="Standardntext"/>
        <w:numPr>
          <w:ilvl w:val="0"/>
          <w:numId w:val="79"/>
        </w:numPr>
        <w:spacing w:after="60"/>
      </w:pPr>
      <w:r w:rsidRPr="008B53A9">
        <w:t xml:space="preserve">Fond fondů umožní dostat podporu „blíže k žadatelům“, a to jak doslova (využití pobočkových sítí a klientských databází finančních zprostředkovatelů), tak </w:t>
      </w:r>
      <w:r w:rsidRPr="008B53A9">
        <w:lastRenderedPageBreak/>
        <w:t>v přeneseném slova smyslu (lépe srozumitelné, více komerčně orientované podmínky podpory).</w:t>
      </w:r>
    </w:p>
    <w:p w:rsidR="00223D40" w:rsidRPr="008B53A9" w:rsidRDefault="00223D40" w:rsidP="00210E9A">
      <w:pPr>
        <w:pStyle w:val="Standardntext"/>
        <w:numPr>
          <w:ilvl w:val="0"/>
          <w:numId w:val="79"/>
        </w:numPr>
        <w:spacing w:after="60"/>
      </w:pPr>
      <w:r w:rsidRPr="008B53A9">
        <w:t>V případě finančních nástrojů není konečný příjemce dotovaným zadavatelem, což znamená zjednodušení administrace projektu z hlediska výběrových řízení.</w:t>
      </w:r>
    </w:p>
    <w:p w:rsidR="00223D40" w:rsidRPr="008B53A9" w:rsidRDefault="00223D40" w:rsidP="00210E9A">
      <w:pPr>
        <w:pStyle w:val="Standardntext"/>
        <w:numPr>
          <w:ilvl w:val="0"/>
          <w:numId w:val="79"/>
        </w:numPr>
        <w:spacing w:after="60"/>
      </w:pPr>
      <w:r w:rsidRPr="008B53A9">
        <w:t>Hodnocení žádosti se časově výrazně zkrátí (jednostupňové hodnocení) a více se orientuje na věcné a finanční hledisko, méně na hledisko formální.</w:t>
      </w:r>
    </w:p>
    <w:p w:rsidR="00223D40" w:rsidRPr="008B53A9" w:rsidRDefault="00223D40" w:rsidP="00210E9A">
      <w:pPr>
        <w:pStyle w:val="Standardntext"/>
        <w:numPr>
          <w:ilvl w:val="0"/>
          <w:numId w:val="79"/>
        </w:numPr>
        <w:spacing w:after="60"/>
      </w:pPr>
      <w:r w:rsidRPr="008B53A9">
        <w:t>Proces proplacení žádosti o platbu je vázán především na prokázání účelovosti čerpaných prostředků v souladu s podmínkami úvěrové smlouvy, nikoliv na další dodatečné podmínky, proplácení ex ante</w:t>
      </w:r>
      <w:r w:rsidR="00C8287F" w:rsidRPr="008B53A9">
        <w:t>.</w:t>
      </w:r>
    </w:p>
    <w:p w:rsidR="00223D40" w:rsidRPr="008B53A9" w:rsidRDefault="00223D40" w:rsidP="00223D40">
      <w:pPr>
        <w:pStyle w:val="Standardntext"/>
        <w:numPr>
          <w:ilvl w:val="0"/>
          <w:numId w:val="79"/>
        </w:numPr>
      </w:pPr>
      <w:r w:rsidRPr="008B53A9">
        <w:t>Změny podmínek realizace projektu jsou také spojeny s nižší administrativní náročností, pokud nejsou zásadního charakteru (pokud nemají vliv na hodnocení projektu)</w:t>
      </w:r>
      <w:r w:rsidR="00C8287F" w:rsidRPr="008B53A9">
        <w:t>.</w:t>
      </w:r>
    </w:p>
    <w:p w:rsidR="009E6172" w:rsidRPr="008B53A9" w:rsidRDefault="000816D8" w:rsidP="000816D8">
      <w:pPr>
        <w:pStyle w:val="Nadpis1"/>
      </w:pPr>
      <w:bookmarkStart w:id="136" w:name="_Toc391539696"/>
      <w:r w:rsidRPr="008B53A9">
        <w:lastRenderedPageBreak/>
        <w:t xml:space="preserve">Horizontální </w:t>
      </w:r>
      <w:r w:rsidR="003D6763" w:rsidRPr="008B53A9">
        <w:t>zásady</w:t>
      </w:r>
      <w:bookmarkEnd w:id="136"/>
    </w:p>
    <w:p w:rsidR="00851C7E" w:rsidRPr="008B53A9" w:rsidRDefault="0071595D" w:rsidP="00902931">
      <w:pPr>
        <w:pStyle w:val="Nadpis2"/>
        <w:rPr>
          <w:rFonts w:cs="Calibri"/>
        </w:rPr>
      </w:pPr>
      <w:bookmarkStart w:id="137" w:name="_Toc351464444"/>
      <w:bookmarkStart w:id="138" w:name="_Toc391539697"/>
      <w:r w:rsidRPr="008B53A9">
        <w:rPr>
          <w:rFonts w:cs="Calibri"/>
        </w:rPr>
        <w:t>Udržitelný rozvoj</w:t>
      </w:r>
      <w:bookmarkEnd w:id="137"/>
      <w:bookmarkEnd w:id="138"/>
    </w:p>
    <w:p w:rsidR="005C372A" w:rsidRPr="008B53A9" w:rsidRDefault="005C372A" w:rsidP="00902931">
      <w:pPr>
        <w:pStyle w:val="Standardntext"/>
        <w:rPr>
          <w:color w:val="FF0000"/>
        </w:rPr>
      </w:pPr>
      <w:r w:rsidRPr="008B53A9">
        <w:rPr>
          <w:bCs/>
        </w:rPr>
        <w:t xml:space="preserve">Udržitelný rozvoj je takový rozvoj, který umožňuje zlepšování </w:t>
      </w:r>
      <w:r w:rsidRPr="008B53A9">
        <w:t>životní úrovně a blahobytu lidí v</w:t>
      </w:r>
      <w:r w:rsidR="00D111F8" w:rsidRPr="008B53A9">
        <w:t> </w:t>
      </w:r>
      <w:r w:rsidRPr="008B53A9">
        <w:t>mezích kapacity ekosystémů při zachování přírodních hodnot a biologické rozmanitosti pro současné a příští generace. Dle čl. 8 obecného nařízení mají členské státy a Komise při přípravě a provádění smluv o partnerství a programů zajistit podporu požadavků na ochranu životního prostředí, účinného využívání zdrojů, opatření ke zmírňování změny klimatu a přizpůsobení se této změně, odolnosti proti katastrofám a předcházení rizikům. Stav v jednotlivých oblastech udržitelného rozvoje v ČR je sledován pomocí sady indikátorů.</w:t>
      </w:r>
      <w:r w:rsidR="004621F2" w:rsidRPr="008B53A9">
        <w:t xml:space="preserve"> </w:t>
      </w:r>
    </w:p>
    <w:p w:rsidR="005C372A" w:rsidRPr="008B53A9" w:rsidRDefault="005C372A" w:rsidP="00902931">
      <w:pPr>
        <w:pStyle w:val="Standardntext"/>
        <w:spacing w:after="0"/>
      </w:pPr>
      <w:r w:rsidRPr="008B53A9">
        <w:t>Základním dokumentem na národní úrovni, který řeší problematiku udržitelného rozvoje v ČR, je Strategický rámec udržitelného rozvoje ČR (SRUR). Mezi globální cíle SRUR patří:</w:t>
      </w:r>
    </w:p>
    <w:p w:rsidR="005C372A" w:rsidRPr="008B53A9" w:rsidRDefault="005C372A" w:rsidP="005F43DF">
      <w:pPr>
        <w:pStyle w:val="Standardntext"/>
        <w:numPr>
          <w:ilvl w:val="0"/>
          <w:numId w:val="6"/>
        </w:numPr>
        <w:spacing w:after="0"/>
      </w:pPr>
      <w:r w:rsidRPr="008B53A9">
        <w:t>ochrana životního prostředí (ekosystémy, biodiverzita, zdroje, udržitelná výroba a spotřeba),</w:t>
      </w:r>
    </w:p>
    <w:p w:rsidR="005C372A" w:rsidRPr="008B53A9" w:rsidRDefault="005C372A" w:rsidP="005F43DF">
      <w:pPr>
        <w:pStyle w:val="Standardntext"/>
        <w:numPr>
          <w:ilvl w:val="0"/>
          <w:numId w:val="6"/>
        </w:numPr>
        <w:spacing w:after="0"/>
      </w:pPr>
      <w:r w:rsidRPr="008B53A9">
        <w:t>sociální soudržnost (sociální soudržnost, zdraví, bezpečnost, práva, rovné příležitosti, kulturní diverzita),</w:t>
      </w:r>
    </w:p>
    <w:p w:rsidR="005C372A" w:rsidRPr="008B53A9" w:rsidRDefault="005C372A" w:rsidP="005F43DF">
      <w:pPr>
        <w:pStyle w:val="Standardntext"/>
        <w:numPr>
          <w:ilvl w:val="0"/>
          <w:numId w:val="6"/>
        </w:numPr>
        <w:spacing w:after="0"/>
      </w:pPr>
      <w:r w:rsidRPr="008B53A9">
        <w:t>ekonomická prosperita (prosperita, inovace, znalosti, eko-efektivita, životní standard, zaměstnanost),</w:t>
      </w:r>
    </w:p>
    <w:p w:rsidR="005C372A" w:rsidRPr="008B53A9" w:rsidRDefault="005C372A" w:rsidP="005F43DF">
      <w:pPr>
        <w:pStyle w:val="Standardntext"/>
        <w:numPr>
          <w:ilvl w:val="0"/>
          <w:numId w:val="6"/>
        </w:numPr>
      </w:pPr>
      <w:r w:rsidRPr="008B53A9">
        <w:t>mezinárodní odpovědnost (stabilní demokratické instituce, mír, bezpečnost, svoboda, globální udržitelnost, mezinárodní vztahy).</w:t>
      </w:r>
    </w:p>
    <w:p w:rsidR="005C372A" w:rsidRPr="008B53A9" w:rsidRDefault="005C372A" w:rsidP="00902931">
      <w:pPr>
        <w:pStyle w:val="Standardntext"/>
        <w:spacing w:after="0"/>
      </w:pPr>
      <w:r w:rsidRPr="008B53A9">
        <w:t>Zejména v posledních letech se ukazuje, že ochrana životního prostředí se pro podniky stává stále větším konkurenčním problémem a je prostředkem k získávání nového potenciálu zisku a profilování podniku. Respektování ekologického hlediska v podnikatelské strategii, může přispět k dosažení konkurenční výhody tehdy, jestliže:</w:t>
      </w:r>
    </w:p>
    <w:p w:rsidR="005C372A" w:rsidRPr="008B53A9" w:rsidRDefault="005C372A" w:rsidP="005F43DF">
      <w:pPr>
        <w:pStyle w:val="Standardntext"/>
        <w:numPr>
          <w:ilvl w:val="0"/>
          <w:numId w:val="7"/>
        </w:numPr>
        <w:spacing w:after="0"/>
      </w:pPr>
      <w:r w:rsidRPr="008B53A9">
        <w:t>je při ochraně životního prostředí zvyšování konkurenceschopnosti chápáno integrovaně ve všech podnikových funkcích,</w:t>
      </w:r>
    </w:p>
    <w:p w:rsidR="005C372A" w:rsidRPr="008B53A9" w:rsidRDefault="005C372A" w:rsidP="005F43DF">
      <w:pPr>
        <w:pStyle w:val="Standardntext"/>
        <w:numPr>
          <w:ilvl w:val="0"/>
          <w:numId w:val="7"/>
        </w:numPr>
        <w:spacing w:after="0"/>
      </w:pPr>
      <w:r w:rsidRPr="008B53A9">
        <w:t>opatření orientovaná dovnitř podniku jsou spojena s opatřeními orientovanými na trh,</w:t>
      </w:r>
    </w:p>
    <w:p w:rsidR="005C372A" w:rsidRPr="008B53A9" w:rsidRDefault="005C372A" w:rsidP="005F43DF">
      <w:pPr>
        <w:pStyle w:val="Standardntext"/>
        <w:numPr>
          <w:ilvl w:val="0"/>
          <w:numId w:val="7"/>
        </w:numPr>
      </w:pPr>
      <w:r w:rsidRPr="008B53A9">
        <w:t xml:space="preserve">podnik získá časovou výhodu tím, že se ochranou životního prostředí zabývá včas, v předstihu před svými konkurenty. </w:t>
      </w:r>
    </w:p>
    <w:p w:rsidR="005C372A" w:rsidRPr="008B53A9" w:rsidRDefault="005C372A" w:rsidP="00902931">
      <w:pPr>
        <w:pStyle w:val="Standardntext"/>
      </w:pPr>
      <w:r w:rsidRPr="008B53A9">
        <w:t>Horizontální téma udržitelný rozvoj bude zohledněno ve výběrových kritériích jednotlivých subprogramů podpory OP PIK. Povinnost respektovat udržitelný rozvoj bude stanovena již ve specifikaci podmínek podpory, které budou obsahovat část týkající se horizontálních ukazatelů předkládaného projektu. Žadatel o podporu musí proto již v této fázi posoudit a v příslušné části žádosti popsat vliv projektu na udržitelný rozvoj, tj. určit, zda je projekt zaměřen zejména na podporu udržitelného rozvoje, popř. zda má projekt pozitivní dopad na udržitelný rozvoj či zda je z hlediska udržitelného rozvoje neutrální. Zohlednění tohoto horizontálního cíle v projektu bude následně rovněž předmětem hodnocení projektu v hodnotitelských komisích.</w:t>
      </w:r>
      <w:r w:rsidR="004621F2" w:rsidRPr="008B53A9">
        <w:t xml:space="preserve"> V případě, že hodnotitelská komise shledá, že projekt má negativní vliv na udržitelný rozvoj, nebude projekt v rámci OP PIK podpořen.</w:t>
      </w:r>
      <w:r w:rsidR="00EF7547" w:rsidRPr="008B53A9">
        <w:t xml:space="preserve"> U relevantních specifických cílů budou na projektové úrovni interně monitorovány environmentální indikátory, které budou dále agregovány pro potřeby Dohody o partnerství (více kapitoly 2.A.6.2 „Hlavní zásady pro výběr operací“).</w:t>
      </w:r>
    </w:p>
    <w:p w:rsidR="00A567C4" w:rsidRPr="008B53A9" w:rsidRDefault="00A567C4" w:rsidP="00902931">
      <w:pPr>
        <w:pStyle w:val="Standardntext"/>
      </w:pPr>
      <w:r w:rsidRPr="008B53A9">
        <w:t xml:space="preserve">Dopady na životní prostředí budou posuzovány zejména během hodnocení intervencí zahrnujících stavební práce, nákup technologií, přístrojů, zařízení, tj. takových, u kterých je pravděpodobnost dopadu na životní prostředí či efektivní využívání zdrojů (zejména </w:t>
      </w:r>
      <w:r w:rsidRPr="008B53A9">
        <w:lastRenderedPageBreak/>
        <w:t>energetických) vysoká, investice v rámci realizace takovýchto intervencí budou muset splňovat nejvyšší standardy. Zásadně tedy bude platit, že v rámci operačního programu a implementace jeho jednotlivých prioritních os nebudou podporovány žádné projekty, které by negativně ovlivňovaly udržitelný rozvoj. Dodržování zásad udržitelného rozvoje bude vyžadováno na úrovni každého projektu, budou posuzovány v rámci hodnocení přijatelnosti projektu a dále jako součást hodnocení realizace projektu.</w:t>
      </w:r>
    </w:p>
    <w:p w:rsidR="00851C7E" w:rsidRPr="008B53A9" w:rsidRDefault="0071595D" w:rsidP="00902931">
      <w:pPr>
        <w:pStyle w:val="Nadpis2"/>
        <w:rPr>
          <w:rFonts w:cs="Calibri"/>
        </w:rPr>
      </w:pPr>
      <w:bookmarkStart w:id="139" w:name="_Toc351464445"/>
      <w:bookmarkStart w:id="140" w:name="_Toc391539698"/>
      <w:r w:rsidRPr="008B53A9">
        <w:rPr>
          <w:rFonts w:cs="Calibri"/>
        </w:rPr>
        <w:t xml:space="preserve">Rovné příležitosti a </w:t>
      </w:r>
      <w:r w:rsidR="003D6763" w:rsidRPr="008B53A9">
        <w:rPr>
          <w:rFonts w:cs="Calibri"/>
        </w:rPr>
        <w:t>zákaz</w:t>
      </w:r>
      <w:r w:rsidRPr="008B53A9">
        <w:rPr>
          <w:rFonts w:cs="Calibri"/>
        </w:rPr>
        <w:t xml:space="preserve"> diskriminac</w:t>
      </w:r>
      <w:r w:rsidR="003D6763" w:rsidRPr="008B53A9">
        <w:rPr>
          <w:rFonts w:cs="Calibri"/>
        </w:rPr>
        <w:t>e</w:t>
      </w:r>
      <w:bookmarkEnd w:id="139"/>
      <w:bookmarkEnd w:id="140"/>
    </w:p>
    <w:p w:rsidR="005C372A" w:rsidRPr="008B53A9" w:rsidRDefault="005C372A" w:rsidP="00902931">
      <w:pPr>
        <w:pStyle w:val="Standardntext"/>
      </w:pPr>
      <w:r w:rsidRPr="008B53A9">
        <w:t>Na základě čl. 7 obecného nařízení přijmou členské státy a Komise vhodná opatření, aby během přípravy a provádění programů nedocházelo k diskriminaci na základě pohlaví, rasového nebo etnického původu, náboženského vyznání nebo víry, zdravotního postižení, věku nebo sexuální orientace. Horizontální téma rovné příležitosti a ochrana před diskriminací slouží k dosažení cíle sociální spravedlnosti a soudržnosti a zakládá se na podpoře sociálního začlenění, dodržování základních lidských práv a zachování kulturní rozmanitosti.</w:t>
      </w:r>
      <w:r w:rsidR="004621F2" w:rsidRPr="008B53A9">
        <w:t xml:space="preserve"> </w:t>
      </w:r>
    </w:p>
    <w:p w:rsidR="00E517C6" w:rsidRPr="008B53A9" w:rsidRDefault="00E517C6" w:rsidP="000374FF">
      <w:pPr>
        <w:pStyle w:val="Standardntext"/>
      </w:pPr>
      <w:r w:rsidRPr="008B53A9">
        <w:t xml:space="preserve">Zákaz diskriminace v souladu s českým i evropským právem a podpora rovných příležitostí jsou základními principy realizace OP PIK a budou respektovány a podporovány ve všech prioritních osách a investičních prioritách. S otázkou rovných příležitostí souvisí i transparentnost výběrových řízení, která musí zajistit nediskriminační přístup všem zájemcům bez ohledu na pohlaví, rasový či etnický původ, náboženství či světový názor, zdravotní postižení, věk nebo sexuální orientaci. </w:t>
      </w:r>
      <w:r w:rsidRPr="008B53A9">
        <w:rPr>
          <w:lang w:eastAsia="en-US"/>
        </w:rPr>
        <w:t>Tato otázka také bezprostředně souvisí s</w:t>
      </w:r>
      <w:r w:rsidRPr="008B53A9">
        <w:t> </w:t>
      </w:r>
      <w:r w:rsidR="00430ED6" w:rsidRPr="008B53A9">
        <w:rPr>
          <w:lang w:eastAsia="en-US"/>
        </w:rPr>
        <w:t>principy pro výběr operací</w:t>
      </w:r>
      <w:r w:rsidRPr="008B53A9">
        <w:rPr>
          <w:lang w:eastAsia="en-US"/>
        </w:rPr>
        <w:t xml:space="preserve"> (viz kapitoly 2.A.</w:t>
      </w:r>
      <w:r w:rsidR="00430ED6" w:rsidRPr="008B53A9">
        <w:rPr>
          <w:lang w:eastAsia="en-US"/>
        </w:rPr>
        <w:t>6</w:t>
      </w:r>
      <w:r w:rsidRPr="008B53A9">
        <w:rPr>
          <w:lang w:eastAsia="en-US"/>
        </w:rPr>
        <w:t xml:space="preserve">.2). </w:t>
      </w:r>
      <w:r w:rsidR="000374FF" w:rsidRPr="008B53A9">
        <w:t>U</w:t>
      </w:r>
      <w:r w:rsidR="000374FF" w:rsidRPr="008B53A9">
        <w:rPr>
          <w:rFonts w:cs="Tahoma"/>
          <w:szCs w:val="20"/>
        </w:rPr>
        <w:t>platňování rovných příležitostí je možné rovněž spatřovat v publicitě a propagaci programu a poskytování informací</w:t>
      </w:r>
      <w:r w:rsidR="000374FF" w:rsidRPr="008B53A9">
        <w:rPr>
          <w:rFonts w:cs="Tahoma"/>
        </w:rPr>
        <w:t>.</w:t>
      </w:r>
      <w:r w:rsidR="000374FF" w:rsidRPr="008B53A9">
        <w:t xml:space="preserve"> </w:t>
      </w:r>
      <w:r w:rsidRPr="008B53A9">
        <w:t xml:space="preserve">Při realizaci OP PIK bude brán zřetel na příspěvek k rovnému zacházení, aby měly všechny sociální skupiny stejný přístup k čerpání prostředků EFRR. Řídící orgán zajistí, aby otázka rovných příležitostí a rovného zacházení byla sledována – při zohlednění jejich specifického zaměření - u všech oblastí intervencí na úrovni projektů. </w:t>
      </w:r>
    </w:p>
    <w:p w:rsidR="00E7579B" w:rsidRPr="008B53A9" w:rsidRDefault="005C372A" w:rsidP="00902931">
      <w:pPr>
        <w:pStyle w:val="Standardntext"/>
      </w:pPr>
      <w:r w:rsidRPr="008B53A9">
        <w:t xml:space="preserve">Stejně jako u udržitelného rozvoje bude stanovena podmínka respektovat rovné příležitosti </w:t>
      </w:r>
      <w:r w:rsidR="00E517C6" w:rsidRPr="008B53A9">
        <w:t xml:space="preserve">a rovné zacházení </w:t>
      </w:r>
      <w:r w:rsidRPr="008B53A9">
        <w:t xml:space="preserve">již ve specifikaci podmínek k poskytnutí podpory v rámci jednotlivých subprogramů podpory. Žadatel o podporu bude muset již v této fázi posoudit a v příslušné části žádosti popsat vliv projektu na rovné příležitosti, tj. určit, </w:t>
      </w:r>
      <w:r w:rsidR="00E517C6" w:rsidRPr="008B53A9">
        <w:t xml:space="preserve">zda projekt zajišťuje rovné zacházení všem dotčeným skupinám, zda </w:t>
      </w:r>
      <w:r w:rsidRPr="008B53A9">
        <w:t>je projekt zaměřen zejména na podporu rovných příležitostí, popř. zda má projekt pozitivní dopad na rovné příležitosti či zda je z hlediska rovných příležitostí neutrální. Horizontální téma rovné příležitosti a ochrana před diskriminací bude zohledněno ve výběrových kritériích jednotlivých subprogramů podpory OP PIK.</w:t>
      </w:r>
      <w:r w:rsidR="00244C79" w:rsidRPr="008B53A9">
        <w:t xml:space="preserve"> V případě, že hodnotitelská komise shledá, že projekt má negativní vliv na rovné příležitosti, nebude projekt v rámci OP PIK podpořen</w:t>
      </w:r>
      <w:r w:rsidR="00E7579B" w:rsidRPr="008B53A9">
        <w:t>. V rámci prioritní osy 2, specifického cíle 2.1 budou zvýhodňovány projekty podnikatelů, které realizací projektu prokáží vytvoření a udržitelnost nových pracovních míst a tím přispějí k zaměstnatelnosti osob z ohrožených skupin (</w:t>
      </w:r>
      <w:r w:rsidR="00E517C6" w:rsidRPr="008B53A9">
        <w:t>osoby se zdravotním postižením, matky s dětmi a další pečující osoby, senioři, příslušníci etnických menšin, včetně romské menšiny, cizinci, atd.)</w:t>
      </w:r>
      <w:r w:rsidR="00E7579B" w:rsidRPr="008B53A9">
        <w:t>.</w:t>
      </w:r>
    </w:p>
    <w:p w:rsidR="000374FF" w:rsidRPr="008B53A9" w:rsidRDefault="000374FF" w:rsidP="000374FF">
      <w:pPr>
        <w:pStyle w:val="Standardntext"/>
      </w:pPr>
      <w:r w:rsidRPr="008B53A9">
        <w:t xml:space="preserve">Zohlednění rovných příležitostí a rovného zacházení bude hrát významnou roli i v procesech monitorování, hodnocení a v realizaci principu partnerství. ŘO bude dbát na to, aby v monitorovacím výboru byly dodržovány zásady rovných příležitostí a rovného zastoupení relevantních skupin a byla zabezpečena účast institucí z oblasti rovných příležitostí a ochranou před diskriminaci. V závislosti na charakteru oblasti intervence a bude-li to účelné, bude zabezpečena účast organizací zabývajících se rovnými příležitostmi a ochranou před </w:t>
      </w:r>
      <w:r w:rsidRPr="008B53A9">
        <w:lastRenderedPageBreak/>
        <w:t>diskriminaci v pracovních skupinách (např. v úrovni MV), v hodnotících komisích pro výběr projektů apod. Informace o rovných příležitostech a rovném zacházení budou monitorovány primárně na úrovni projektů. ŘO zajistí, že téma rovných příležitostí a rovného zacházení bude v závislosti na charakteru podpory agregováno v rámci monitorování realizace programu na úrovni prioritní osy. Příspěvek OP PIK k zabezpečení zásady rovných příležitostí a rovného zacházení bude předmětem hodnocení při zpracování tematických a strategických evaluací.</w:t>
      </w:r>
    </w:p>
    <w:p w:rsidR="00851C7E" w:rsidRPr="008B53A9" w:rsidRDefault="005C372A" w:rsidP="00902931">
      <w:pPr>
        <w:pStyle w:val="Standardntext"/>
        <w:rPr>
          <w:b/>
          <w:bCs/>
        </w:rPr>
      </w:pPr>
      <w:r w:rsidRPr="008B53A9">
        <w:t>Vzhledem k zaměření OP PIK (podpora podnikání, inovací v podnikatelském sektoru, energetické úspory, ICT infrastruktury</w:t>
      </w:r>
      <w:r w:rsidR="00D111F8" w:rsidRPr="008B53A9">
        <w:t>)</w:t>
      </w:r>
      <w:r w:rsidRPr="008B53A9">
        <w:t xml:space="preserve"> nemá žádné speciální programy zaměřené na </w:t>
      </w:r>
      <w:r w:rsidR="000374FF" w:rsidRPr="008B53A9">
        <w:t>konkrétní znevýhodněné skupiny</w:t>
      </w:r>
      <w:r w:rsidRPr="008B53A9">
        <w:t>. Tato oblast je řešena jinými operačními programy, využívajícími zejména prostředků Evropského sociálního fondu.</w:t>
      </w:r>
    </w:p>
    <w:p w:rsidR="00851C7E" w:rsidRPr="008B53A9" w:rsidRDefault="0071595D" w:rsidP="003D6763">
      <w:pPr>
        <w:pStyle w:val="Nadpis2"/>
        <w:rPr>
          <w:rFonts w:cs="Calibri"/>
        </w:rPr>
      </w:pPr>
      <w:bookmarkStart w:id="141" w:name="_Toc351464446"/>
      <w:bookmarkStart w:id="142" w:name="_Toc391539699"/>
      <w:r w:rsidRPr="008B53A9">
        <w:rPr>
          <w:rFonts w:cs="Calibri"/>
        </w:rPr>
        <w:t xml:space="preserve">Rovnost </w:t>
      </w:r>
      <w:r w:rsidR="003D6763" w:rsidRPr="008B53A9">
        <w:rPr>
          <w:rFonts w:cs="Calibri"/>
        </w:rPr>
        <w:t>mezi muži a ženami</w:t>
      </w:r>
      <w:bookmarkEnd w:id="141"/>
      <w:bookmarkEnd w:id="142"/>
    </w:p>
    <w:p w:rsidR="00244C79" w:rsidRPr="008B53A9" w:rsidRDefault="005C372A" w:rsidP="00902931">
      <w:pPr>
        <w:pStyle w:val="Standardntext"/>
      </w:pPr>
      <w:r w:rsidRPr="008B53A9">
        <w:t xml:space="preserve">Horizontální téma rovnost žen a mužů předpokládá </w:t>
      </w:r>
      <w:r w:rsidR="00793229" w:rsidRPr="008B53A9">
        <w:t>čl.</w:t>
      </w:r>
      <w:r w:rsidRPr="008B53A9">
        <w:t xml:space="preserve"> 7 obecného nařízení. Dle tohoto článku členské státy a Komise zajistí podporu rovnosti žen a mužů a začlenění </w:t>
      </w:r>
      <w:r w:rsidR="00244C79" w:rsidRPr="008B53A9">
        <w:t xml:space="preserve">z </w:t>
      </w:r>
      <w:r w:rsidRPr="008B53A9">
        <w:t xml:space="preserve">hlediska rovnosti pohlaví při přípravě a provádění programů. </w:t>
      </w:r>
      <w:r w:rsidR="00244C79" w:rsidRPr="008B53A9">
        <w:t>V případě, že hodnotitelská komise shledá, že projekt má negativní vliv na rovnost žen a mužů, nebude projekt v rámci OP PIK podpořen. Bude usilováno o to, aby podpořené projekty přispívaly k naplňování principu rovnosti žen a mužů všude, kde je to vzhledem k věcnému zaměření intervencí programu relevantní. V rámci OP PIK budou mít ke všem programům podpory stejný přístup ženy i muži, zároveň rovnost žen a mužů bude zahrnuta do výběrových kritérií jednotlivých subprogramů podpory</w:t>
      </w:r>
      <w:r w:rsidR="00E7579B" w:rsidRPr="008B53A9">
        <w:t xml:space="preserve"> (výběrová kritéria budou nastavena tak, aby zamezila jakékoliv generové diskriminaci). Gendrová rovnost bude zdůrazňována v rámci infomačních, propagačních a komunikačních aktivit </w:t>
      </w:r>
      <w:r w:rsidR="00A0251A" w:rsidRPr="008B53A9">
        <w:t>Ř</w:t>
      </w:r>
      <w:r w:rsidR="00E7579B" w:rsidRPr="008B53A9">
        <w:t xml:space="preserve">ídícího orgánu. </w:t>
      </w:r>
      <w:r w:rsidR="00244C79" w:rsidRPr="008B53A9">
        <w:t xml:space="preserve"> </w:t>
      </w:r>
    </w:p>
    <w:p w:rsidR="00244C79" w:rsidRPr="008B53A9" w:rsidRDefault="00244C79" w:rsidP="00902931">
      <w:pPr>
        <w:pStyle w:val="Standardntext"/>
      </w:pPr>
      <w:r w:rsidRPr="008B53A9">
        <w:t>Indikátory na úrovni programu a specifických cílů, které mají přímou vazbu na respektování rovných příležitostí (např. Počet nově vytvořených pracovních míst) budou sledovány v členění na muže a ženy.</w:t>
      </w:r>
    </w:p>
    <w:p w:rsidR="00AA042C" w:rsidRPr="008B53A9" w:rsidRDefault="00E7579B" w:rsidP="00902931">
      <w:pPr>
        <w:pStyle w:val="Standardntext"/>
        <w:rPr>
          <w:rFonts w:cs="Tahoma"/>
          <w:szCs w:val="20"/>
        </w:rPr>
      </w:pPr>
      <w:r w:rsidRPr="008B53A9">
        <w:t xml:space="preserve">Princip rovnosti žen a mužů bude uplatňován během programování, monitorování a evaluací programu. </w:t>
      </w:r>
      <w:r w:rsidR="00244C79" w:rsidRPr="008B53A9">
        <w:t xml:space="preserve">Ve fázi implementace operačního programu bude rovnost mužů a žen zajištěna zejména ve složení Monitorovacího výboru OP PIK. </w:t>
      </w:r>
      <w:r w:rsidR="00E8622F" w:rsidRPr="008B53A9">
        <w:rPr>
          <w:rFonts w:cs="Tahoma"/>
          <w:szCs w:val="20"/>
        </w:rPr>
        <w:t xml:space="preserve">Téma rovnosti žen a mužů bude plně respektováno rovněž při administraci programu; při personálním zajištění implementace programu / zajištění administrativní kapacity bude kladen důraz na nediskriminační přístup k uchazečům. </w:t>
      </w:r>
    </w:p>
    <w:p w:rsidR="00DA412A" w:rsidRPr="008B53A9" w:rsidRDefault="00F70A96" w:rsidP="00DA412A">
      <w:pPr>
        <w:pStyle w:val="Standardntext"/>
      </w:pPr>
      <w:r w:rsidRPr="008B53A9">
        <w:t>Jak p</w:t>
      </w:r>
      <w:r w:rsidR="00B776E3" w:rsidRPr="008B53A9">
        <w:t>ři přípravě program</w:t>
      </w:r>
      <w:r w:rsidRPr="008B53A9">
        <w:t xml:space="preserve">u, tak </w:t>
      </w:r>
      <w:r w:rsidR="00B776E3" w:rsidRPr="008B53A9">
        <w:t>při je</w:t>
      </w:r>
      <w:r w:rsidRPr="008B53A9">
        <w:t xml:space="preserve">ho vlastní </w:t>
      </w:r>
      <w:r w:rsidR="00B776E3" w:rsidRPr="008B53A9">
        <w:t>realizaci bud</w:t>
      </w:r>
      <w:r w:rsidRPr="008B53A9">
        <w:t xml:space="preserve">e tedy ve všech </w:t>
      </w:r>
      <w:r w:rsidR="00B776E3" w:rsidRPr="008B53A9">
        <w:t xml:space="preserve">fázích </w:t>
      </w:r>
      <w:r w:rsidRPr="008B53A9">
        <w:t xml:space="preserve">zohledněno, </w:t>
      </w:r>
      <w:r w:rsidR="00B776E3" w:rsidRPr="008B53A9">
        <w:t xml:space="preserve">aby </w:t>
      </w:r>
      <w:r w:rsidRPr="008B53A9">
        <w:t xml:space="preserve">byl striktně dodržován </w:t>
      </w:r>
      <w:r w:rsidR="00B776E3" w:rsidRPr="008B53A9">
        <w:t>zákaz diskriminace a podporov</w:t>
      </w:r>
      <w:r w:rsidRPr="008B53A9">
        <w:t xml:space="preserve">án </w:t>
      </w:r>
      <w:r w:rsidR="00B776E3" w:rsidRPr="008B53A9">
        <w:t>rovný přístup k ženám i mužům. Za tímto účelem je v návaznosti na plnění příslušn</w:t>
      </w:r>
      <w:r w:rsidRPr="008B53A9">
        <w:t xml:space="preserve">é obecné </w:t>
      </w:r>
      <w:r w:rsidR="00B776E3" w:rsidRPr="008B53A9">
        <w:t>předběžn</w:t>
      </w:r>
      <w:r w:rsidRPr="008B53A9">
        <w:t xml:space="preserve">é </w:t>
      </w:r>
      <w:r w:rsidR="00B776E3" w:rsidRPr="008B53A9">
        <w:t>podmínk</w:t>
      </w:r>
      <w:r w:rsidRPr="008B53A9">
        <w:t xml:space="preserve">y u </w:t>
      </w:r>
      <w:r w:rsidR="00A0251A" w:rsidRPr="008B53A9">
        <w:t>Ř</w:t>
      </w:r>
      <w:r w:rsidRPr="008B53A9">
        <w:t>ídícího orgánu určena k</w:t>
      </w:r>
      <w:r w:rsidR="00B776E3" w:rsidRPr="008B53A9">
        <w:t>ontaktní osoba</w:t>
      </w:r>
      <w:r w:rsidRPr="008B53A9">
        <w:t xml:space="preserve">, která se </w:t>
      </w:r>
      <w:r w:rsidR="00B776E3" w:rsidRPr="008B53A9">
        <w:t xml:space="preserve">budou </w:t>
      </w:r>
      <w:r w:rsidRPr="008B53A9">
        <w:t xml:space="preserve">v rámci své pracovní činnosti </w:t>
      </w:r>
      <w:r w:rsidR="00B776E3" w:rsidRPr="008B53A9">
        <w:t>zabývat implementací a aplikací antidiskriminačního práva</w:t>
      </w:r>
      <w:r w:rsidRPr="008B53A9">
        <w:t>, v</w:t>
      </w:r>
      <w:r w:rsidR="00B776E3" w:rsidRPr="008B53A9">
        <w:t>četně problematiky rovnosti žen a mužů a přístupnosti pro osoby se zdravotním postižením</w:t>
      </w:r>
      <w:r w:rsidR="00DA412A" w:rsidRPr="008B53A9">
        <w:t xml:space="preserve">. Touto kontaktní osobou </w:t>
      </w:r>
      <w:r w:rsidR="00065A87" w:rsidRPr="008B53A9">
        <w:t>je</w:t>
      </w:r>
      <w:r w:rsidR="00DA412A" w:rsidRPr="008B53A9">
        <w:t xml:space="preserve"> komunikační úředník OP PIK.</w:t>
      </w:r>
    </w:p>
    <w:p w:rsidR="009E6172" w:rsidRPr="008B53A9" w:rsidRDefault="00E134D0" w:rsidP="000816D8">
      <w:pPr>
        <w:pStyle w:val="Nadpis1"/>
      </w:pPr>
      <w:bookmarkStart w:id="143" w:name="_Toc391539700"/>
      <w:r w:rsidRPr="008B53A9">
        <w:lastRenderedPageBreak/>
        <w:t>Samosta</w:t>
      </w:r>
      <w:r w:rsidR="00A96B2E" w:rsidRPr="008B53A9">
        <w:t>t</w:t>
      </w:r>
      <w:r w:rsidRPr="008B53A9">
        <w:t>né prvky</w:t>
      </w:r>
      <w:bookmarkEnd w:id="143"/>
    </w:p>
    <w:p w:rsidR="00AA042C" w:rsidRPr="008B53A9" w:rsidRDefault="00E134D0" w:rsidP="00E134D0">
      <w:pPr>
        <w:pStyle w:val="Nadpis2"/>
        <w:rPr>
          <w:rFonts w:cs="Calibri"/>
        </w:rPr>
      </w:pPr>
      <w:bookmarkStart w:id="144" w:name="_Toc391539701"/>
      <w:r w:rsidRPr="008B53A9">
        <w:rPr>
          <w:rFonts w:cs="Calibri"/>
        </w:rPr>
        <w:t>Velké projekty, které mají být během programového období realizovány</w:t>
      </w:r>
      <w:bookmarkEnd w:id="144"/>
    </w:p>
    <w:p w:rsidR="00AA042C" w:rsidRPr="008B53A9" w:rsidRDefault="0062043C" w:rsidP="00A146B9">
      <w:pPr>
        <w:pStyle w:val="Standardntext"/>
      </w:pPr>
      <w:r w:rsidRPr="008B53A9">
        <w:t xml:space="preserve">Velké projekty ve smyslu </w:t>
      </w:r>
      <w:r w:rsidR="00E134D0" w:rsidRPr="008B53A9">
        <w:t xml:space="preserve">čl. 96 odst. 2 písm. e) </w:t>
      </w:r>
      <w:r w:rsidRPr="008B53A9">
        <w:t>obecného nařízení nejsou plánovány.</w:t>
      </w:r>
    </w:p>
    <w:p w:rsidR="00AA042C" w:rsidRPr="008B53A9" w:rsidRDefault="006C634D" w:rsidP="00E134D0">
      <w:pPr>
        <w:pStyle w:val="Nadpis2"/>
        <w:rPr>
          <w:rFonts w:cs="Calibri"/>
        </w:rPr>
      </w:pPr>
      <w:bookmarkStart w:id="145" w:name="_Toc351464449"/>
      <w:bookmarkStart w:id="146" w:name="_Toc391539702"/>
      <w:r w:rsidRPr="008B53A9">
        <w:rPr>
          <w:rFonts w:cs="Calibri"/>
        </w:rPr>
        <w:t xml:space="preserve">Výkonnostní rámec </w:t>
      </w:r>
      <w:bookmarkEnd w:id="145"/>
      <w:r w:rsidR="00E134D0" w:rsidRPr="008B53A9">
        <w:rPr>
          <w:rFonts w:cs="Calibri"/>
        </w:rPr>
        <w:t>pro operační program</w:t>
      </w:r>
      <w:bookmarkEnd w:id="146"/>
    </w:p>
    <w:p w:rsidR="006C634D" w:rsidRPr="008B53A9" w:rsidRDefault="006C634D" w:rsidP="000816D8">
      <w:pPr>
        <w:pStyle w:val="Titulek"/>
      </w:pPr>
      <w:r w:rsidRPr="008B53A9">
        <w:t xml:space="preserve">Tabulka </w:t>
      </w:r>
      <w:r w:rsidR="00C3289B" w:rsidRPr="008B53A9">
        <w:fldChar w:fldCharType="begin"/>
      </w:r>
      <w:r w:rsidR="00C3289B" w:rsidRPr="008B53A9">
        <w:instrText xml:space="preserve"> SEQ Tabulka \* ARABIC \r 28 </w:instrText>
      </w:r>
      <w:r w:rsidR="00C3289B" w:rsidRPr="008B53A9">
        <w:fldChar w:fldCharType="separate"/>
      </w:r>
      <w:r w:rsidR="00E54216" w:rsidRPr="008B53A9">
        <w:rPr>
          <w:noProof/>
        </w:rPr>
        <w:t>28</w:t>
      </w:r>
      <w:r w:rsidR="00C3289B" w:rsidRPr="008B53A9">
        <w:rPr>
          <w:noProof/>
        </w:rPr>
        <w:fldChar w:fldCharType="end"/>
      </w:r>
      <w:r w:rsidRPr="008B53A9">
        <w:t xml:space="preserve">: </w:t>
      </w:r>
      <w:r w:rsidR="00E134D0" w:rsidRPr="008B53A9">
        <w:t>Výkonnostní rámec operačního programu rozdělený podle fondu a kategorie regionu (shrnující tabulka)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9"/>
        <w:gridCol w:w="696"/>
        <w:gridCol w:w="1108"/>
        <w:gridCol w:w="2429"/>
        <w:gridCol w:w="1553"/>
        <w:gridCol w:w="1251"/>
        <w:gridCol w:w="1251"/>
      </w:tblGrid>
      <w:tr w:rsidR="0062043C" w:rsidRPr="008B53A9">
        <w:trPr>
          <w:trHeight w:val="846"/>
        </w:trPr>
        <w:tc>
          <w:tcPr>
            <w:tcW w:w="581" w:type="pct"/>
            <w:shd w:val="clear" w:color="auto" w:fill="B8CCE4"/>
          </w:tcPr>
          <w:p w:rsidR="0062043C" w:rsidRPr="008B53A9" w:rsidRDefault="0062043C" w:rsidP="00E134D0">
            <w:pPr>
              <w:pStyle w:val="Tabulka"/>
              <w:rPr>
                <w:rFonts w:cs="Calibri"/>
                <w:b/>
                <w:lang w:val="cs-CZ" w:eastAsia="cs-CZ"/>
              </w:rPr>
            </w:pPr>
            <w:r w:rsidRPr="008B53A9">
              <w:rPr>
                <w:rFonts w:cs="Calibri"/>
                <w:b/>
                <w:lang w:val="cs-CZ" w:eastAsia="cs-CZ"/>
              </w:rPr>
              <w:t>Prioritní osa</w:t>
            </w:r>
          </w:p>
        </w:tc>
        <w:tc>
          <w:tcPr>
            <w:tcW w:w="371" w:type="pct"/>
            <w:shd w:val="clear" w:color="auto" w:fill="B8CCE4"/>
          </w:tcPr>
          <w:p w:rsidR="0062043C" w:rsidRPr="008B53A9" w:rsidRDefault="0062043C" w:rsidP="00D51BBA">
            <w:pPr>
              <w:pStyle w:val="Tabulka"/>
              <w:rPr>
                <w:rFonts w:cs="Calibri"/>
                <w:b/>
                <w:lang w:val="cs-CZ" w:eastAsia="cs-CZ"/>
              </w:rPr>
            </w:pPr>
            <w:r w:rsidRPr="008B53A9">
              <w:rPr>
                <w:rFonts w:cs="Calibri"/>
                <w:b/>
                <w:lang w:val="cs-CZ" w:eastAsia="cs-CZ"/>
              </w:rPr>
              <w:t>Fond</w:t>
            </w:r>
          </w:p>
        </w:tc>
        <w:tc>
          <w:tcPr>
            <w:tcW w:w="591" w:type="pct"/>
            <w:shd w:val="clear" w:color="auto" w:fill="B8CCE4"/>
          </w:tcPr>
          <w:p w:rsidR="0062043C" w:rsidRPr="008B53A9" w:rsidRDefault="00E134D0" w:rsidP="00E134D0">
            <w:pPr>
              <w:pStyle w:val="Tabulka"/>
              <w:rPr>
                <w:rFonts w:cs="Calibri"/>
                <w:b/>
                <w:lang w:val="cs-CZ" w:eastAsia="cs-CZ"/>
              </w:rPr>
            </w:pPr>
            <w:r w:rsidRPr="008B53A9">
              <w:rPr>
                <w:rFonts w:cs="Calibri"/>
                <w:b/>
                <w:lang w:val="cs-CZ" w:eastAsia="cs-CZ"/>
              </w:rPr>
              <w:t>Kategorie regionů</w:t>
            </w:r>
          </w:p>
        </w:tc>
        <w:tc>
          <w:tcPr>
            <w:tcW w:w="1295" w:type="pct"/>
            <w:shd w:val="clear" w:color="auto" w:fill="B8CCE4"/>
            <w:tcMar>
              <w:top w:w="0" w:type="dxa"/>
              <w:left w:w="108" w:type="dxa"/>
              <w:bottom w:w="0" w:type="dxa"/>
              <w:right w:w="108" w:type="dxa"/>
            </w:tcMar>
          </w:tcPr>
          <w:p w:rsidR="0062043C" w:rsidRPr="008B53A9" w:rsidRDefault="00E134D0" w:rsidP="00E134D0">
            <w:pPr>
              <w:pStyle w:val="Tabulka"/>
              <w:rPr>
                <w:rFonts w:cs="Calibri"/>
                <w:b/>
                <w:lang w:val="cs-CZ" w:eastAsia="cs-CZ"/>
              </w:rPr>
            </w:pPr>
            <w:r w:rsidRPr="008B53A9">
              <w:rPr>
                <w:rFonts w:cs="Calibri"/>
                <w:b/>
                <w:lang w:val="cs-CZ" w:eastAsia="cs-CZ"/>
              </w:rPr>
              <w:t>Ukazatel nebo klíčový krok provádění</w:t>
            </w:r>
          </w:p>
        </w:tc>
        <w:tc>
          <w:tcPr>
            <w:tcW w:w="828" w:type="pct"/>
            <w:shd w:val="clear" w:color="auto" w:fill="B8CCE4"/>
            <w:tcMar>
              <w:top w:w="0" w:type="dxa"/>
              <w:left w:w="108" w:type="dxa"/>
              <w:bottom w:w="0" w:type="dxa"/>
              <w:right w:w="108" w:type="dxa"/>
            </w:tcMar>
          </w:tcPr>
          <w:p w:rsidR="0062043C" w:rsidRPr="008B53A9" w:rsidRDefault="00E134D0" w:rsidP="00E134D0">
            <w:pPr>
              <w:pStyle w:val="Tabulka"/>
              <w:rPr>
                <w:rFonts w:cs="Calibri"/>
                <w:b/>
                <w:bCs/>
                <w:lang w:val="cs-CZ" w:eastAsia="cs-CZ"/>
              </w:rPr>
            </w:pPr>
            <w:r w:rsidRPr="008B53A9">
              <w:rPr>
                <w:rFonts w:cs="Calibri"/>
                <w:b/>
                <w:bCs/>
                <w:lang w:val="cs-CZ" w:eastAsia="cs-CZ"/>
              </w:rPr>
              <w:t>Měrná jednotka (použije-li se)</w:t>
            </w:r>
          </w:p>
        </w:tc>
        <w:tc>
          <w:tcPr>
            <w:tcW w:w="667" w:type="pct"/>
            <w:shd w:val="clear" w:color="auto" w:fill="B8CCE4"/>
            <w:tcMar>
              <w:top w:w="0" w:type="dxa"/>
              <w:left w:w="108" w:type="dxa"/>
              <w:bottom w:w="0" w:type="dxa"/>
              <w:right w:w="108" w:type="dxa"/>
            </w:tcMar>
          </w:tcPr>
          <w:p w:rsidR="0062043C" w:rsidRPr="008B53A9" w:rsidRDefault="00E134D0" w:rsidP="00E134D0">
            <w:pPr>
              <w:pStyle w:val="Tabulka"/>
              <w:rPr>
                <w:rFonts w:cs="Calibri"/>
                <w:b/>
                <w:lang w:val="cs-CZ" w:eastAsia="cs-CZ"/>
              </w:rPr>
            </w:pPr>
            <w:r w:rsidRPr="008B53A9">
              <w:rPr>
                <w:rFonts w:cs="Calibri"/>
                <w:b/>
                <w:lang w:val="cs-CZ" w:eastAsia="cs-CZ"/>
              </w:rPr>
              <w:t>Milník pro rok 2018</w:t>
            </w:r>
          </w:p>
        </w:tc>
        <w:tc>
          <w:tcPr>
            <w:tcW w:w="668" w:type="pct"/>
            <w:shd w:val="clear" w:color="auto" w:fill="B8CCE4"/>
            <w:tcMar>
              <w:top w:w="0" w:type="dxa"/>
              <w:left w:w="108" w:type="dxa"/>
              <w:bottom w:w="0" w:type="dxa"/>
              <w:right w:w="108" w:type="dxa"/>
            </w:tcMar>
          </w:tcPr>
          <w:p w:rsidR="0062043C" w:rsidRPr="008B53A9" w:rsidRDefault="00E134D0" w:rsidP="00E134D0">
            <w:pPr>
              <w:pStyle w:val="Tabulka"/>
              <w:rPr>
                <w:rFonts w:cs="Calibri"/>
                <w:b/>
                <w:lang w:val="cs-CZ" w:eastAsia="cs-CZ"/>
              </w:rPr>
            </w:pPr>
            <w:r w:rsidRPr="008B53A9">
              <w:rPr>
                <w:rFonts w:cs="Calibri"/>
                <w:b/>
                <w:lang w:val="cs-CZ" w:eastAsia="cs-CZ"/>
              </w:rPr>
              <w:t>Konečný cíl</w:t>
            </w:r>
            <w:r w:rsidR="0062043C" w:rsidRPr="008B53A9">
              <w:rPr>
                <w:rFonts w:cs="Calibri"/>
                <w:b/>
                <w:lang w:val="cs-CZ" w:eastAsia="cs-CZ"/>
              </w:rPr>
              <w:t xml:space="preserve"> </w:t>
            </w:r>
            <w:r w:rsidRPr="008B53A9">
              <w:rPr>
                <w:rFonts w:cs="Calibri"/>
                <w:b/>
                <w:lang w:val="cs-CZ" w:eastAsia="cs-CZ"/>
              </w:rPr>
              <w:t>(</w:t>
            </w:r>
            <w:r w:rsidR="0062043C" w:rsidRPr="008B53A9">
              <w:rPr>
                <w:rFonts w:cs="Calibri"/>
                <w:b/>
                <w:lang w:val="cs-CZ" w:eastAsia="cs-CZ"/>
              </w:rPr>
              <w:t>2023</w:t>
            </w:r>
            <w:r w:rsidRPr="008B53A9">
              <w:rPr>
                <w:rFonts w:cs="Calibri"/>
                <w:b/>
                <w:lang w:val="cs-CZ" w:eastAsia="cs-CZ"/>
              </w:rPr>
              <w:t>)</w:t>
            </w:r>
          </w:p>
        </w:tc>
      </w:tr>
      <w:tr w:rsidR="00DC685E" w:rsidRPr="008B53A9">
        <w:trPr>
          <w:trHeight w:val="318"/>
        </w:trPr>
        <w:tc>
          <w:tcPr>
            <w:tcW w:w="581" w:type="pct"/>
            <w:vMerge w:val="restart"/>
            <w:shd w:val="clear" w:color="auto" w:fill="auto"/>
            <w:vAlign w:val="center"/>
          </w:tcPr>
          <w:p w:rsidR="00DC685E" w:rsidRPr="008B53A9" w:rsidRDefault="00DC685E" w:rsidP="0062043C">
            <w:pPr>
              <w:pStyle w:val="Tabulka"/>
              <w:jc w:val="left"/>
              <w:rPr>
                <w:rFonts w:cs="Calibri"/>
                <w:lang w:val="cs-CZ" w:eastAsia="cs-CZ"/>
              </w:rPr>
            </w:pPr>
            <w:r w:rsidRPr="008B53A9">
              <w:rPr>
                <w:rFonts w:cs="Calibri"/>
                <w:lang w:val="cs-CZ" w:eastAsia="cs-CZ"/>
              </w:rPr>
              <w:t>Prioritní osa 1</w:t>
            </w:r>
          </w:p>
        </w:tc>
        <w:tc>
          <w:tcPr>
            <w:tcW w:w="371" w:type="pct"/>
            <w:vMerge w:val="restart"/>
            <w:vAlign w:val="center"/>
          </w:tcPr>
          <w:p w:rsidR="00DC685E" w:rsidRPr="008B53A9" w:rsidRDefault="00DC685E" w:rsidP="00D51BBA">
            <w:pPr>
              <w:pStyle w:val="Tabulka"/>
              <w:rPr>
                <w:rFonts w:cs="Calibri"/>
                <w:lang w:val="cs-CZ" w:eastAsia="cs-CZ"/>
              </w:rPr>
            </w:pPr>
            <w:r w:rsidRPr="008B53A9">
              <w:rPr>
                <w:rFonts w:cs="Calibri"/>
                <w:lang w:val="cs-CZ" w:eastAsia="cs-CZ"/>
              </w:rPr>
              <w:t>EFRR</w:t>
            </w:r>
          </w:p>
        </w:tc>
        <w:tc>
          <w:tcPr>
            <w:tcW w:w="591" w:type="pct"/>
            <w:vMerge w:val="restart"/>
            <w:vAlign w:val="center"/>
          </w:tcPr>
          <w:p w:rsidR="00DC685E" w:rsidRPr="008B53A9" w:rsidRDefault="00DC685E" w:rsidP="00F42269">
            <w:pPr>
              <w:pStyle w:val="Tabulka"/>
              <w:rPr>
                <w:rFonts w:cs="Calibri"/>
                <w:lang w:val="cs-CZ" w:eastAsia="cs-CZ"/>
              </w:rPr>
            </w:pPr>
            <w:r w:rsidRPr="008B53A9">
              <w:rPr>
                <w:rFonts w:cs="Calibri"/>
                <w:lang w:val="cs-CZ" w:eastAsia="cs-CZ"/>
              </w:rPr>
              <w:t>Méně rozvinuté regiony</w:t>
            </w:r>
          </w:p>
        </w:tc>
        <w:tc>
          <w:tcPr>
            <w:tcW w:w="1295" w:type="pct"/>
            <w:shd w:val="clear" w:color="auto" w:fill="auto"/>
            <w:tcMar>
              <w:top w:w="0" w:type="dxa"/>
              <w:left w:w="108" w:type="dxa"/>
              <w:bottom w:w="0" w:type="dxa"/>
              <w:right w:w="108" w:type="dxa"/>
            </w:tcMar>
            <w:vAlign w:val="center"/>
          </w:tcPr>
          <w:p w:rsidR="00DC685E" w:rsidRPr="008B53A9" w:rsidRDefault="00DC685E" w:rsidP="000F4D69">
            <w:pPr>
              <w:pStyle w:val="Tabulka"/>
              <w:rPr>
                <w:rFonts w:cs="Calibri"/>
                <w:lang w:val="cs-CZ" w:eastAsia="cs-CZ"/>
              </w:rPr>
            </w:pPr>
            <w:r w:rsidRPr="008B53A9">
              <w:rPr>
                <w:rFonts w:cs="Calibri"/>
                <w:lang w:val="cs-CZ" w:eastAsia="cs-CZ"/>
              </w:rPr>
              <w:t>Certifikované finanční prostředky</w:t>
            </w:r>
          </w:p>
        </w:tc>
        <w:tc>
          <w:tcPr>
            <w:tcW w:w="828"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EUR</w:t>
            </w:r>
          </w:p>
        </w:tc>
        <w:tc>
          <w:tcPr>
            <w:tcW w:w="667"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180 000 000</w:t>
            </w:r>
          </w:p>
        </w:tc>
        <w:tc>
          <w:tcPr>
            <w:tcW w:w="668" w:type="pct"/>
            <w:shd w:val="clear" w:color="auto" w:fill="auto"/>
            <w:tcMar>
              <w:top w:w="0" w:type="dxa"/>
              <w:left w:w="108" w:type="dxa"/>
              <w:bottom w:w="0" w:type="dxa"/>
              <w:right w:w="108" w:type="dxa"/>
            </w:tcMar>
            <w:vAlign w:val="center"/>
          </w:tcPr>
          <w:p w:rsidR="00DC685E" w:rsidRPr="008B53A9" w:rsidRDefault="00086437" w:rsidP="00D51BBA">
            <w:pPr>
              <w:pStyle w:val="Tabulka"/>
              <w:rPr>
                <w:rFonts w:cs="Calibri"/>
                <w:lang w:val="cs-CZ" w:eastAsia="cs-CZ"/>
              </w:rPr>
            </w:pPr>
            <w:r w:rsidRPr="008B53A9">
              <w:rPr>
                <w:rFonts w:cs="Calibri"/>
                <w:lang w:val="cs-CZ" w:eastAsia="cs-CZ"/>
              </w:rPr>
              <w:t>1 337 979 411</w:t>
            </w:r>
          </w:p>
        </w:tc>
      </w:tr>
      <w:tr w:rsidR="00DC685E" w:rsidRPr="008B53A9">
        <w:trPr>
          <w:trHeight w:val="268"/>
        </w:trPr>
        <w:tc>
          <w:tcPr>
            <w:tcW w:w="581" w:type="pct"/>
            <w:vMerge/>
            <w:shd w:val="clear" w:color="auto" w:fill="auto"/>
            <w:vAlign w:val="center"/>
          </w:tcPr>
          <w:p w:rsidR="00DC685E" w:rsidRPr="008B53A9" w:rsidRDefault="00DC685E" w:rsidP="0062043C">
            <w:pPr>
              <w:pStyle w:val="Tabulka"/>
              <w:jc w:val="left"/>
              <w:rPr>
                <w:rFonts w:cs="Calibri"/>
                <w:lang w:val="cs-CZ" w:eastAsia="cs-CZ"/>
              </w:rPr>
            </w:pPr>
          </w:p>
        </w:tc>
        <w:tc>
          <w:tcPr>
            <w:tcW w:w="371" w:type="pct"/>
            <w:vMerge/>
            <w:vAlign w:val="center"/>
          </w:tcPr>
          <w:p w:rsidR="00DC685E" w:rsidRPr="008B53A9" w:rsidRDefault="00DC685E" w:rsidP="00D51BBA">
            <w:pPr>
              <w:pStyle w:val="Tabulka"/>
              <w:rPr>
                <w:rFonts w:cs="Calibri"/>
                <w:lang w:val="cs-CZ" w:eastAsia="cs-CZ"/>
              </w:rPr>
            </w:pPr>
          </w:p>
        </w:tc>
        <w:tc>
          <w:tcPr>
            <w:tcW w:w="591" w:type="pct"/>
            <w:vMerge/>
            <w:vAlign w:val="center"/>
          </w:tcPr>
          <w:p w:rsidR="00DC685E" w:rsidRPr="008B53A9" w:rsidRDefault="00DC685E" w:rsidP="00F42269">
            <w:pPr>
              <w:pStyle w:val="Tabulka"/>
              <w:rPr>
                <w:rFonts w:cs="Calibri"/>
                <w:lang w:val="cs-CZ" w:eastAsia="cs-CZ"/>
              </w:rPr>
            </w:pPr>
          </w:p>
        </w:tc>
        <w:tc>
          <w:tcPr>
            <w:tcW w:w="1295"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Počet podniků pobírajících podporu</w:t>
            </w:r>
          </w:p>
        </w:tc>
        <w:tc>
          <w:tcPr>
            <w:tcW w:w="828"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Podniky</w:t>
            </w:r>
          </w:p>
        </w:tc>
        <w:tc>
          <w:tcPr>
            <w:tcW w:w="667"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500</w:t>
            </w:r>
          </w:p>
        </w:tc>
        <w:tc>
          <w:tcPr>
            <w:tcW w:w="668"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2200</w:t>
            </w:r>
          </w:p>
        </w:tc>
      </w:tr>
      <w:tr w:rsidR="00DC685E" w:rsidRPr="008B53A9">
        <w:trPr>
          <w:trHeight w:val="335"/>
        </w:trPr>
        <w:tc>
          <w:tcPr>
            <w:tcW w:w="581" w:type="pct"/>
            <w:vMerge/>
            <w:shd w:val="clear" w:color="auto" w:fill="auto"/>
            <w:vAlign w:val="center"/>
          </w:tcPr>
          <w:p w:rsidR="00DC685E" w:rsidRPr="008B53A9" w:rsidRDefault="00DC685E" w:rsidP="0062043C">
            <w:pPr>
              <w:pStyle w:val="Tabulka"/>
              <w:jc w:val="left"/>
              <w:rPr>
                <w:rFonts w:cs="Calibri"/>
                <w:lang w:val="cs-CZ" w:eastAsia="cs-CZ"/>
              </w:rPr>
            </w:pPr>
          </w:p>
        </w:tc>
        <w:tc>
          <w:tcPr>
            <w:tcW w:w="371" w:type="pct"/>
            <w:vMerge/>
            <w:vAlign w:val="center"/>
          </w:tcPr>
          <w:p w:rsidR="00DC685E" w:rsidRPr="008B53A9" w:rsidRDefault="00DC685E" w:rsidP="00D51BBA">
            <w:pPr>
              <w:pStyle w:val="Tabulka"/>
              <w:rPr>
                <w:rFonts w:cs="Calibri"/>
                <w:lang w:val="cs-CZ" w:eastAsia="cs-CZ"/>
              </w:rPr>
            </w:pPr>
          </w:p>
        </w:tc>
        <w:tc>
          <w:tcPr>
            <w:tcW w:w="591" w:type="pct"/>
            <w:vMerge/>
            <w:vAlign w:val="center"/>
          </w:tcPr>
          <w:p w:rsidR="00DC685E" w:rsidRPr="008B53A9" w:rsidRDefault="00DC685E" w:rsidP="00F42269">
            <w:pPr>
              <w:pStyle w:val="Tabulka"/>
              <w:rPr>
                <w:rFonts w:cs="Calibri"/>
                <w:lang w:val="cs-CZ" w:eastAsia="cs-CZ"/>
              </w:rPr>
            </w:pPr>
          </w:p>
        </w:tc>
        <w:tc>
          <w:tcPr>
            <w:tcW w:w="1295" w:type="pct"/>
            <w:shd w:val="clear" w:color="auto" w:fill="auto"/>
            <w:tcMar>
              <w:top w:w="0" w:type="dxa"/>
              <w:left w:w="108" w:type="dxa"/>
              <w:bottom w:w="0" w:type="dxa"/>
              <w:right w:w="108" w:type="dxa"/>
            </w:tcMar>
            <w:vAlign w:val="center"/>
          </w:tcPr>
          <w:p w:rsidR="00DC685E" w:rsidRPr="008B53A9" w:rsidRDefault="00DC685E" w:rsidP="00DF5D6D">
            <w:pPr>
              <w:pStyle w:val="Tabulka"/>
              <w:rPr>
                <w:rFonts w:cs="Calibri"/>
                <w:lang w:val="cs-CZ" w:eastAsia="cs-CZ"/>
              </w:rPr>
            </w:pPr>
            <w:r w:rsidRPr="008B53A9">
              <w:rPr>
                <w:rFonts w:cs="Calibri"/>
                <w:lang w:val="cs-CZ" w:eastAsia="cs-CZ"/>
              </w:rPr>
              <w:t>Počet podniků spolupracujících s výzkumnými institucemi</w:t>
            </w:r>
          </w:p>
        </w:tc>
        <w:tc>
          <w:tcPr>
            <w:tcW w:w="828" w:type="pct"/>
            <w:shd w:val="clear" w:color="auto" w:fill="auto"/>
            <w:tcMar>
              <w:top w:w="0" w:type="dxa"/>
              <w:left w:w="108" w:type="dxa"/>
              <w:bottom w:w="0" w:type="dxa"/>
              <w:right w:w="108" w:type="dxa"/>
            </w:tcMar>
            <w:vAlign w:val="center"/>
          </w:tcPr>
          <w:p w:rsidR="00DC685E" w:rsidRPr="008B53A9" w:rsidRDefault="00DC685E" w:rsidP="00DF5D6D">
            <w:pPr>
              <w:pStyle w:val="Tabulka"/>
              <w:rPr>
                <w:rFonts w:cs="Calibri"/>
                <w:lang w:val="cs-CZ" w:eastAsia="cs-CZ"/>
              </w:rPr>
            </w:pPr>
            <w:r w:rsidRPr="008B53A9">
              <w:rPr>
                <w:rFonts w:cs="Calibri"/>
                <w:lang w:val="cs-CZ" w:eastAsia="cs-CZ"/>
              </w:rPr>
              <w:t>Podniky</w:t>
            </w:r>
          </w:p>
        </w:tc>
        <w:tc>
          <w:tcPr>
            <w:tcW w:w="667"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450</w:t>
            </w:r>
          </w:p>
        </w:tc>
        <w:tc>
          <w:tcPr>
            <w:tcW w:w="668"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2 950</w:t>
            </w:r>
          </w:p>
        </w:tc>
      </w:tr>
      <w:tr w:rsidR="00DC685E" w:rsidRPr="008B53A9">
        <w:trPr>
          <w:trHeight w:val="469"/>
        </w:trPr>
        <w:tc>
          <w:tcPr>
            <w:tcW w:w="581" w:type="pct"/>
            <w:vMerge w:val="restart"/>
            <w:shd w:val="clear" w:color="auto" w:fill="auto"/>
            <w:vAlign w:val="center"/>
          </w:tcPr>
          <w:p w:rsidR="00DC685E" w:rsidRPr="008B53A9" w:rsidRDefault="00DC685E" w:rsidP="0062043C">
            <w:pPr>
              <w:pStyle w:val="Tabulka"/>
              <w:jc w:val="left"/>
              <w:rPr>
                <w:rFonts w:cs="Calibri"/>
                <w:lang w:val="cs-CZ" w:eastAsia="cs-CZ"/>
              </w:rPr>
            </w:pPr>
            <w:r w:rsidRPr="008B53A9">
              <w:rPr>
                <w:rFonts w:cs="Calibri"/>
                <w:lang w:val="cs-CZ" w:eastAsia="cs-CZ"/>
              </w:rPr>
              <w:t>Prioritní osa 2</w:t>
            </w:r>
          </w:p>
        </w:tc>
        <w:tc>
          <w:tcPr>
            <w:tcW w:w="371" w:type="pct"/>
            <w:vMerge w:val="restart"/>
            <w:vAlign w:val="center"/>
          </w:tcPr>
          <w:p w:rsidR="00DC685E" w:rsidRPr="008B53A9" w:rsidRDefault="00DC685E" w:rsidP="00D51BBA">
            <w:pPr>
              <w:pStyle w:val="Tabulka"/>
              <w:rPr>
                <w:rFonts w:cs="Calibri"/>
                <w:lang w:val="cs-CZ" w:eastAsia="cs-CZ"/>
              </w:rPr>
            </w:pPr>
            <w:r w:rsidRPr="008B53A9">
              <w:rPr>
                <w:rFonts w:cs="Calibri"/>
                <w:lang w:val="cs-CZ" w:eastAsia="cs-CZ"/>
              </w:rPr>
              <w:t>EFRR</w:t>
            </w:r>
          </w:p>
        </w:tc>
        <w:tc>
          <w:tcPr>
            <w:tcW w:w="591" w:type="pct"/>
            <w:vMerge w:val="restart"/>
            <w:vAlign w:val="center"/>
          </w:tcPr>
          <w:p w:rsidR="00DC685E" w:rsidRPr="008B53A9" w:rsidRDefault="00DC685E" w:rsidP="00F42269">
            <w:pPr>
              <w:pStyle w:val="Tabulka"/>
              <w:rPr>
                <w:rFonts w:cs="Calibri"/>
                <w:lang w:val="cs-CZ" w:eastAsia="cs-CZ"/>
              </w:rPr>
            </w:pPr>
            <w:r w:rsidRPr="008B53A9">
              <w:rPr>
                <w:rFonts w:cs="Calibri"/>
                <w:lang w:val="cs-CZ" w:eastAsia="cs-CZ"/>
              </w:rPr>
              <w:t>Méně rozvinuté regiony</w:t>
            </w:r>
          </w:p>
        </w:tc>
        <w:tc>
          <w:tcPr>
            <w:tcW w:w="1295"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Certifikované finanční prostředky</w:t>
            </w:r>
          </w:p>
        </w:tc>
        <w:tc>
          <w:tcPr>
            <w:tcW w:w="828"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EUR</w:t>
            </w:r>
          </w:p>
        </w:tc>
        <w:tc>
          <w:tcPr>
            <w:tcW w:w="667"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130 000 000</w:t>
            </w:r>
          </w:p>
        </w:tc>
        <w:tc>
          <w:tcPr>
            <w:tcW w:w="668" w:type="pct"/>
            <w:shd w:val="clear" w:color="auto" w:fill="auto"/>
            <w:tcMar>
              <w:top w:w="0" w:type="dxa"/>
              <w:left w:w="108" w:type="dxa"/>
              <w:bottom w:w="0" w:type="dxa"/>
              <w:right w:w="108" w:type="dxa"/>
            </w:tcMar>
            <w:vAlign w:val="center"/>
          </w:tcPr>
          <w:p w:rsidR="00DC685E" w:rsidRPr="008B53A9" w:rsidRDefault="00086437" w:rsidP="00D51BBA">
            <w:pPr>
              <w:pStyle w:val="Tabulka"/>
              <w:rPr>
                <w:rFonts w:cs="Calibri"/>
                <w:lang w:val="cs-CZ" w:eastAsia="cs-CZ"/>
              </w:rPr>
            </w:pPr>
            <w:r w:rsidRPr="008B53A9">
              <w:rPr>
                <w:rFonts w:cs="Calibri"/>
                <w:lang w:val="cs-CZ" w:eastAsia="cs-CZ"/>
              </w:rPr>
              <w:t>892 130 143</w:t>
            </w:r>
          </w:p>
        </w:tc>
      </w:tr>
      <w:tr w:rsidR="00DC685E" w:rsidRPr="008B53A9">
        <w:trPr>
          <w:trHeight w:val="462"/>
        </w:trPr>
        <w:tc>
          <w:tcPr>
            <w:tcW w:w="581" w:type="pct"/>
            <w:vMerge/>
            <w:shd w:val="clear" w:color="auto" w:fill="auto"/>
            <w:vAlign w:val="center"/>
          </w:tcPr>
          <w:p w:rsidR="00DC685E" w:rsidRPr="008B53A9" w:rsidRDefault="00DC685E" w:rsidP="0062043C">
            <w:pPr>
              <w:pStyle w:val="Tabulka"/>
              <w:jc w:val="left"/>
              <w:rPr>
                <w:rFonts w:cs="Calibri"/>
                <w:lang w:val="cs-CZ" w:eastAsia="cs-CZ"/>
              </w:rPr>
            </w:pPr>
          </w:p>
        </w:tc>
        <w:tc>
          <w:tcPr>
            <w:tcW w:w="371" w:type="pct"/>
            <w:vMerge/>
            <w:vAlign w:val="center"/>
          </w:tcPr>
          <w:p w:rsidR="00DC685E" w:rsidRPr="008B53A9" w:rsidRDefault="00DC685E" w:rsidP="00D51BBA">
            <w:pPr>
              <w:pStyle w:val="Tabulka"/>
              <w:rPr>
                <w:rFonts w:cs="Calibri"/>
                <w:lang w:val="cs-CZ" w:eastAsia="cs-CZ"/>
              </w:rPr>
            </w:pPr>
          </w:p>
        </w:tc>
        <w:tc>
          <w:tcPr>
            <w:tcW w:w="591" w:type="pct"/>
            <w:vMerge/>
            <w:vAlign w:val="center"/>
          </w:tcPr>
          <w:p w:rsidR="00DC685E" w:rsidRPr="008B53A9" w:rsidRDefault="00DC685E" w:rsidP="00F42269">
            <w:pPr>
              <w:pStyle w:val="Tabulka"/>
              <w:rPr>
                <w:rFonts w:cs="Calibri"/>
                <w:lang w:val="cs-CZ" w:eastAsia="cs-CZ"/>
              </w:rPr>
            </w:pPr>
          </w:p>
        </w:tc>
        <w:tc>
          <w:tcPr>
            <w:tcW w:w="1295"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Počet podniků pobírajících podporu</w:t>
            </w:r>
          </w:p>
        </w:tc>
        <w:tc>
          <w:tcPr>
            <w:tcW w:w="828"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Podniky</w:t>
            </w:r>
          </w:p>
        </w:tc>
        <w:tc>
          <w:tcPr>
            <w:tcW w:w="667"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1 500</w:t>
            </w:r>
          </w:p>
        </w:tc>
        <w:tc>
          <w:tcPr>
            <w:tcW w:w="668"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14 820</w:t>
            </w:r>
          </w:p>
        </w:tc>
      </w:tr>
      <w:tr w:rsidR="00DC685E" w:rsidRPr="008B53A9">
        <w:trPr>
          <w:trHeight w:val="485"/>
        </w:trPr>
        <w:tc>
          <w:tcPr>
            <w:tcW w:w="581" w:type="pct"/>
            <w:vMerge w:val="restart"/>
            <w:shd w:val="clear" w:color="auto" w:fill="auto"/>
            <w:vAlign w:val="center"/>
          </w:tcPr>
          <w:p w:rsidR="00DC685E" w:rsidRPr="008B53A9" w:rsidRDefault="00DC685E" w:rsidP="0062043C">
            <w:pPr>
              <w:pStyle w:val="Tabulka"/>
              <w:jc w:val="left"/>
              <w:rPr>
                <w:rFonts w:cs="Calibri"/>
                <w:lang w:val="cs-CZ" w:eastAsia="cs-CZ"/>
              </w:rPr>
            </w:pPr>
            <w:r w:rsidRPr="008B53A9">
              <w:rPr>
                <w:rFonts w:cs="Calibri"/>
                <w:lang w:val="cs-CZ" w:eastAsia="cs-CZ"/>
              </w:rPr>
              <w:t>Prioritní osa 3</w:t>
            </w:r>
          </w:p>
        </w:tc>
        <w:tc>
          <w:tcPr>
            <w:tcW w:w="371" w:type="pct"/>
            <w:vMerge w:val="restart"/>
            <w:vAlign w:val="center"/>
          </w:tcPr>
          <w:p w:rsidR="00DC685E" w:rsidRPr="008B53A9" w:rsidRDefault="00DC685E" w:rsidP="00D51BBA">
            <w:pPr>
              <w:pStyle w:val="Tabulka"/>
              <w:rPr>
                <w:rFonts w:cs="Calibri"/>
                <w:lang w:val="cs-CZ" w:eastAsia="cs-CZ"/>
              </w:rPr>
            </w:pPr>
            <w:r w:rsidRPr="008B53A9">
              <w:rPr>
                <w:rFonts w:cs="Calibri"/>
                <w:lang w:val="cs-CZ" w:eastAsia="cs-CZ"/>
              </w:rPr>
              <w:t>EFRR</w:t>
            </w:r>
          </w:p>
        </w:tc>
        <w:tc>
          <w:tcPr>
            <w:tcW w:w="591" w:type="pct"/>
            <w:vMerge w:val="restart"/>
            <w:vAlign w:val="center"/>
          </w:tcPr>
          <w:p w:rsidR="00DC685E" w:rsidRPr="008B53A9" w:rsidRDefault="00DC685E" w:rsidP="00F42269">
            <w:pPr>
              <w:pStyle w:val="Tabulka"/>
              <w:rPr>
                <w:rFonts w:cs="Calibri"/>
                <w:lang w:val="cs-CZ" w:eastAsia="cs-CZ"/>
              </w:rPr>
            </w:pPr>
            <w:r w:rsidRPr="008B53A9">
              <w:rPr>
                <w:rFonts w:cs="Calibri"/>
                <w:lang w:val="cs-CZ" w:eastAsia="cs-CZ"/>
              </w:rPr>
              <w:t>Méně rozvinuté regiony</w:t>
            </w:r>
          </w:p>
        </w:tc>
        <w:tc>
          <w:tcPr>
            <w:tcW w:w="1295"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Certifikované finanční prostředky</w:t>
            </w:r>
          </w:p>
        </w:tc>
        <w:tc>
          <w:tcPr>
            <w:tcW w:w="828"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EUR</w:t>
            </w:r>
          </w:p>
        </w:tc>
        <w:tc>
          <w:tcPr>
            <w:tcW w:w="667"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200 000 000</w:t>
            </w:r>
          </w:p>
        </w:tc>
        <w:tc>
          <w:tcPr>
            <w:tcW w:w="668" w:type="pct"/>
            <w:shd w:val="clear" w:color="auto" w:fill="auto"/>
            <w:tcMar>
              <w:top w:w="0" w:type="dxa"/>
              <w:left w:w="108" w:type="dxa"/>
              <w:bottom w:w="0" w:type="dxa"/>
              <w:right w:w="108" w:type="dxa"/>
            </w:tcMar>
            <w:vAlign w:val="center"/>
          </w:tcPr>
          <w:p w:rsidR="00DC685E" w:rsidRPr="008B53A9" w:rsidRDefault="00086437" w:rsidP="00D51BBA">
            <w:pPr>
              <w:pStyle w:val="Tabulka"/>
              <w:rPr>
                <w:rFonts w:cs="Calibri"/>
                <w:lang w:val="cs-CZ" w:eastAsia="cs-CZ"/>
              </w:rPr>
            </w:pPr>
            <w:r w:rsidRPr="008B53A9">
              <w:rPr>
                <w:rFonts w:cs="Calibri"/>
                <w:lang w:val="cs-CZ" w:eastAsia="cs-CZ"/>
              </w:rPr>
              <w:t>1 217 129 658</w:t>
            </w:r>
          </w:p>
        </w:tc>
      </w:tr>
      <w:tr w:rsidR="00DC685E" w:rsidRPr="008B53A9">
        <w:trPr>
          <w:trHeight w:val="446"/>
        </w:trPr>
        <w:tc>
          <w:tcPr>
            <w:tcW w:w="581" w:type="pct"/>
            <w:vMerge/>
            <w:shd w:val="clear" w:color="auto" w:fill="auto"/>
            <w:vAlign w:val="center"/>
          </w:tcPr>
          <w:p w:rsidR="00DC685E" w:rsidRPr="008B53A9" w:rsidRDefault="00DC685E" w:rsidP="0062043C">
            <w:pPr>
              <w:pStyle w:val="Tabulka"/>
              <w:jc w:val="left"/>
              <w:rPr>
                <w:rFonts w:cs="Calibri"/>
                <w:lang w:val="cs-CZ" w:eastAsia="cs-CZ"/>
              </w:rPr>
            </w:pPr>
          </w:p>
        </w:tc>
        <w:tc>
          <w:tcPr>
            <w:tcW w:w="371" w:type="pct"/>
            <w:vMerge/>
            <w:vAlign w:val="center"/>
          </w:tcPr>
          <w:p w:rsidR="00DC685E" w:rsidRPr="008B53A9" w:rsidRDefault="00DC685E" w:rsidP="00D51BBA">
            <w:pPr>
              <w:pStyle w:val="Tabulka"/>
              <w:rPr>
                <w:rFonts w:cs="Calibri"/>
                <w:lang w:val="cs-CZ" w:eastAsia="cs-CZ"/>
              </w:rPr>
            </w:pPr>
          </w:p>
        </w:tc>
        <w:tc>
          <w:tcPr>
            <w:tcW w:w="591" w:type="pct"/>
            <w:vMerge/>
            <w:vAlign w:val="center"/>
          </w:tcPr>
          <w:p w:rsidR="00DC685E" w:rsidRPr="008B53A9" w:rsidRDefault="00DC685E" w:rsidP="00F42269">
            <w:pPr>
              <w:pStyle w:val="Tabulka"/>
              <w:rPr>
                <w:rFonts w:cs="Calibri"/>
                <w:lang w:val="cs-CZ" w:eastAsia="cs-CZ"/>
              </w:rPr>
            </w:pPr>
          </w:p>
        </w:tc>
        <w:tc>
          <w:tcPr>
            <w:tcW w:w="1295"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Počet podniků pobírajících podporu</w:t>
            </w:r>
          </w:p>
        </w:tc>
        <w:tc>
          <w:tcPr>
            <w:tcW w:w="828"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Podniky</w:t>
            </w:r>
          </w:p>
        </w:tc>
        <w:tc>
          <w:tcPr>
            <w:tcW w:w="667" w:type="pct"/>
            <w:shd w:val="clear" w:color="auto" w:fill="auto"/>
            <w:tcMar>
              <w:top w:w="0" w:type="dxa"/>
              <w:left w:w="108" w:type="dxa"/>
              <w:bottom w:w="0" w:type="dxa"/>
              <w:right w:w="108" w:type="dxa"/>
            </w:tcMar>
            <w:vAlign w:val="center"/>
          </w:tcPr>
          <w:p w:rsidR="00DC685E" w:rsidRPr="008B53A9" w:rsidRDefault="00086437" w:rsidP="00D51BBA">
            <w:pPr>
              <w:pStyle w:val="Tabulka"/>
              <w:rPr>
                <w:rFonts w:cs="Calibri"/>
                <w:lang w:val="cs-CZ" w:eastAsia="cs-CZ"/>
              </w:rPr>
            </w:pPr>
            <w:r w:rsidRPr="008B53A9">
              <w:rPr>
                <w:rFonts w:cs="Calibri"/>
                <w:lang w:val="cs-CZ" w:eastAsia="cs-CZ"/>
              </w:rPr>
              <w:t>350</w:t>
            </w:r>
          </w:p>
        </w:tc>
        <w:tc>
          <w:tcPr>
            <w:tcW w:w="668" w:type="pct"/>
            <w:shd w:val="clear" w:color="auto" w:fill="auto"/>
            <w:tcMar>
              <w:top w:w="0" w:type="dxa"/>
              <w:left w:w="108" w:type="dxa"/>
              <w:bottom w:w="0" w:type="dxa"/>
              <w:right w:w="108" w:type="dxa"/>
            </w:tcMar>
            <w:vAlign w:val="center"/>
          </w:tcPr>
          <w:p w:rsidR="00DC685E" w:rsidRPr="008B53A9" w:rsidRDefault="00086437" w:rsidP="00D51BBA">
            <w:pPr>
              <w:pStyle w:val="Tabulka"/>
              <w:rPr>
                <w:rFonts w:cs="Calibri"/>
                <w:lang w:val="cs-CZ" w:eastAsia="cs-CZ"/>
              </w:rPr>
            </w:pPr>
            <w:r w:rsidRPr="008B53A9">
              <w:rPr>
                <w:rFonts w:cs="Calibri"/>
                <w:lang w:val="cs-CZ" w:eastAsia="cs-CZ"/>
              </w:rPr>
              <w:t>4 091</w:t>
            </w:r>
          </w:p>
        </w:tc>
      </w:tr>
      <w:tr w:rsidR="00DC685E" w:rsidRPr="008B53A9">
        <w:trPr>
          <w:trHeight w:val="485"/>
        </w:trPr>
        <w:tc>
          <w:tcPr>
            <w:tcW w:w="581" w:type="pct"/>
            <w:vMerge w:val="restart"/>
            <w:shd w:val="clear" w:color="auto" w:fill="auto"/>
            <w:vAlign w:val="center"/>
          </w:tcPr>
          <w:p w:rsidR="00DC685E" w:rsidRPr="008B53A9" w:rsidRDefault="00DC685E" w:rsidP="0062043C">
            <w:pPr>
              <w:pStyle w:val="Tabulka"/>
              <w:jc w:val="left"/>
              <w:rPr>
                <w:rFonts w:cs="Calibri"/>
                <w:lang w:val="cs-CZ" w:eastAsia="cs-CZ"/>
              </w:rPr>
            </w:pPr>
            <w:r w:rsidRPr="008B53A9">
              <w:rPr>
                <w:rFonts w:cs="Calibri"/>
                <w:lang w:val="cs-CZ" w:eastAsia="cs-CZ"/>
              </w:rPr>
              <w:t>Prioritní osa 4</w:t>
            </w:r>
          </w:p>
        </w:tc>
        <w:tc>
          <w:tcPr>
            <w:tcW w:w="371" w:type="pct"/>
            <w:vMerge w:val="restart"/>
            <w:vAlign w:val="center"/>
          </w:tcPr>
          <w:p w:rsidR="00DC685E" w:rsidRPr="008B53A9" w:rsidRDefault="00DC685E" w:rsidP="00D51BBA">
            <w:pPr>
              <w:pStyle w:val="Tabulka"/>
              <w:rPr>
                <w:rFonts w:cs="Calibri"/>
                <w:lang w:val="cs-CZ" w:eastAsia="cs-CZ"/>
              </w:rPr>
            </w:pPr>
            <w:r w:rsidRPr="008B53A9">
              <w:rPr>
                <w:rFonts w:cs="Calibri"/>
                <w:lang w:val="cs-CZ" w:eastAsia="cs-CZ"/>
              </w:rPr>
              <w:t>EFRR</w:t>
            </w:r>
          </w:p>
        </w:tc>
        <w:tc>
          <w:tcPr>
            <w:tcW w:w="591" w:type="pct"/>
            <w:vMerge w:val="restart"/>
            <w:vAlign w:val="center"/>
          </w:tcPr>
          <w:p w:rsidR="00DC685E" w:rsidRPr="008B53A9" w:rsidRDefault="00DC685E" w:rsidP="00F42269">
            <w:pPr>
              <w:pStyle w:val="Tabulka"/>
              <w:rPr>
                <w:rFonts w:cs="Calibri"/>
                <w:lang w:val="cs-CZ" w:eastAsia="cs-CZ"/>
              </w:rPr>
            </w:pPr>
            <w:r w:rsidRPr="008B53A9">
              <w:rPr>
                <w:rFonts w:cs="Calibri"/>
                <w:lang w:val="cs-CZ" w:eastAsia="cs-CZ"/>
              </w:rPr>
              <w:t>Méně rozvinuté regiony</w:t>
            </w:r>
          </w:p>
        </w:tc>
        <w:tc>
          <w:tcPr>
            <w:tcW w:w="1295"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Certifikované finanční prostředky</w:t>
            </w:r>
          </w:p>
        </w:tc>
        <w:tc>
          <w:tcPr>
            <w:tcW w:w="828"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EUR</w:t>
            </w:r>
          </w:p>
        </w:tc>
        <w:tc>
          <w:tcPr>
            <w:tcW w:w="667"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166 000 000</w:t>
            </w:r>
          </w:p>
        </w:tc>
        <w:tc>
          <w:tcPr>
            <w:tcW w:w="668" w:type="pct"/>
            <w:shd w:val="clear" w:color="auto" w:fill="auto"/>
            <w:tcMar>
              <w:top w:w="0" w:type="dxa"/>
              <w:left w:w="108" w:type="dxa"/>
              <w:bottom w:w="0" w:type="dxa"/>
              <w:right w:w="108" w:type="dxa"/>
            </w:tcMar>
            <w:vAlign w:val="center"/>
          </w:tcPr>
          <w:p w:rsidR="00DC685E" w:rsidRPr="008B53A9" w:rsidRDefault="0047160E" w:rsidP="00D51BBA">
            <w:pPr>
              <w:pStyle w:val="Tabulka"/>
              <w:rPr>
                <w:rFonts w:cs="Calibri"/>
                <w:lang w:val="cs-CZ" w:eastAsia="cs-CZ"/>
              </w:rPr>
            </w:pPr>
            <w:r w:rsidRPr="008B53A9">
              <w:rPr>
                <w:rFonts w:cs="Calibri"/>
                <w:lang w:val="cs-CZ" w:eastAsia="cs-CZ"/>
              </w:rPr>
              <w:t>743 657 589</w:t>
            </w:r>
          </w:p>
        </w:tc>
      </w:tr>
      <w:tr w:rsidR="00DC685E" w:rsidRPr="008B53A9">
        <w:trPr>
          <w:trHeight w:val="446"/>
        </w:trPr>
        <w:tc>
          <w:tcPr>
            <w:tcW w:w="581" w:type="pct"/>
            <w:vMerge/>
            <w:shd w:val="clear" w:color="auto" w:fill="auto"/>
            <w:vAlign w:val="center"/>
          </w:tcPr>
          <w:p w:rsidR="00DC685E" w:rsidRPr="008B53A9" w:rsidRDefault="00DC685E" w:rsidP="0062043C">
            <w:pPr>
              <w:pStyle w:val="Tabulka"/>
              <w:jc w:val="left"/>
              <w:rPr>
                <w:rFonts w:cs="Calibri"/>
                <w:lang w:val="cs-CZ" w:eastAsia="cs-CZ"/>
              </w:rPr>
            </w:pPr>
          </w:p>
        </w:tc>
        <w:tc>
          <w:tcPr>
            <w:tcW w:w="371" w:type="pct"/>
            <w:vMerge/>
            <w:vAlign w:val="center"/>
          </w:tcPr>
          <w:p w:rsidR="00DC685E" w:rsidRPr="008B53A9" w:rsidRDefault="00DC685E" w:rsidP="00D51BBA">
            <w:pPr>
              <w:pStyle w:val="Tabulka"/>
              <w:rPr>
                <w:rFonts w:cs="Calibri"/>
                <w:lang w:val="cs-CZ" w:eastAsia="cs-CZ"/>
              </w:rPr>
            </w:pPr>
          </w:p>
        </w:tc>
        <w:tc>
          <w:tcPr>
            <w:tcW w:w="591" w:type="pct"/>
            <w:vMerge/>
          </w:tcPr>
          <w:p w:rsidR="00DC685E" w:rsidRPr="008B53A9" w:rsidRDefault="00DC685E" w:rsidP="0062043C">
            <w:pPr>
              <w:pStyle w:val="Tabulka"/>
              <w:rPr>
                <w:rFonts w:cs="Calibri"/>
                <w:lang w:val="cs-CZ" w:eastAsia="cs-CZ"/>
              </w:rPr>
            </w:pPr>
          </w:p>
        </w:tc>
        <w:tc>
          <w:tcPr>
            <w:tcW w:w="1295"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Počet podniků pobírajících podporu</w:t>
            </w:r>
          </w:p>
        </w:tc>
        <w:tc>
          <w:tcPr>
            <w:tcW w:w="828" w:type="pct"/>
            <w:shd w:val="clear" w:color="auto" w:fill="auto"/>
            <w:tcMar>
              <w:top w:w="0" w:type="dxa"/>
              <w:left w:w="108" w:type="dxa"/>
              <w:bottom w:w="0" w:type="dxa"/>
              <w:right w:w="108" w:type="dxa"/>
            </w:tcMar>
            <w:vAlign w:val="center"/>
          </w:tcPr>
          <w:p w:rsidR="00DC685E" w:rsidRPr="008B53A9" w:rsidRDefault="00DC685E" w:rsidP="00501DC8">
            <w:pPr>
              <w:pStyle w:val="Tabulka"/>
              <w:rPr>
                <w:rFonts w:cs="Calibri"/>
                <w:lang w:val="cs-CZ" w:eastAsia="cs-CZ"/>
              </w:rPr>
            </w:pPr>
            <w:r w:rsidRPr="008B53A9">
              <w:rPr>
                <w:rFonts w:cs="Calibri"/>
                <w:lang w:val="cs-CZ" w:eastAsia="cs-CZ"/>
              </w:rPr>
              <w:t>Podniky</w:t>
            </w:r>
          </w:p>
        </w:tc>
        <w:tc>
          <w:tcPr>
            <w:tcW w:w="667"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250</w:t>
            </w:r>
          </w:p>
        </w:tc>
        <w:tc>
          <w:tcPr>
            <w:tcW w:w="668" w:type="pct"/>
            <w:shd w:val="clear" w:color="auto" w:fill="auto"/>
            <w:tcMar>
              <w:top w:w="0" w:type="dxa"/>
              <w:left w:w="108" w:type="dxa"/>
              <w:bottom w:w="0" w:type="dxa"/>
              <w:right w:w="108" w:type="dxa"/>
            </w:tcMar>
            <w:vAlign w:val="center"/>
          </w:tcPr>
          <w:p w:rsidR="00DC685E" w:rsidRPr="008B53A9" w:rsidRDefault="00DC685E" w:rsidP="00D51BBA">
            <w:pPr>
              <w:pStyle w:val="Tabulka"/>
              <w:rPr>
                <w:rFonts w:cs="Calibri"/>
                <w:lang w:val="cs-CZ" w:eastAsia="cs-CZ"/>
              </w:rPr>
            </w:pPr>
            <w:r w:rsidRPr="008B53A9">
              <w:rPr>
                <w:rFonts w:cs="Calibri"/>
                <w:lang w:val="cs-CZ" w:eastAsia="cs-CZ"/>
              </w:rPr>
              <w:t>700</w:t>
            </w:r>
            <w:r w:rsidRPr="008B53A9">
              <w:rPr>
                <w:rStyle w:val="Znakapoznpodarou"/>
                <w:rFonts w:cs="Calibri"/>
                <w:lang w:val="cs-CZ" w:eastAsia="cs-CZ"/>
              </w:rPr>
              <w:footnoteReference w:id="115"/>
            </w:r>
          </w:p>
        </w:tc>
      </w:tr>
    </w:tbl>
    <w:p w:rsidR="00400DD1" w:rsidRPr="008B53A9" w:rsidRDefault="00E134D0" w:rsidP="004126CC">
      <w:pPr>
        <w:pStyle w:val="Nadpis2"/>
        <w:keepLines/>
        <w:rPr>
          <w:rFonts w:cs="Calibri"/>
        </w:rPr>
      </w:pPr>
      <w:bookmarkStart w:id="147" w:name="_Toc351464450"/>
      <w:bookmarkStart w:id="148" w:name="_Toc391539703"/>
      <w:r w:rsidRPr="008B53A9">
        <w:rPr>
          <w:rFonts w:cs="Calibri"/>
        </w:rPr>
        <w:t>Seznam příslušných partnerů zapojených do přípravy operačního programu</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5"/>
        <w:gridCol w:w="5063"/>
      </w:tblGrid>
      <w:tr w:rsidR="00400DD1" w:rsidRPr="008B53A9">
        <w:trPr>
          <w:trHeight w:val="413"/>
        </w:trPr>
        <w:tc>
          <w:tcPr>
            <w:tcW w:w="5000" w:type="pct"/>
            <w:gridSpan w:val="2"/>
            <w:shd w:val="clear" w:color="auto" w:fill="B8CCE4"/>
            <w:vAlign w:val="center"/>
          </w:tcPr>
          <w:p w:rsidR="00400DD1" w:rsidRPr="008B53A9" w:rsidRDefault="00400DD1" w:rsidP="004126CC">
            <w:pPr>
              <w:pStyle w:val="Tabulka"/>
              <w:keepNext/>
              <w:keepLines/>
              <w:rPr>
                <w:rFonts w:cs="Calibri"/>
                <w:b/>
                <w:color w:val="4F81BD"/>
                <w:lang w:val="cs-CZ" w:eastAsia="cs-CZ"/>
              </w:rPr>
            </w:pPr>
            <w:r w:rsidRPr="008B53A9">
              <w:rPr>
                <w:rFonts w:cs="Calibri"/>
                <w:b/>
                <w:lang w:val="cs-CZ" w:eastAsia="cs-CZ"/>
              </w:rPr>
              <w:t>Platforma MPO pro přípravu OP Podnikání a inovace pro konkurenceschopnost</w:t>
            </w:r>
          </w:p>
        </w:tc>
      </w:tr>
      <w:tr w:rsidR="00400DD1" w:rsidRPr="008B53A9">
        <w:trPr>
          <w:trHeight w:val="397"/>
        </w:trPr>
        <w:tc>
          <w:tcPr>
            <w:tcW w:w="2395" w:type="pct"/>
            <w:shd w:val="clear" w:color="auto" w:fill="auto"/>
            <w:vAlign w:val="center"/>
          </w:tcPr>
          <w:p w:rsidR="00400DD1" w:rsidRPr="008B53A9" w:rsidRDefault="00400DD1" w:rsidP="004126CC">
            <w:pPr>
              <w:pStyle w:val="Tabulka"/>
              <w:keepNext/>
              <w:keepLines/>
              <w:jc w:val="left"/>
              <w:rPr>
                <w:rFonts w:cs="Calibri"/>
                <w:lang w:val="cs-CZ" w:eastAsia="cs-CZ"/>
              </w:rPr>
            </w:pPr>
            <w:r w:rsidRPr="008B53A9">
              <w:rPr>
                <w:rFonts w:cs="Calibri"/>
                <w:lang w:val="cs-CZ" w:eastAsia="cs-CZ"/>
              </w:rPr>
              <w:t>M</w:t>
            </w:r>
            <w:r w:rsidR="000E47D9" w:rsidRPr="008B53A9">
              <w:rPr>
                <w:rFonts w:cs="Calibri"/>
                <w:lang w:val="cs-CZ" w:eastAsia="cs-CZ"/>
              </w:rPr>
              <w:t>inisterstvo pro místní rozvo</w:t>
            </w:r>
            <w:r w:rsidR="00D51BBA" w:rsidRPr="008B53A9">
              <w:rPr>
                <w:rFonts w:cs="Calibri"/>
                <w:lang w:val="cs-CZ" w:eastAsia="cs-CZ"/>
              </w:rPr>
              <w:t>j</w:t>
            </w:r>
          </w:p>
        </w:tc>
        <w:tc>
          <w:tcPr>
            <w:tcW w:w="2605" w:type="pct"/>
            <w:shd w:val="clear" w:color="auto" w:fill="auto"/>
            <w:vAlign w:val="center"/>
          </w:tcPr>
          <w:p w:rsidR="00400DD1" w:rsidRPr="008B53A9" w:rsidRDefault="008B53A9" w:rsidP="004126CC">
            <w:pPr>
              <w:pStyle w:val="Tabulka"/>
              <w:keepNext/>
              <w:keepLines/>
              <w:jc w:val="left"/>
              <w:rPr>
                <w:rFonts w:cs="Calibri"/>
                <w:lang w:val="cs-CZ" w:eastAsia="cs-CZ"/>
              </w:rPr>
            </w:pPr>
            <w:hyperlink r:id="rId130" w:history="1">
              <w:r w:rsidR="00400DD1" w:rsidRPr="008B53A9">
                <w:rPr>
                  <w:rStyle w:val="Hypertextovodkaz"/>
                  <w:rFonts w:cs="Calibri"/>
                  <w:bCs/>
                  <w:lang w:val="cs-CZ" w:eastAsia="cs-CZ"/>
                </w:rPr>
                <w:t>http://www.mmr.cz/cs/Uvodni-strana</w:t>
              </w:r>
            </w:hyperlink>
          </w:p>
        </w:tc>
      </w:tr>
      <w:tr w:rsidR="00400DD1" w:rsidRPr="008B53A9">
        <w:trPr>
          <w:trHeight w:val="413"/>
        </w:trPr>
        <w:tc>
          <w:tcPr>
            <w:tcW w:w="2395" w:type="pct"/>
            <w:shd w:val="clear" w:color="auto" w:fill="auto"/>
            <w:vAlign w:val="center"/>
          </w:tcPr>
          <w:p w:rsidR="00400DD1" w:rsidRPr="008B53A9" w:rsidRDefault="000E47D9" w:rsidP="00F23CDB">
            <w:pPr>
              <w:pStyle w:val="Tabulka"/>
              <w:jc w:val="left"/>
              <w:rPr>
                <w:rFonts w:cs="Calibri"/>
                <w:lang w:val="cs-CZ" w:eastAsia="cs-CZ"/>
              </w:rPr>
            </w:pPr>
            <w:r w:rsidRPr="008B53A9">
              <w:rPr>
                <w:rFonts w:cs="Calibri"/>
                <w:lang w:val="cs-CZ" w:eastAsia="cs-CZ"/>
              </w:rPr>
              <w:t>Ministerstvo financí</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31" w:history="1">
              <w:r w:rsidR="00400DD1" w:rsidRPr="008B53A9">
                <w:rPr>
                  <w:rStyle w:val="Hypertextovodkaz"/>
                  <w:rFonts w:cs="Calibri"/>
                  <w:bCs/>
                  <w:lang w:val="cs-CZ" w:eastAsia="cs-CZ"/>
                </w:rPr>
                <w:t>http://www.mfcr.cz/cps/rde/xchg/</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lastRenderedPageBreak/>
              <w:t>Ministerstvo životního p</w:t>
            </w:r>
            <w:r w:rsidR="000E47D9" w:rsidRPr="008B53A9">
              <w:rPr>
                <w:rFonts w:cs="Calibri"/>
                <w:lang w:val="cs-CZ" w:eastAsia="cs-CZ"/>
              </w:rPr>
              <w:t>rostředí</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32" w:history="1">
              <w:r w:rsidR="00400DD1" w:rsidRPr="008B53A9">
                <w:rPr>
                  <w:rStyle w:val="Hypertextovodkaz"/>
                  <w:rFonts w:cs="Calibri"/>
                  <w:bCs/>
                  <w:lang w:val="cs-CZ" w:eastAsia="cs-CZ"/>
                </w:rPr>
                <w:t>http://mzp.cz/</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Ministe</w:t>
            </w:r>
            <w:r w:rsidR="000E47D9" w:rsidRPr="008B53A9">
              <w:rPr>
                <w:rFonts w:cs="Calibri"/>
                <w:lang w:val="cs-CZ" w:eastAsia="cs-CZ"/>
              </w:rPr>
              <w:t>rstvo práce a sociálních věcí</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33" w:history="1">
              <w:r w:rsidR="00400DD1" w:rsidRPr="008B53A9">
                <w:rPr>
                  <w:rStyle w:val="Hypertextovodkaz"/>
                  <w:rFonts w:cs="Calibri"/>
                  <w:bCs/>
                  <w:lang w:val="cs-CZ" w:eastAsia="cs-CZ"/>
                </w:rPr>
                <w:t>http://www.mpsv.cz/cs/</w:t>
              </w:r>
            </w:hyperlink>
            <w:r w:rsidR="00400DD1" w:rsidRPr="008B53A9">
              <w:rPr>
                <w:rFonts w:cs="Calibri"/>
                <w:lang w:val="cs-CZ" w:eastAsia="cs-CZ"/>
              </w:rPr>
              <w:t xml:space="preserve"> </w:t>
            </w:r>
          </w:p>
        </w:tc>
      </w:tr>
      <w:tr w:rsidR="00400DD1" w:rsidRPr="008B53A9">
        <w:trPr>
          <w:trHeight w:val="699"/>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Ministerstvo šk</w:t>
            </w:r>
            <w:r w:rsidR="000E47D9" w:rsidRPr="008B53A9">
              <w:rPr>
                <w:rFonts w:cs="Calibri"/>
                <w:lang w:val="cs-CZ" w:eastAsia="cs-CZ"/>
              </w:rPr>
              <w:t>olství, mládeže a tělovýchovy</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34" w:history="1">
              <w:r w:rsidR="00400DD1" w:rsidRPr="008B53A9">
                <w:rPr>
                  <w:rStyle w:val="Hypertextovodkaz"/>
                  <w:rFonts w:cs="Calibri"/>
                  <w:bCs/>
                  <w:lang w:val="cs-CZ" w:eastAsia="cs-CZ"/>
                </w:rPr>
                <w:t>http://www.msmt.cz/</w:t>
              </w:r>
            </w:hyperlink>
            <w:r w:rsidR="00400DD1" w:rsidRPr="008B53A9">
              <w:rPr>
                <w:rFonts w:cs="Calibri"/>
                <w:lang w:val="cs-CZ" w:eastAsia="cs-CZ"/>
              </w:rPr>
              <w:t xml:space="preserve"> </w:t>
            </w:r>
          </w:p>
        </w:tc>
      </w:tr>
      <w:tr w:rsidR="00400DD1" w:rsidRPr="008B53A9">
        <w:trPr>
          <w:trHeight w:val="699"/>
        </w:trPr>
        <w:tc>
          <w:tcPr>
            <w:tcW w:w="2395" w:type="pct"/>
            <w:shd w:val="clear" w:color="auto" w:fill="auto"/>
            <w:vAlign w:val="center"/>
          </w:tcPr>
          <w:p w:rsidR="00400DD1" w:rsidRPr="008B53A9" w:rsidRDefault="000E47D9" w:rsidP="00F23CDB">
            <w:pPr>
              <w:pStyle w:val="Tabulka"/>
              <w:jc w:val="left"/>
              <w:rPr>
                <w:rFonts w:cs="Calibri"/>
                <w:lang w:val="cs-CZ" w:eastAsia="cs-CZ"/>
              </w:rPr>
            </w:pPr>
            <w:r w:rsidRPr="008B53A9">
              <w:rPr>
                <w:rFonts w:cs="Calibri"/>
                <w:lang w:val="cs-CZ" w:eastAsia="cs-CZ"/>
              </w:rPr>
              <w:t>Ministerstvo zemědělství</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35" w:history="1">
              <w:r w:rsidR="00400DD1" w:rsidRPr="008B53A9">
                <w:rPr>
                  <w:rStyle w:val="Hypertextovodkaz"/>
                  <w:rFonts w:cs="Calibri"/>
                  <w:bCs/>
                  <w:lang w:val="cs-CZ" w:eastAsia="cs-CZ"/>
                </w:rPr>
                <w:t>http://eagri.cz/public/web/mze/ministerstvo-zemedelstvi/</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0E47D9" w:rsidP="00F23CDB">
            <w:pPr>
              <w:pStyle w:val="Tabulka"/>
              <w:jc w:val="left"/>
              <w:rPr>
                <w:rFonts w:cs="Calibri"/>
                <w:lang w:val="cs-CZ" w:eastAsia="cs-CZ"/>
              </w:rPr>
            </w:pPr>
            <w:r w:rsidRPr="008B53A9">
              <w:rPr>
                <w:rFonts w:cs="Calibri"/>
                <w:lang w:val="cs-CZ" w:eastAsia="cs-CZ"/>
              </w:rPr>
              <w:t>Ministerstvo dopravy</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36" w:history="1">
              <w:r w:rsidR="00400DD1" w:rsidRPr="008B53A9">
                <w:rPr>
                  <w:rStyle w:val="Hypertextovodkaz"/>
                  <w:rFonts w:cs="Calibri"/>
                  <w:bCs/>
                  <w:lang w:val="cs-CZ" w:eastAsia="cs-CZ"/>
                </w:rPr>
                <w:t>http://www.mdcr.cz/cs/default.htm</w:t>
              </w:r>
            </w:hyperlink>
            <w:r w:rsidR="00400DD1" w:rsidRPr="008B53A9">
              <w:rPr>
                <w:rFonts w:cs="Calibri"/>
                <w:lang w:val="cs-CZ" w:eastAsia="cs-CZ"/>
              </w:rPr>
              <w:t xml:space="preserve"> </w:t>
            </w:r>
          </w:p>
        </w:tc>
      </w:tr>
      <w:tr w:rsidR="00400DD1" w:rsidRPr="008B53A9">
        <w:trPr>
          <w:trHeight w:val="397"/>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 xml:space="preserve">Agentura CzechInvest </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37" w:history="1">
              <w:r w:rsidR="00400DD1" w:rsidRPr="008B53A9">
                <w:rPr>
                  <w:rStyle w:val="Hypertextovodkaz"/>
                  <w:rFonts w:cs="Calibri"/>
                  <w:bCs/>
                  <w:lang w:val="cs-CZ" w:eastAsia="cs-CZ"/>
                </w:rPr>
                <w:t>http://czechinvest.org/</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0E47D9" w:rsidP="00F23CDB">
            <w:pPr>
              <w:pStyle w:val="Tabulka"/>
              <w:jc w:val="left"/>
              <w:rPr>
                <w:rFonts w:cs="Calibri"/>
                <w:lang w:val="cs-CZ" w:eastAsia="cs-CZ"/>
              </w:rPr>
            </w:pPr>
            <w:r w:rsidRPr="008B53A9">
              <w:rPr>
                <w:rFonts w:cs="Calibri"/>
                <w:lang w:val="cs-CZ" w:eastAsia="cs-CZ"/>
              </w:rPr>
              <w:t>Hospodářská komora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38" w:history="1">
              <w:r w:rsidR="00400DD1" w:rsidRPr="008B53A9">
                <w:rPr>
                  <w:rStyle w:val="Hypertextovodkaz"/>
                  <w:rFonts w:cs="Calibri"/>
                  <w:bCs/>
                  <w:lang w:val="cs-CZ" w:eastAsia="cs-CZ"/>
                </w:rPr>
                <w:t>http://www.komora.cz/</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Potravinářská komora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39" w:history="1">
              <w:r w:rsidR="00400DD1" w:rsidRPr="008B53A9">
                <w:rPr>
                  <w:rStyle w:val="Hypertextovodkaz"/>
                  <w:rFonts w:cs="Calibri"/>
                  <w:bCs/>
                  <w:lang w:val="cs-CZ" w:eastAsia="cs-CZ"/>
                </w:rPr>
                <w:t>http://www.pkcr.cz/</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Technologická agentura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0" w:history="1">
              <w:r w:rsidR="00400DD1" w:rsidRPr="008B53A9">
                <w:rPr>
                  <w:rStyle w:val="Hypertextovodkaz"/>
                  <w:rFonts w:cs="Calibri"/>
                  <w:bCs/>
                  <w:lang w:val="cs-CZ" w:eastAsia="cs-CZ"/>
                </w:rPr>
                <w:t>http://tacr.cz/</w:t>
              </w:r>
            </w:hyperlink>
            <w:r w:rsidR="00400DD1" w:rsidRPr="008B53A9">
              <w:rPr>
                <w:rFonts w:cs="Calibri"/>
                <w:lang w:val="cs-CZ" w:eastAsia="cs-CZ"/>
              </w:rPr>
              <w:t xml:space="preserve"> </w:t>
            </w:r>
          </w:p>
        </w:tc>
      </w:tr>
      <w:tr w:rsidR="00400DD1" w:rsidRPr="008B53A9">
        <w:trPr>
          <w:trHeight w:val="397"/>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Českomoravská záruční a rozvojová banka</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1" w:history="1">
              <w:r w:rsidR="00400DD1" w:rsidRPr="008B53A9">
                <w:rPr>
                  <w:rStyle w:val="Hypertextovodkaz"/>
                  <w:rFonts w:cs="Calibri"/>
                  <w:bCs/>
                  <w:lang w:val="cs-CZ" w:eastAsia="cs-CZ"/>
                </w:rPr>
                <w:t>http://www.cmzrb.cz/</w:t>
              </w:r>
            </w:hyperlink>
            <w:r w:rsidR="00400DD1" w:rsidRPr="008B53A9">
              <w:rPr>
                <w:rFonts w:cs="Calibri"/>
                <w:lang w:val="cs-CZ" w:eastAsia="cs-CZ"/>
              </w:rPr>
              <w:t xml:space="preserve"> </w:t>
            </w:r>
          </w:p>
        </w:tc>
      </w:tr>
      <w:tr w:rsidR="00400DD1" w:rsidRPr="008B53A9">
        <w:trPr>
          <w:trHeight w:val="715"/>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 xml:space="preserve">Rada pro výzkum, vývoj a inovace </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2" w:history="1">
              <w:r w:rsidR="00400DD1" w:rsidRPr="008B53A9">
                <w:rPr>
                  <w:rStyle w:val="Hypertextovodkaz"/>
                  <w:rFonts w:cs="Calibri"/>
                  <w:bCs/>
                  <w:lang w:val="cs-CZ" w:eastAsia="cs-CZ"/>
                </w:rPr>
                <w:t>http://www.vyzkum.cz/FrontClanek.aspx?idsekce=496</w:t>
              </w:r>
            </w:hyperlink>
            <w:r w:rsidR="00400DD1" w:rsidRPr="008B53A9">
              <w:rPr>
                <w:rFonts w:cs="Calibri"/>
                <w:lang w:val="cs-CZ" w:eastAsia="cs-CZ"/>
              </w:rPr>
              <w:t xml:space="preserve"> </w:t>
            </w:r>
          </w:p>
        </w:tc>
      </w:tr>
      <w:tr w:rsidR="00400DD1" w:rsidRPr="008B53A9">
        <w:trPr>
          <w:trHeight w:val="397"/>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průmyslu a dopravy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3" w:history="1">
              <w:r w:rsidR="00400DD1" w:rsidRPr="008B53A9">
                <w:rPr>
                  <w:rStyle w:val="Hypertextovodkaz"/>
                  <w:rFonts w:cs="Calibri"/>
                  <w:bCs/>
                  <w:lang w:val="cs-CZ" w:eastAsia="cs-CZ"/>
                </w:rPr>
                <w:t>http://www.spcr.cz/</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obchodu a cestovního ruchu</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4" w:history="1">
              <w:r w:rsidR="00400DD1" w:rsidRPr="008B53A9">
                <w:rPr>
                  <w:rStyle w:val="Hypertextovodkaz"/>
                  <w:rFonts w:cs="Calibri"/>
                  <w:bCs/>
                  <w:lang w:val="cs-CZ" w:eastAsia="cs-CZ"/>
                </w:rPr>
                <w:t>http://www.socr.cz/</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podnikatelů ve stavebnictví</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5" w:history="1">
              <w:r w:rsidR="00400DD1" w:rsidRPr="008B53A9">
                <w:rPr>
                  <w:rStyle w:val="Hypertextovodkaz"/>
                  <w:rFonts w:cs="Calibri"/>
                  <w:bCs/>
                  <w:lang w:val="cs-CZ" w:eastAsia="cs-CZ"/>
                </w:rPr>
                <w:t>http://www.sps.cz/index.ASP</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měst a obcí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6" w:history="1">
              <w:r w:rsidR="00400DD1" w:rsidRPr="008B53A9">
                <w:rPr>
                  <w:rStyle w:val="Hypertextovodkaz"/>
                  <w:rFonts w:cs="Calibri"/>
                  <w:bCs/>
                  <w:lang w:val="cs-CZ" w:eastAsia="cs-CZ"/>
                </w:rPr>
                <w:t>http://www.smocr.cz/</w:t>
              </w:r>
            </w:hyperlink>
            <w:r w:rsidR="00400DD1" w:rsidRPr="008B53A9">
              <w:rPr>
                <w:rFonts w:cs="Calibri"/>
                <w:lang w:val="cs-CZ" w:eastAsia="cs-CZ"/>
              </w:rPr>
              <w:t xml:space="preserve"> </w:t>
            </w:r>
          </w:p>
        </w:tc>
      </w:tr>
      <w:tr w:rsidR="00400DD1" w:rsidRPr="008B53A9">
        <w:trPr>
          <w:trHeight w:val="397"/>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místních samospráv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7" w:history="1">
              <w:r w:rsidR="00400DD1" w:rsidRPr="008B53A9">
                <w:rPr>
                  <w:rStyle w:val="Hypertextovodkaz"/>
                  <w:rFonts w:cs="Calibri"/>
                  <w:bCs/>
                  <w:lang w:val="cs-CZ" w:eastAsia="cs-CZ"/>
                </w:rPr>
                <w:t>http://www.smscr.cz/</w:t>
              </w:r>
            </w:hyperlink>
            <w:r w:rsidR="00400DD1" w:rsidRPr="008B53A9">
              <w:rPr>
                <w:rFonts w:cs="Calibri"/>
                <w:lang w:val="cs-CZ" w:eastAsia="cs-CZ"/>
              </w:rPr>
              <w:t xml:space="preserve"> </w:t>
            </w:r>
          </w:p>
        </w:tc>
      </w:tr>
      <w:tr w:rsidR="00400DD1" w:rsidRPr="008B53A9">
        <w:trPr>
          <w:trHeight w:val="715"/>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Českomoravská konfederace odborových svazů</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8" w:history="1">
              <w:r w:rsidR="00400DD1" w:rsidRPr="008B53A9">
                <w:rPr>
                  <w:rStyle w:val="Hypertextovodkaz"/>
                  <w:rFonts w:cs="Calibri"/>
                  <w:bCs/>
                  <w:lang w:val="cs-CZ" w:eastAsia="cs-CZ"/>
                </w:rPr>
                <w:t>http://www.cmkos.cz/</w:t>
              </w:r>
            </w:hyperlink>
            <w:r w:rsidR="00400DD1" w:rsidRPr="008B53A9">
              <w:rPr>
                <w:rFonts w:cs="Calibri"/>
                <w:lang w:val="cs-CZ" w:eastAsia="cs-CZ"/>
              </w:rPr>
              <w:t xml:space="preserve"> </w:t>
            </w:r>
          </w:p>
        </w:tc>
      </w:tr>
      <w:tr w:rsidR="00400DD1" w:rsidRPr="008B53A9">
        <w:trPr>
          <w:trHeight w:val="699"/>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Konfederace zaměstnavatelských a podnikatelských svazů</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49" w:history="1">
              <w:r w:rsidR="00400DD1" w:rsidRPr="008B53A9">
                <w:rPr>
                  <w:rStyle w:val="Hypertextovodkaz"/>
                  <w:rFonts w:cs="Calibri"/>
                  <w:bCs/>
                  <w:lang w:val="cs-CZ" w:eastAsia="cs-CZ"/>
                </w:rPr>
                <w:t>http://www.kzps.cz/</w:t>
              </w:r>
            </w:hyperlink>
            <w:r w:rsidR="00400DD1" w:rsidRPr="008B53A9">
              <w:rPr>
                <w:rFonts w:cs="Calibri"/>
                <w:lang w:val="cs-CZ" w:eastAsia="cs-CZ"/>
              </w:rPr>
              <w:t xml:space="preserve"> </w:t>
            </w:r>
          </w:p>
        </w:tc>
      </w:tr>
      <w:tr w:rsidR="00400DD1" w:rsidRPr="008B53A9">
        <w:trPr>
          <w:trHeight w:val="397"/>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MSP a živnostníků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50" w:history="1">
              <w:r w:rsidR="00400DD1" w:rsidRPr="008B53A9">
                <w:rPr>
                  <w:rStyle w:val="Hypertextovodkaz"/>
                  <w:rFonts w:cs="Calibri"/>
                  <w:bCs/>
                  <w:lang w:val="cs-CZ" w:eastAsia="cs-CZ"/>
                </w:rPr>
                <w:t>http://www.amsp.cz/</w:t>
              </w:r>
            </w:hyperlink>
            <w:r w:rsidR="00400DD1" w:rsidRPr="008B53A9">
              <w:rPr>
                <w:rFonts w:cs="Calibri"/>
                <w:lang w:val="cs-CZ" w:eastAsia="cs-CZ"/>
              </w:rPr>
              <w:t xml:space="preserve"> </w:t>
            </w:r>
          </w:p>
        </w:tc>
      </w:tr>
      <w:tr w:rsidR="00400DD1" w:rsidRPr="008B53A9">
        <w:trPr>
          <w:trHeight w:val="429"/>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krajů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51" w:history="1">
              <w:r w:rsidR="00400DD1" w:rsidRPr="008B53A9">
                <w:rPr>
                  <w:rStyle w:val="Hypertextovodkaz"/>
                  <w:rFonts w:cs="Calibri"/>
                  <w:bCs/>
                  <w:lang w:val="cs-CZ" w:eastAsia="cs-CZ"/>
                </w:rPr>
                <w:t>http://www.asociacekraju.cz/</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 xml:space="preserve">Nestátní neziskové organizace </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52" w:history="1">
              <w:r w:rsidR="00400DD1" w:rsidRPr="008B53A9">
                <w:rPr>
                  <w:rStyle w:val="Hypertextovodkaz"/>
                  <w:rFonts w:cs="Calibri"/>
                  <w:bCs/>
                  <w:lang w:val="cs-CZ" w:eastAsia="cs-CZ"/>
                </w:rPr>
                <w:t>http://www.asociacenno.cz/</w:t>
              </w:r>
            </w:hyperlink>
            <w:r w:rsidR="00400DD1" w:rsidRPr="008B53A9">
              <w:rPr>
                <w:rFonts w:cs="Calibri"/>
                <w:lang w:val="cs-CZ" w:eastAsia="cs-CZ"/>
              </w:rPr>
              <w:t xml:space="preserve"> </w:t>
            </w:r>
          </w:p>
        </w:tc>
      </w:tr>
      <w:tr w:rsidR="00400DD1" w:rsidRPr="008B53A9">
        <w:trPr>
          <w:trHeight w:val="699"/>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Národní síť Místních akčních skupin České republiky, o.s.</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53" w:history="1">
              <w:r w:rsidR="00400DD1" w:rsidRPr="008B53A9">
                <w:rPr>
                  <w:rStyle w:val="Hypertextovodkaz"/>
                  <w:rFonts w:cs="Calibri"/>
                  <w:bCs/>
                  <w:lang w:val="cs-CZ" w:eastAsia="cs-CZ"/>
                </w:rPr>
                <w:t>http://nsmascr.cz/o-nas/mistni-akncni-skupiny/</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Český statistický úřad</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54" w:history="1">
              <w:r w:rsidR="00400DD1" w:rsidRPr="008B53A9">
                <w:rPr>
                  <w:rStyle w:val="Hypertextovodkaz"/>
                  <w:rFonts w:cs="Calibri"/>
                  <w:bCs/>
                  <w:lang w:val="cs-CZ" w:eastAsia="cs-CZ"/>
                </w:rPr>
                <w:t>http://www.czso.cz/</w:t>
              </w:r>
            </w:hyperlink>
            <w:r w:rsidR="00400DD1" w:rsidRPr="008B53A9">
              <w:rPr>
                <w:rFonts w:cs="Calibri"/>
                <w:lang w:val="cs-CZ" w:eastAsia="cs-CZ"/>
              </w:rPr>
              <w:t xml:space="preserve"> </w:t>
            </w:r>
          </w:p>
        </w:tc>
      </w:tr>
      <w:tr w:rsidR="00400DD1" w:rsidRPr="008B53A9">
        <w:trPr>
          <w:trHeight w:val="413"/>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Hlavní město Praha</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55" w:history="1">
              <w:r w:rsidR="00400DD1" w:rsidRPr="008B53A9">
                <w:rPr>
                  <w:rStyle w:val="Hypertextovodkaz"/>
                  <w:rFonts w:cs="Calibri"/>
                  <w:bCs/>
                  <w:lang w:val="cs-CZ" w:eastAsia="cs-CZ"/>
                </w:rPr>
                <w:t>http://www.praha.eu/jnp/cz/home/index.html</w:t>
              </w:r>
            </w:hyperlink>
            <w:r w:rsidR="00400DD1" w:rsidRPr="008B53A9">
              <w:rPr>
                <w:rFonts w:cs="Calibri"/>
                <w:lang w:val="cs-CZ" w:eastAsia="cs-CZ"/>
              </w:rPr>
              <w:t xml:space="preserve"> </w:t>
            </w:r>
          </w:p>
        </w:tc>
      </w:tr>
    </w:tbl>
    <w:p w:rsidR="00400DD1" w:rsidRPr="008B53A9"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920"/>
      </w:tblGrid>
      <w:tr w:rsidR="00400DD1" w:rsidRPr="008B53A9">
        <w:trPr>
          <w:trHeight w:val="431"/>
        </w:trPr>
        <w:tc>
          <w:tcPr>
            <w:tcW w:w="5000" w:type="pct"/>
            <w:gridSpan w:val="2"/>
            <w:shd w:val="clear" w:color="auto" w:fill="B8CCE4"/>
            <w:vAlign w:val="center"/>
          </w:tcPr>
          <w:p w:rsidR="00400DD1" w:rsidRPr="008B53A9" w:rsidRDefault="00400DD1" w:rsidP="00F23CDB">
            <w:pPr>
              <w:pStyle w:val="Tabulka"/>
              <w:keepNext/>
              <w:keepLines/>
              <w:rPr>
                <w:rFonts w:cs="Calibri"/>
                <w:b/>
                <w:lang w:val="cs-CZ" w:eastAsia="cs-CZ"/>
              </w:rPr>
            </w:pPr>
            <w:r w:rsidRPr="008B53A9">
              <w:rPr>
                <w:rFonts w:cs="Calibri"/>
                <w:b/>
                <w:lang w:val="cs-CZ" w:eastAsia="cs-CZ"/>
              </w:rPr>
              <w:lastRenderedPageBreak/>
              <w:t>Pracovní skupiny pro rozpracování jednotlivých prioritních os OP PIK</w:t>
            </w:r>
          </w:p>
        </w:tc>
      </w:tr>
      <w:tr w:rsidR="00400DD1" w:rsidRPr="008B53A9">
        <w:trPr>
          <w:trHeight w:val="414"/>
        </w:trPr>
        <w:tc>
          <w:tcPr>
            <w:tcW w:w="5000" w:type="pct"/>
            <w:gridSpan w:val="2"/>
            <w:shd w:val="clear" w:color="auto" w:fill="DBE5F1"/>
            <w:vAlign w:val="center"/>
          </w:tcPr>
          <w:p w:rsidR="00400DD1" w:rsidRPr="008B53A9" w:rsidRDefault="00400DD1" w:rsidP="00F23CDB">
            <w:pPr>
              <w:pStyle w:val="Tabulka"/>
              <w:keepNext/>
              <w:keepLines/>
              <w:rPr>
                <w:rFonts w:cs="Calibri"/>
                <w:b/>
                <w:lang w:val="cs-CZ" w:eastAsia="cs-CZ"/>
              </w:rPr>
            </w:pPr>
            <w:r w:rsidRPr="008B53A9">
              <w:rPr>
                <w:rFonts w:cs="Calibri"/>
                <w:b/>
                <w:lang w:val="cs-CZ" w:eastAsia="cs-CZ"/>
              </w:rPr>
              <w:t>PS01 „</w:t>
            </w:r>
            <w:r w:rsidR="00CB7936" w:rsidRPr="008B53A9">
              <w:rPr>
                <w:rFonts w:cs="Calibri"/>
                <w:b/>
                <w:lang w:val="cs-CZ" w:eastAsia="cs-CZ"/>
              </w:rPr>
              <w:t>Rozvoj výzkumu a vývoje pro inovace</w:t>
            </w:r>
            <w:r w:rsidRPr="008B53A9">
              <w:rPr>
                <w:rFonts w:cs="Calibri"/>
                <w:b/>
                <w:lang w:val="cs-CZ" w:eastAsia="cs-CZ"/>
              </w:rPr>
              <w:t>“</w:t>
            </w:r>
          </w:p>
        </w:tc>
      </w:tr>
      <w:tr w:rsidR="00400DD1" w:rsidRPr="008B53A9">
        <w:trPr>
          <w:trHeight w:val="414"/>
        </w:trPr>
        <w:tc>
          <w:tcPr>
            <w:tcW w:w="2391" w:type="pct"/>
            <w:shd w:val="clear" w:color="auto" w:fill="auto"/>
            <w:vAlign w:val="center"/>
          </w:tcPr>
          <w:p w:rsidR="00400DD1" w:rsidRPr="008B53A9" w:rsidRDefault="00400DD1" w:rsidP="00F23CDB">
            <w:pPr>
              <w:pStyle w:val="Tabulka"/>
              <w:keepNext/>
              <w:keepLines/>
              <w:jc w:val="left"/>
              <w:rPr>
                <w:rFonts w:cs="Calibri"/>
                <w:lang w:val="cs-CZ" w:eastAsia="cs-CZ"/>
              </w:rPr>
            </w:pPr>
            <w:r w:rsidRPr="008B53A9">
              <w:rPr>
                <w:rFonts w:cs="Calibri"/>
                <w:lang w:val="cs-CZ" w:eastAsia="cs-CZ"/>
              </w:rPr>
              <w:t>Ministerstvo šk</w:t>
            </w:r>
            <w:r w:rsidR="000E47D9" w:rsidRPr="008B53A9">
              <w:rPr>
                <w:rFonts w:cs="Calibri"/>
                <w:lang w:val="cs-CZ" w:eastAsia="cs-CZ"/>
              </w:rPr>
              <w:t>olství, mládeže a tělovýchovy</w:t>
            </w:r>
          </w:p>
        </w:tc>
        <w:tc>
          <w:tcPr>
            <w:tcW w:w="2609" w:type="pct"/>
            <w:shd w:val="clear" w:color="auto" w:fill="auto"/>
            <w:vAlign w:val="center"/>
          </w:tcPr>
          <w:p w:rsidR="00400DD1" w:rsidRPr="008B53A9" w:rsidRDefault="008B53A9" w:rsidP="00F23CDB">
            <w:pPr>
              <w:pStyle w:val="Tabulka"/>
              <w:keepNext/>
              <w:keepLines/>
              <w:jc w:val="left"/>
              <w:rPr>
                <w:rFonts w:cs="Calibri"/>
                <w:lang w:val="cs-CZ" w:eastAsia="cs-CZ"/>
              </w:rPr>
            </w:pPr>
            <w:hyperlink r:id="rId156" w:history="1">
              <w:r w:rsidR="00400DD1" w:rsidRPr="008B53A9">
                <w:rPr>
                  <w:rStyle w:val="Hypertextovodkaz"/>
                  <w:rFonts w:cs="Calibri"/>
                  <w:bCs/>
                  <w:lang w:val="cs-CZ" w:eastAsia="cs-CZ"/>
                </w:rPr>
                <w:t>http://www.msmt.cz/</w:t>
              </w:r>
            </w:hyperlink>
          </w:p>
        </w:tc>
      </w:tr>
      <w:tr w:rsidR="00400DD1" w:rsidRPr="008B53A9">
        <w:trPr>
          <w:trHeight w:val="414"/>
        </w:trPr>
        <w:tc>
          <w:tcPr>
            <w:tcW w:w="2391" w:type="pct"/>
            <w:shd w:val="clear" w:color="auto" w:fill="auto"/>
            <w:vAlign w:val="center"/>
          </w:tcPr>
          <w:p w:rsidR="00400DD1" w:rsidRPr="008B53A9" w:rsidRDefault="000E47D9" w:rsidP="00F23CDB">
            <w:pPr>
              <w:pStyle w:val="Tabulka"/>
              <w:jc w:val="left"/>
              <w:rPr>
                <w:rFonts w:cs="Calibri"/>
                <w:lang w:val="cs-CZ" w:eastAsia="cs-CZ"/>
              </w:rPr>
            </w:pPr>
            <w:r w:rsidRPr="008B53A9">
              <w:rPr>
                <w:rFonts w:cs="Calibri"/>
                <w:lang w:val="cs-CZ" w:eastAsia="cs-CZ"/>
              </w:rPr>
              <w:t>Ministerstvo kultury</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57" w:history="1">
              <w:r w:rsidR="00400DD1" w:rsidRPr="008B53A9">
                <w:rPr>
                  <w:rStyle w:val="Hypertextovodkaz"/>
                  <w:rFonts w:cs="Calibri"/>
                  <w:bCs/>
                  <w:lang w:val="cs-CZ" w:eastAsia="cs-CZ"/>
                </w:rPr>
                <w:t>http://www.mkcr.cz/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0E47D9" w:rsidP="00F23CDB">
            <w:pPr>
              <w:pStyle w:val="Tabulka"/>
              <w:jc w:val="left"/>
              <w:rPr>
                <w:rFonts w:cs="Calibri"/>
                <w:lang w:val="cs-CZ" w:eastAsia="cs-CZ"/>
              </w:rPr>
            </w:pPr>
            <w:r w:rsidRPr="008B53A9">
              <w:rPr>
                <w:rFonts w:cs="Calibri"/>
                <w:lang w:val="cs-CZ" w:eastAsia="cs-CZ"/>
              </w:rPr>
              <w:t>Ministerstvo dopravy</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58" w:history="1">
              <w:r w:rsidR="00400DD1" w:rsidRPr="008B53A9">
                <w:rPr>
                  <w:rStyle w:val="Hypertextovodkaz"/>
                  <w:rFonts w:cs="Calibri"/>
                  <w:bCs/>
                  <w:lang w:val="cs-CZ" w:eastAsia="cs-CZ"/>
                </w:rPr>
                <w:t>http://www.mdcr.cz/cs/default.htm</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Technologická agentura ČR</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59" w:history="1">
              <w:r w:rsidR="00400DD1" w:rsidRPr="008B53A9">
                <w:rPr>
                  <w:rStyle w:val="Hypertextovodkaz"/>
                  <w:rFonts w:cs="Calibri"/>
                  <w:bCs/>
                  <w:lang w:val="cs-CZ" w:eastAsia="cs-CZ"/>
                </w:rPr>
                <w:t>http://tacr.cz/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Technologické centrum akademie věd</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0" w:history="1">
              <w:r w:rsidR="00400DD1" w:rsidRPr="008B53A9">
                <w:rPr>
                  <w:rStyle w:val="Hypertextovodkaz"/>
                  <w:rFonts w:cs="Calibri"/>
                  <w:bCs/>
                  <w:lang w:val="cs-CZ" w:eastAsia="cs-CZ"/>
                </w:rPr>
                <w:t>http://www.tc.cz/cs/</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Jihomoravské inovační centrum</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1" w:history="1">
              <w:r w:rsidR="00400DD1" w:rsidRPr="008B53A9">
                <w:rPr>
                  <w:rStyle w:val="Hypertextovodkaz"/>
                  <w:rFonts w:cs="Calibri"/>
                  <w:bCs/>
                  <w:lang w:val="cs-CZ" w:eastAsia="cs-CZ"/>
                </w:rPr>
                <w:t>http://www.jic.cz/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Hospodářská komora ČR</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2" w:history="1">
              <w:r w:rsidR="00400DD1" w:rsidRPr="008B53A9">
                <w:rPr>
                  <w:rStyle w:val="Hypertextovodkaz"/>
                  <w:rFonts w:cs="Calibri"/>
                  <w:bCs/>
                  <w:lang w:val="cs-CZ" w:eastAsia="cs-CZ"/>
                </w:rPr>
                <w:t>http://www.komora.cz/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Potravinářská komora ČR</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3" w:history="1">
              <w:r w:rsidR="00400DD1" w:rsidRPr="008B53A9">
                <w:rPr>
                  <w:rStyle w:val="Hypertextovodkaz"/>
                  <w:rFonts w:cs="Calibri"/>
                  <w:bCs/>
                  <w:lang w:val="cs-CZ" w:eastAsia="cs-CZ"/>
                </w:rPr>
                <w:t>http://www.pkcr.cz/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průmyslu a dopravy ČR</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4" w:history="1">
              <w:r w:rsidR="00400DD1" w:rsidRPr="008B53A9">
                <w:rPr>
                  <w:rStyle w:val="Hypertextovodkaz"/>
                  <w:rFonts w:cs="Calibri"/>
                  <w:bCs/>
                  <w:lang w:val="cs-CZ" w:eastAsia="cs-CZ"/>
                </w:rPr>
                <w:t>http://www.spcr.cz/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obchodu a cestovního ruchu</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5" w:history="1">
              <w:r w:rsidR="00400DD1" w:rsidRPr="008B53A9">
                <w:rPr>
                  <w:rStyle w:val="Hypertextovodkaz"/>
                  <w:rFonts w:cs="Calibri"/>
                  <w:bCs/>
                  <w:lang w:val="cs-CZ" w:eastAsia="cs-CZ"/>
                </w:rPr>
                <w:t>http://www.socr.cz/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měst a obcí ČR</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6" w:history="1">
              <w:r w:rsidR="00400DD1" w:rsidRPr="008B53A9">
                <w:rPr>
                  <w:rStyle w:val="Hypertextovodkaz"/>
                  <w:rFonts w:cs="Calibri"/>
                  <w:bCs/>
                  <w:lang w:val="cs-CZ" w:eastAsia="cs-CZ"/>
                </w:rPr>
                <w:t>http://www.smocr.cz/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výzkumných organizací</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7" w:history="1">
              <w:r w:rsidR="00400DD1" w:rsidRPr="008B53A9">
                <w:rPr>
                  <w:rStyle w:val="Hypertextovodkaz"/>
                  <w:rFonts w:cs="Calibri"/>
                  <w:bCs/>
                  <w:lang w:val="cs-CZ" w:eastAsia="cs-CZ"/>
                </w:rPr>
                <w:t>http://www.avo.cz/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inovačního podnikání</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8" w:history="1">
              <w:r w:rsidR="00400DD1" w:rsidRPr="008B53A9">
                <w:rPr>
                  <w:rStyle w:val="Hypertextovodkaz"/>
                  <w:rFonts w:cs="Calibri"/>
                  <w:bCs/>
                  <w:lang w:val="cs-CZ" w:eastAsia="cs-CZ"/>
                </w:rPr>
                <w:t>http://www.aipcr.cz/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malých a středních podniků</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69" w:history="1">
              <w:r w:rsidR="00400DD1" w:rsidRPr="008B53A9">
                <w:rPr>
                  <w:rStyle w:val="Hypertextovodkaz"/>
                  <w:rFonts w:cs="Calibri"/>
                  <w:bCs/>
                  <w:lang w:val="cs-CZ" w:eastAsia="cs-CZ"/>
                </w:rPr>
                <w:t>http://www.amsp.cz/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Nestátní neziskové organizace</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70" w:history="1">
              <w:r w:rsidR="00400DD1" w:rsidRPr="008B53A9">
                <w:rPr>
                  <w:rStyle w:val="Hypertextovodkaz"/>
                  <w:rFonts w:cs="Calibri"/>
                  <w:bCs/>
                  <w:lang w:val="cs-CZ" w:eastAsia="cs-CZ"/>
                </w:rPr>
                <w:t>http://www.asociacenno.cz/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Konfederace zaměstnavatelských a podnikatelských svazů</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71" w:history="1">
              <w:r w:rsidR="00400DD1" w:rsidRPr="008B53A9">
                <w:rPr>
                  <w:rStyle w:val="Hypertextovodkaz"/>
                  <w:rFonts w:cs="Calibri"/>
                  <w:bCs/>
                  <w:lang w:val="cs-CZ" w:eastAsia="cs-CZ"/>
                </w:rPr>
                <w:t>http://www.kzps.cz/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Česká konference rektorů</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72" w:history="1">
              <w:r w:rsidR="00400DD1" w:rsidRPr="008B53A9">
                <w:rPr>
                  <w:rStyle w:val="Hypertextovodkaz"/>
                  <w:rFonts w:cs="Calibri"/>
                  <w:bCs/>
                  <w:lang w:val="cs-CZ" w:eastAsia="cs-CZ"/>
                </w:rPr>
                <w:t>http://crc.muni.cz/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Univerzita Tomáše Bati</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73" w:history="1">
              <w:r w:rsidR="00400DD1" w:rsidRPr="008B53A9">
                <w:rPr>
                  <w:rStyle w:val="Hypertextovodkaz"/>
                  <w:rFonts w:cs="Calibri"/>
                  <w:bCs/>
                  <w:lang w:val="cs-CZ" w:eastAsia="cs-CZ"/>
                </w:rPr>
                <w:t>http://www.utb.cz/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Národní síť Místních akčních skupin České republiky, o.s.</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74" w:history="1">
              <w:r w:rsidR="00400DD1" w:rsidRPr="008B53A9">
                <w:rPr>
                  <w:rStyle w:val="Hypertextovodkaz"/>
                  <w:rFonts w:cs="Calibri"/>
                  <w:bCs/>
                  <w:lang w:val="cs-CZ" w:eastAsia="cs-CZ"/>
                </w:rPr>
                <w:t>http://nsmascr.cz/o-nas/mistni-akncni-skupiny/</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Hlavní město Praha</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175" w:history="1">
              <w:r w:rsidR="00400DD1" w:rsidRPr="008B53A9">
                <w:rPr>
                  <w:rStyle w:val="Hypertextovodkaz"/>
                  <w:rFonts w:cs="Calibri"/>
                  <w:bCs/>
                  <w:lang w:val="cs-CZ" w:eastAsia="cs-CZ"/>
                </w:rPr>
                <w:t>http://www.praha.eu/jnp/cz/home/index.html</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RNDr. Marek Blažka</w:t>
            </w:r>
          </w:p>
        </w:tc>
        <w:tc>
          <w:tcPr>
            <w:tcW w:w="2609" w:type="pct"/>
            <w:shd w:val="clear" w:color="auto" w:fill="auto"/>
            <w:vAlign w:val="center"/>
          </w:tcPr>
          <w:p w:rsidR="00400DD1" w:rsidRPr="008B53A9" w:rsidRDefault="00400DD1" w:rsidP="00F23CDB">
            <w:pPr>
              <w:pStyle w:val="Tabulka"/>
              <w:jc w:val="left"/>
              <w:rPr>
                <w:rFonts w:cs="Calibri"/>
                <w:lang w:val="cs-CZ" w:eastAsia="cs-CZ"/>
              </w:rPr>
            </w:pPr>
          </w:p>
        </w:tc>
      </w:tr>
    </w:tbl>
    <w:p w:rsidR="00400DD1" w:rsidRPr="008B53A9"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8B53A9">
        <w:trPr>
          <w:trHeight w:val="414"/>
        </w:trPr>
        <w:tc>
          <w:tcPr>
            <w:tcW w:w="5000" w:type="pct"/>
            <w:gridSpan w:val="2"/>
            <w:shd w:val="clear" w:color="auto" w:fill="DBE5F1"/>
            <w:vAlign w:val="center"/>
          </w:tcPr>
          <w:p w:rsidR="00400DD1" w:rsidRPr="008B53A9" w:rsidRDefault="00400DD1" w:rsidP="004126CC">
            <w:pPr>
              <w:pStyle w:val="Tabulka"/>
              <w:keepNext/>
              <w:keepLines/>
              <w:rPr>
                <w:rFonts w:cs="Calibri"/>
                <w:b/>
                <w:lang w:val="cs-CZ" w:eastAsia="cs-CZ"/>
              </w:rPr>
            </w:pPr>
            <w:r w:rsidRPr="008B53A9">
              <w:rPr>
                <w:rFonts w:cs="Calibri"/>
                <w:b/>
                <w:lang w:val="cs-CZ" w:eastAsia="cs-CZ"/>
              </w:rPr>
              <w:t>PS02 „</w:t>
            </w:r>
            <w:r w:rsidR="005821F5" w:rsidRPr="008B53A9">
              <w:rPr>
                <w:rFonts w:cs="Calibri"/>
                <w:b/>
                <w:lang w:val="cs-CZ" w:eastAsia="cs-CZ"/>
              </w:rPr>
              <w:t>Rozvoj podnikání a konkurenceschopnosti malých a středních podniků</w:t>
            </w:r>
            <w:r w:rsidRPr="008B53A9">
              <w:rPr>
                <w:rFonts w:cs="Calibri"/>
                <w:b/>
                <w:lang w:val="cs-CZ" w:eastAsia="cs-CZ"/>
              </w:rPr>
              <w:t>“</w:t>
            </w:r>
          </w:p>
        </w:tc>
      </w:tr>
      <w:tr w:rsidR="00400DD1" w:rsidRPr="008B53A9">
        <w:trPr>
          <w:trHeight w:val="414"/>
        </w:trPr>
        <w:tc>
          <w:tcPr>
            <w:tcW w:w="2395" w:type="pct"/>
            <w:shd w:val="clear" w:color="auto" w:fill="auto"/>
            <w:vAlign w:val="center"/>
          </w:tcPr>
          <w:p w:rsidR="00400DD1" w:rsidRPr="008B53A9" w:rsidRDefault="00400DD1" w:rsidP="004126CC">
            <w:pPr>
              <w:pStyle w:val="Tabulka"/>
              <w:keepNext/>
              <w:keepLines/>
              <w:jc w:val="left"/>
              <w:rPr>
                <w:rFonts w:cs="Calibri"/>
                <w:lang w:val="cs-CZ" w:eastAsia="cs-CZ"/>
              </w:rPr>
            </w:pPr>
            <w:r w:rsidRPr="008B53A9">
              <w:rPr>
                <w:rFonts w:cs="Calibri"/>
                <w:lang w:val="cs-CZ" w:eastAsia="cs-CZ"/>
              </w:rPr>
              <w:t>Ministerstvo školství, mládeže a tělovýchovy</w:t>
            </w:r>
          </w:p>
        </w:tc>
        <w:tc>
          <w:tcPr>
            <w:tcW w:w="2605" w:type="pct"/>
            <w:shd w:val="clear" w:color="auto" w:fill="auto"/>
            <w:vAlign w:val="center"/>
          </w:tcPr>
          <w:p w:rsidR="00400DD1" w:rsidRPr="008B53A9" w:rsidRDefault="008B53A9" w:rsidP="004126CC">
            <w:pPr>
              <w:pStyle w:val="Tabulka"/>
              <w:keepNext/>
              <w:keepLines/>
              <w:jc w:val="left"/>
              <w:rPr>
                <w:rFonts w:cs="Calibri"/>
                <w:lang w:val="cs-CZ" w:eastAsia="cs-CZ"/>
              </w:rPr>
            </w:pPr>
            <w:hyperlink r:id="rId176" w:history="1">
              <w:r w:rsidR="00400DD1" w:rsidRPr="008B53A9">
                <w:rPr>
                  <w:rStyle w:val="Hypertextovodkaz"/>
                  <w:rFonts w:cs="Calibri"/>
                  <w:bCs/>
                  <w:lang w:val="cs-CZ" w:eastAsia="cs-CZ"/>
                </w:rPr>
                <w:t>http://www.msmt.cz/</w:t>
              </w:r>
            </w:hyperlink>
          </w:p>
        </w:tc>
      </w:tr>
      <w:tr w:rsidR="00400DD1" w:rsidRPr="008B53A9">
        <w:trPr>
          <w:trHeight w:val="414"/>
        </w:trPr>
        <w:tc>
          <w:tcPr>
            <w:tcW w:w="2395" w:type="pct"/>
            <w:shd w:val="clear" w:color="auto" w:fill="auto"/>
            <w:vAlign w:val="center"/>
          </w:tcPr>
          <w:p w:rsidR="00400DD1" w:rsidRPr="008B53A9" w:rsidRDefault="000E47D9" w:rsidP="00F23CDB">
            <w:pPr>
              <w:pStyle w:val="Tabulka"/>
              <w:jc w:val="left"/>
              <w:rPr>
                <w:rFonts w:cs="Calibri"/>
                <w:lang w:val="cs-CZ" w:eastAsia="cs-CZ"/>
              </w:rPr>
            </w:pPr>
            <w:r w:rsidRPr="008B53A9">
              <w:rPr>
                <w:rFonts w:cs="Calibri"/>
                <w:lang w:val="cs-CZ" w:eastAsia="cs-CZ"/>
              </w:rPr>
              <w:t>Ministerstvo kultury</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77" w:history="1">
              <w:r w:rsidR="00400DD1" w:rsidRPr="008B53A9">
                <w:rPr>
                  <w:rStyle w:val="Hypertextovodkaz"/>
                  <w:rFonts w:cs="Calibri"/>
                  <w:bCs/>
                  <w:lang w:val="cs-CZ" w:eastAsia="cs-CZ"/>
                </w:rPr>
                <w:t>http://www.mkcr.cz/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Ministe</w:t>
            </w:r>
            <w:r w:rsidR="000E47D9" w:rsidRPr="008B53A9">
              <w:rPr>
                <w:rFonts w:cs="Calibri"/>
                <w:lang w:val="cs-CZ" w:eastAsia="cs-CZ"/>
              </w:rPr>
              <w:t>rstvo práce a sociálních věcí</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78" w:history="1">
              <w:r w:rsidR="00400DD1" w:rsidRPr="008B53A9">
                <w:rPr>
                  <w:rStyle w:val="Hypertextovodkaz"/>
                  <w:rFonts w:cs="Calibri"/>
                  <w:bCs/>
                  <w:lang w:val="cs-CZ" w:eastAsia="cs-CZ"/>
                </w:rPr>
                <w:t>http://www.mpsv.cz/cs/</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Ministers</w:t>
            </w:r>
            <w:r w:rsidR="000E47D9" w:rsidRPr="008B53A9">
              <w:rPr>
                <w:rFonts w:cs="Calibri"/>
                <w:lang w:val="cs-CZ" w:eastAsia="cs-CZ"/>
              </w:rPr>
              <w:t>tvo dopravy</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79" w:history="1">
              <w:r w:rsidR="00400DD1" w:rsidRPr="008B53A9">
                <w:rPr>
                  <w:rStyle w:val="Hypertextovodkaz"/>
                  <w:rFonts w:cs="Calibri"/>
                  <w:bCs/>
                  <w:lang w:val="cs-CZ" w:eastAsia="cs-CZ"/>
                </w:rPr>
                <w:t>http://www.mdcr.cz/cs/default.htm</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Jihomoravské inovační centrum</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0" w:history="1">
              <w:r w:rsidR="00400DD1" w:rsidRPr="008B53A9">
                <w:rPr>
                  <w:rStyle w:val="Hypertextovodkaz"/>
                  <w:rFonts w:cs="Calibri"/>
                  <w:bCs/>
                  <w:lang w:val="cs-CZ" w:eastAsia="cs-CZ"/>
                </w:rPr>
                <w:t>http://www.jic.cz/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lastRenderedPageBreak/>
              <w:t>Technologická agentura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1" w:history="1">
              <w:r w:rsidR="00400DD1" w:rsidRPr="008B53A9">
                <w:rPr>
                  <w:rStyle w:val="Hypertextovodkaz"/>
                  <w:rFonts w:cs="Calibri"/>
                  <w:bCs/>
                  <w:lang w:val="cs-CZ" w:eastAsia="cs-CZ"/>
                </w:rPr>
                <w:t>http://tacr.cz/</w:t>
              </w:r>
            </w:hyperlink>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Hospodářská komora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2" w:history="1">
              <w:r w:rsidR="00400DD1" w:rsidRPr="008B53A9">
                <w:rPr>
                  <w:rStyle w:val="Hypertextovodkaz"/>
                  <w:rFonts w:cs="Calibri"/>
                  <w:bCs/>
                  <w:lang w:val="cs-CZ" w:eastAsia="cs-CZ"/>
                </w:rPr>
                <w:t>http://www.komora.cz/</w:t>
              </w:r>
            </w:hyperlink>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Českomoravská záruční a rozvojová banka</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3" w:history="1">
              <w:r w:rsidR="00400DD1" w:rsidRPr="008B53A9">
                <w:rPr>
                  <w:rStyle w:val="Hypertextovodkaz"/>
                  <w:rFonts w:cs="Calibri"/>
                  <w:bCs/>
                  <w:lang w:val="cs-CZ" w:eastAsia="cs-CZ"/>
                </w:rPr>
                <w:t>http://www.cmzrb.cz/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průmyslu a dopravy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4" w:history="1">
              <w:r w:rsidR="00400DD1" w:rsidRPr="008B53A9">
                <w:rPr>
                  <w:rStyle w:val="Hypertextovodkaz"/>
                  <w:rFonts w:cs="Calibri"/>
                  <w:bCs/>
                  <w:lang w:val="cs-CZ" w:eastAsia="cs-CZ"/>
                </w:rPr>
                <w:t>http://www.spcr.cz/</w:t>
              </w:r>
            </w:hyperlink>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obchodu a cestovního ruchu</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5" w:history="1">
              <w:r w:rsidR="00400DD1" w:rsidRPr="008B53A9">
                <w:rPr>
                  <w:rStyle w:val="Hypertextovodkaz"/>
                  <w:rFonts w:cs="Calibri"/>
                  <w:bCs/>
                  <w:lang w:val="cs-CZ" w:eastAsia="cs-CZ"/>
                </w:rPr>
                <w:t>http://www.socr.cz/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podnikatelů ve stavebnictví</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6" w:history="1">
              <w:r w:rsidR="00400DD1" w:rsidRPr="008B53A9">
                <w:rPr>
                  <w:rStyle w:val="Hypertextovodkaz"/>
                  <w:rFonts w:cs="Calibri"/>
                  <w:bCs/>
                  <w:lang w:val="cs-CZ" w:eastAsia="cs-CZ"/>
                </w:rPr>
                <w:t>http://www.sps.cz/index.ASP</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českých a moravských výrobních družstev</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7" w:history="1">
              <w:r w:rsidR="00400DD1" w:rsidRPr="008B53A9">
                <w:rPr>
                  <w:rStyle w:val="Hypertextovodkaz"/>
                  <w:rFonts w:cs="Calibri"/>
                  <w:bCs/>
                  <w:lang w:val="cs-CZ" w:eastAsia="cs-CZ"/>
                </w:rPr>
                <w:t>http://www.scmvd.cz/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malých a středních podniků</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8" w:history="1">
              <w:r w:rsidR="00400DD1" w:rsidRPr="008B53A9">
                <w:rPr>
                  <w:rStyle w:val="Hypertextovodkaz"/>
                  <w:rFonts w:cs="Calibri"/>
                  <w:bCs/>
                  <w:lang w:val="cs-CZ" w:eastAsia="cs-CZ"/>
                </w:rPr>
                <w:t>http://www.amsp.cz/</w:t>
              </w:r>
            </w:hyperlink>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inovačního podnikání</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89" w:history="1">
              <w:r w:rsidR="00400DD1" w:rsidRPr="008B53A9">
                <w:rPr>
                  <w:rStyle w:val="Hypertextovodkaz"/>
                  <w:rFonts w:cs="Calibri"/>
                  <w:bCs/>
                  <w:lang w:val="cs-CZ" w:eastAsia="cs-CZ"/>
                </w:rPr>
                <w:t>http://www.aipcr.cz/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Nestátní neziskové organizace</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90" w:history="1">
              <w:r w:rsidR="00400DD1" w:rsidRPr="008B53A9">
                <w:rPr>
                  <w:rStyle w:val="Hypertextovodkaz"/>
                  <w:rFonts w:cs="Calibri"/>
                  <w:bCs/>
                  <w:lang w:val="cs-CZ" w:eastAsia="cs-CZ"/>
                </w:rPr>
                <w:t>http://www.asociacenno.cz/</w:t>
              </w:r>
            </w:hyperlink>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Národní síť Místních akčních skupin České republiky, o.s.</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91" w:history="1">
              <w:r w:rsidR="00400DD1" w:rsidRPr="008B53A9">
                <w:rPr>
                  <w:rStyle w:val="Hypertextovodkaz"/>
                  <w:rFonts w:cs="Calibri"/>
                  <w:bCs/>
                  <w:lang w:val="cs-CZ" w:eastAsia="cs-CZ"/>
                </w:rPr>
                <w:t>http://nsmascr.cz/o-nas/mistni-akncni-skupiny/</w:t>
              </w:r>
            </w:hyperlink>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Fórum průmyslu a vysokých škol</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92" w:history="1">
              <w:r w:rsidR="00400DD1" w:rsidRPr="008B53A9">
                <w:rPr>
                  <w:rStyle w:val="Hypertextovodkaz"/>
                  <w:rFonts w:cs="Calibri"/>
                  <w:bCs/>
                  <w:lang w:val="cs-CZ" w:eastAsia="cs-CZ"/>
                </w:rPr>
                <w:t>http://fpvs.cz/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Hlavní město Praha</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193" w:history="1">
              <w:r w:rsidR="00400DD1" w:rsidRPr="008B53A9">
                <w:rPr>
                  <w:rStyle w:val="Hypertextovodkaz"/>
                  <w:rFonts w:cs="Calibri"/>
                  <w:bCs/>
                  <w:lang w:val="cs-CZ" w:eastAsia="cs-CZ"/>
                </w:rPr>
                <w:t>http://www.praha.eu/jnp/cz/home/index.html</w:t>
              </w:r>
            </w:hyperlink>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Ing. Petr Zahradník, MSc.</w:t>
            </w:r>
          </w:p>
        </w:tc>
        <w:tc>
          <w:tcPr>
            <w:tcW w:w="2605" w:type="pct"/>
            <w:shd w:val="clear" w:color="auto" w:fill="auto"/>
            <w:vAlign w:val="center"/>
          </w:tcPr>
          <w:p w:rsidR="00400DD1" w:rsidRPr="008B53A9" w:rsidRDefault="00400DD1" w:rsidP="00F23CDB">
            <w:pPr>
              <w:pStyle w:val="Tabulka"/>
              <w:jc w:val="left"/>
              <w:rPr>
                <w:rFonts w:cs="Calibri"/>
                <w:lang w:val="cs-CZ" w:eastAsia="cs-CZ"/>
              </w:rPr>
            </w:pPr>
          </w:p>
        </w:tc>
      </w:tr>
    </w:tbl>
    <w:p w:rsidR="00400DD1" w:rsidRPr="008B53A9"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925"/>
      </w:tblGrid>
      <w:tr w:rsidR="00400DD1" w:rsidRPr="008B53A9">
        <w:trPr>
          <w:trHeight w:val="414"/>
        </w:trPr>
        <w:tc>
          <w:tcPr>
            <w:tcW w:w="5000" w:type="pct"/>
            <w:gridSpan w:val="2"/>
            <w:shd w:val="clear" w:color="auto" w:fill="DBE5F1"/>
            <w:vAlign w:val="center"/>
          </w:tcPr>
          <w:p w:rsidR="00400DD1" w:rsidRPr="008B53A9" w:rsidRDefault="00400DD1" w:rsidP="007D5FD2">
            <w:pPr>
              <w:pStyle w:val="Tabulka"/>
              <w:rPr>
                <w:rFonts w:cs="Calibri"/>
                <w:b/>
                <w:lang w:val="cs-CZ" w:eastAsia="cs-CZ"/>
              </w:rPr>
            </w:pPr>
            <w:r w:rsidRPr="008B53A9">
              <w:rPr>
                <w:rFonts w:cs="Calibri"/>
                <w:b/>
                <w:lang w:val="cs-CZ" w:eastAsia="cs-CZ"/>
              </w:rPr>
              <w:t>PS03 „</w:t>
            </w:r>
            <w:r w:rsidR="009F593E" w:rsidRPr="008B53A9">
              <w:rPr>
                <w:rFonts w:cs="Calibri"/>
                <w:b/>
                <w:lang w:val="cs-CZ" w:eastAsia="cs-CZ"/>
              </w:rPr>
              <w:t>Účinné nakládání</w:t>
            </w:r>
            <w:r w:rsidR="00B70E21" w:rsidRPr="008B53A9">
              <w:rPr>
                <w:rFonts w:cs="Calibri"/>
                <w:b/>
                <w:lang w:val="cs-CZ" w:eastAsia="cs-CZ"/>
              </w:rPr>
              <w:t xml:space="preserve"> </w:t>
            </w:r>
            <w:r w:rsidR="00E701CA" w:rsidRPr="008B53A9">
              <w:rPr>
                <w:rFonts w:cs="Calibri"/>
                <w:b/>
                <w:lang w:val="cs-CZ" w:eastAsia="cs-CZ"/>
              </w:rPr>
              <w:t>energií, rozvoj energetické infrastruktury a obnovitelných zdrojů energie, podpora zavádění nových technologií v oblasti nakládání energií a druhotných surovin</w:t>
            </w:r>
            <w:r w:rsidRPr="008B53A9">
              <w:rPr>
                <w:rFonts w:cs="Calibri"/>
                <w:b/>
                <w:lang w:val="cs-CZ" w:eastAsia="cs-CZ"/>
              </w:rPr>
              <w:t>“</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Hospodářská komora ČR</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194" w:history="1">
              <w:r w:rsidR="00400DD1" w:rsidRPr="008B53A9">
                <w:rPr>
                  <w:rStyle w:val="Hypertextovodkaz"/>
                  <w:rFonts w:cs="Calibri"/>
                  <w:bCs/>
                  <w:lang w:val="cs-CZ" w:eastAsia="cs-CZ"/>
                </w:rPr>
                <w:t>http://www.komora.cz/</w:t>
              </w:r>
            </w:hyperlink>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Potravinářská komora ČR</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195" w:history="1">
              <w:r w:rsidR="00400DD1" w:rsidRPr="008B53A9">
                <w:rPr>
                  <w:rStyle w:val="Hypertextovodkaz"/>
                  <w:rFonts w:cs="Calibri"/>
                  <w:bCs/>
                  <w:lang w:val="cs-CZ" w:eastAsia="cs-CZ"/>
                </w:rPr>
                <w:t>http://www.pkcr.cz/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Agrární komora ČR</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196" w:history="1">
              <w:r w:rsidR="00400DD1" w:rsidRPr="008B53A9">
                <w:rPr>
                  <w:rStyle w:val="Hypertextovodkaz"/>
                  <w:rFonts w:cs="Calibri"/>
                  <w:bCs/>
                  <w:lang w:val="cs-CZ" w:eastAsia="cs-CZ"/>
                </w:rPr>
                <w:t>http://www.agrocr.cz/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průmyslu a dopravy ČR</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197" w:history="1">
              <w:r w:rsidR="00400DD1" w:rsidRPr="008B53A9">
                <w:rPr>
                  <w:rStyle w:val="Hypertextovodkaz"/>
                  <w:rFonts w:cs="Calibri"/>
                  <w:bCs/>
                  <w:lang w:val="cs-CZ" w:eastAsia="cs-CZ"/>
                </w:rPr>
                <w:t>http://www.spcr.cz/</w:t>
              </w:r>
            </w:hyperlink>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měst a obcí ČR</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198" w:history="1">
              <w:r w:rsidR="00400DD1" w:rsidRPr="008B53A9">
                <w:rPr>
                  <w:rStyle w:val="Hypertextovodkaz"/>
                  <w:rFonts w:cs="Calibri"/>
                  <w:bCs/>
                  <w:lang w:val="cs-CZ" w:eastAsia="cs-CZ"/>
                </w:rPr>
                <w:t>http://www.smocr.cz/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průmyslu druhotných surovin</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199" w:history="1">
              <w:r w:rsidR="00400DD1" w:rsidRPr="008B53A9">
                <w:rPr>
                  <w:rStyle w:val="Hypertextovodkaz"/>
                  <w:rFonts w:cs="Calibri"/>
                  <w:bCs/>
                  <w:lang w:val="cs-CZ" w:eastAsia="cs-CZ"/>
                </w:rPr>
                <w:t>http://www.spds.cz/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malých a středních podniků</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0" w:history="1">
              <w:r w:rsidR="00400DD1" w:rsidRPr="008B53A9">
                <w:rPr>
                  <w:rStyle w:val="Hypertextovodkaz"/>
                  <w:rFonts w:cs="Calibri"/>
                  <w:bCs/>
                  <w:lang w:val="cs-CZ" w:eastAsia="cs-CZ"/>
                </w:rPr>
                <w:t>http://www.amsp.cz/</w:t>
              </w:r>
            </w:hyperlink>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Nestátní neziskové organizace</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1" w:history="1">
              <w:r w:rsidR="00400DD1" w:rsidRPr="008B53A9">
                <w:rPr>
                  <w:rStyle w:val="Hypertextovodkaz"/>
                  <w:rFonts w:cs="Calibri"/>
                  <w:bCs/>
                  <w:lang w:val="cs-CZ" w:eastAsia="cs-CZ"/>
                </w:rPr>
                <w:t>http://www.asociacenno.cz/</w:t>
              </w:r>
            </w:hyperlink>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dodavatelů tepla a technologií</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2" w:history="1">
              <w:r w:rsidR="00400DD1" w:rsidRPr="008B53A9">
                <w:rPr>
                  <w:rStyle w:val="Hypertextovodkaz"/>
                  <w:rFonts w:cs="Calibri"/>
                  <w:bCs/>
                  <w:lang w:val="cs-CZ" w:eastAsia="cs-CZ"/>
                </w:rPr>
                <w:t>http://adtt.cz/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poskytovatelů energetických služeb</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3" w:history="1">
              <w:r w:rsidR="00400DD1" w:rsidRPr="008B53A9">
                <w:rPr>
                  <w:rStyle w:val="Hypertextovodkaz"/>
                  <w:rFonts w:cs="Calibri"/>
                  <w:bCs/>
                  <w:lang w:val="cs-CZ" w:eastAsia="cs-CZ"/>
                </w:rPr>
                <w:t>http://apes.cz/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pro využití OZE</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4" w:history="1">
              <w:r w:rsidR="00400DD1" w:rsidRPr="008B53A9">
                <w:rPr>
                  <w:rStyle w:val="Hypertextovodkaz"/>
                  <w:rFonts w:cs="Calibri"/>
                  <w:bCs/>
                  <w:lang w:val="cs-CZ" w:eastAsia="cs-CZ"/>
                </w:rPr>
                <w:t>http://www.oze.cz/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pro využití energetických produktů</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5" w:history="1">
              <w:r w:rsidR="00400DD1" w:rsidRPr="008B53A9">
                <w:rPr>
                  <w:rStyle w:val="Hypertextovodkaz"/>
                  <w:rFonts w:cs="Calibri"/>
                  <w:bCs/>
                  <w:lang w:val="cs-CZ" w:eastAsia="cs-CZ"/>
                </w:rPr>
                <w:t>http://www.asvep.cz/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Národní síť Místních akčních skupin České republiky, o.s.</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6" w:history="1">
              <w:r w:rsidR="00400DD1" w:rsidRPr="008B53A9">
                <w:rPr>
                  <w:rStyle w:val="Hypertextovodkaz"/>
                  <w:rFonts w:cs="Calibri"/>
                  <w:bCs/>
                  <w:lang w:val="cs-CZ" w:eastAsia="cs-CZ"/>
                </w:rPr>
                <w:t>http://nsmascr.cz/o-nas/mistni-akncni-skupiny/</w:t>
              </w:r>
            </w:hyperlink>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 xml:space="preserve">Konfederace zaměstnavatelských a </w:t>
            </w:r>
            <w:r w:rsidRPr="008B53A9">
              <w:rPr>
                <w:rFonts w:cs="Calibri"/>
                <w:lang w:val="cs-CZ" w:eastAsia="cs-CZ"/>
              </w:rPr>
              <w:lastRenderedPageBreak/>
              <w:t>podnikatelských svazů</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7" w:history="1">
              <w:r w:rsidR="00400DD1" w:rsidRPr="008B53A9">
                <w:rPr>
                  <w:rStyle w:val="Hypertextovodkaz"/>
                  <w:rFonts w:cs="Calibri"/>
                  <w:bCs/>
                  <w:lang w:val="cs-CZ" w:eastAsia="cs-CZ"/>
                </w:rPr>
                <w:t>http://www.kzps.cz/</w:t>
              </w:r>
            </w:hyperlink>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lastRenderedPageBreak/>
              <w:t>Teplárenské sdružení České republiky</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8" w:history="1">
              <w:r w:rsidR="00400DD1" w:rsidRPr="008B53A9">
                <w:rPr>
                  <w:rStyle w:val="Hypertextovodkaz"/>
                  <w:rFonts w:cs="Calibri"/>
                  <w:bCs/>
                  <w:lang w:val="cs-CZ" w:eastAsia="cs-CZ"/>
                </w:rPr>
                <w:t>http://www.tscr.cz/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České sdružení regulovaných elektrotechnických společností</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09" w:history="1">
              <w:r w:rsidR="00400DD1" w:rsidRPr="008B53A9">
                <w:rPr>
                  <w:rStyle w:val="Hypertextovodkaz"/>
                  <w:rFonts w:cs="Calibri"/>
                  <w:bCs/>
                  <w:lang w:val="cs-CZ" w:eastAsia="cs-CZ"/>
                </w:rPr>
                <w:t>http://www.csres.cz/</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Šance pro budovy</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10" w:history="1">
              <w:r w:rsidR="00400DD1" w:rsidRPr="008B53A9">
                <w:rPr>
                  <w:rStyle w:val="Hypertextovodkaz"/>
                  <w:rFonts w:cs="Calibri"/>
                  <w:bCs/>
                  <w:lang w:val="cs-CZ" w:eastAsia="cs-CZ"/>
                </w:rPr>
                <w:t>http://www.sanceprobudovy.cz/cs.html?start=20</w:t>
              </w:r>
            </w:hyperlink>
            <w:r w:rsidR="00400DD1" w:rsidRPr="008B53A9">
              <w:rPr>
                <w:rFonts w:cs="Calibri"/>
                <w:lang w:val="cs-CZ" w:eastAsia="cs-CZ"/>
              </w:rPr>
              <w:t xml:space="preserve"> </w:t>
            </w:r>
          </w:p>
        </w:tc>
      </w:tr>
      <w:tr w:rsidR="00400DD1" w:rsidRPr="008B53A9">
        <w:trPr>
          <w:trHeight w:val="414"/>
        </w:trPr>
        <w:tc>
          <w:tcPr>
            <w:tcW w:w="2388"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Hlavní město Praha</w:t>
            </w:r>
          </w:p>
        </w:tc>
        <w:tc>
          <w:tcPr>
            <w:tcW w:w="2612" w:type="pct"/>
            <w:shd w:val="clear" w:color="auto" w:fill="auto"/>
            <w:vAlign w:val="center"/>
          </w:tcPr>
          <w:p w:rsidR="00400DD1" w:rsidRPr="008B53A9" w:rsidRDefault="008B53A9" w:rsidP="00F23CDB">
            <w:pPr>
              <w:pStyle w:val="Tabulka"/>
              <w:jc w:val="left"/>
              <w:rPr>
                <w:rFonts w:cs="Calibri"/>
                <w:lang w:val="cs-CZ" w:eastAsia="cs-CZ"/>
              </w:rPr>
            </w:pPr>
            <w:hyperlink r:id="rId211" w:history="1">
              <w:r w:rsidR="00400DD1" w:rsidRPr="008B53A9">
                <w:rPr>
                  <w:rStyle w:val="Hypertextovodkaz"/>
                  <w:rFonts w:cs="Calibri"/>
                  <w:bCs/>
                  <w:lang w:val="cs-CZ" w:eastAsia="cs-CZ"/>
                </w:rPr>
                <w:t>http://www.praha.eu/jnp/cz/home/index.html</w:t>
              </w:r>
            </w:hyperlink>
          </w:p>
        </w:tc>
      </w:tr>
    </w:tbl>
    <w:p w:rsidR="00400DD1" w:rsidRPr="008B53A9"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920"/>
      </w:tblGrid>
      <w:tr w:rsidR="00400DD1" w:rsidRPr="008B53A9">
        <w:tc>
          <w:tcPr>
            <w:tcW w:w="5000" w:type="pct"/>
            <w:gridSpan w:val="2"/>
            <w:shd w:val="clear" w:color="auto" w:fill="DBE5F1"/>
            <w:vAlign w:val="center"/>
          </w:tcPr>
          <w:p w:rsidR="00400DD1" w:rsidRPr="008B53A9" w:rsidRDefault="00400DD1" w:rsidP="007D5FD2">
            <w:pPr>
              <w:pStyle w:val="Tabulka"/>
              <w:rPr>
                <w:rFonts w:cs="Calibri"/>
                <w:b/>
                <w:lang w:val="cs-CZ" w:eastAsia="cs-CZ"/>
              </w:rPr>
            </w:pPr>
            <w:r w:rsidRPr="008B53A9">
              <w:rPr>
                <w:rFonts w:cs="Calibri"/>
                <w:b/>
                <w:lang w:val="cs-CZ" w:eastAsia="cs-CZ"/>
              </w:rPr>
              <w:t>PS04 „Rozvoj sítí pro vysokorychlostní přístup k internetu a informačních a komunikačních technologií“</w:t>
            </w:r>
          </w:p>
        </w:tc>
      </w:tr>
      <w:tr w:rsidR="00400DD1" w:rsidRPr="008B53A9">
        <w:trPr>
          <w:trHeight w:val="414"/>
        </w:trPr>
        <w:tc>
          <w:tcPr>
            <w:tcW w:w="2391" w:type="pct"/>
            <w:shd w:val="clear" w:color="auto" w:fill="auto"/>
            <w:vAlign w:val="center"/>
          </w:tcPr>
          <w:p w:rsidR="00400DD1" w:rsidRPr="008B53A9" w:rsidRDefault="000E47D9" w:rsidP="00F23CDB">
            <w:pPr>
              <w:pStyle w:val="Tabulka"/>
              <w:jc w:val="left"/>
              <w:rPr>
                <w:rFonts w:cs="Calibri"/>
                <w:lang w:val="cs-CZ" w:eastAsia="cs-CZ"/>
              </w:rPr>
            </w:pPr>
            <w:r w:rsidRPr="008B53A9">
              <w:rPr>
                <w:rFonts w:cs="Calibri"/>
                <w:lang w:val="cs-CZ" w:eastAsia="cs-CZ"/>
              </w:rPr>
              <w:t>Ministerstvo dopravy</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12" w:history="1">
              <w:r w:rsidR="00400DD1" w:rsidRPr="008B53A9">
                <w:rPr>
                  <w:rStyle w:val="Hypertextovodkaz"/>
                  <w:rFonts w:cs="Calibri"/>
                  <w:bCs/>
                  <w:lang w:val="cs-CZ" w:eastAsia="cs-CZ"/>
                </w:rPr>
                <w:t>http://www.mdcr.cz/cs/default.htm</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průmyslu a dopravy ČR</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13" w:history="1">
              <w:r w:rsidR="00400DD1" w:rsidRPr="008B53A9">
                <w:rPr>
                  <w:rStyle w:val="Hypertextovodkaz"/>
                  <w:rFonts w:cs="Calibri"/>
                  <w:bCs/>
                  <w:lang w:val="cs-CZ" w:eastAsia="cs-CZ"/>
                </w:rPr>
                <w:t>http://www.spcr.cz/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měst a obcí ČR</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14" w:history="1">
              <w:r w:rsidR="00400DD1" w:rsidRPr="008B53A9">
                <w:rPr>
                  <w:rStyle w:val="Hypertextovodkaz"/>
                  <w:rFonts w:cs="Calibri"/>
                  <w:bCs/>
                  <w:lang w:val="cs-CZ" w:eastAsia="cs-CZ"/>
                </w:rPr>
                <w:t>http://www.smocr.cz/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obchodu a cestovního ruchu</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15" w:history="1">
              <w:r w:rsidR="00400DD1" w:rsidRPr="008B53A9">
                <w:rPr>
                  <w:rStyle w:val="Hypertextovodkaz"/>
                  <w:rFonts w:cs="Calibri"/>
                  <w:bCs/>
                  <w:lang w:val="cs-CZ" w:eastAsia="cs-CZ"/>
                </w:rPr>
                <w:t>http://www.socr.cz/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Asociace malých a středních podniků</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16" w:history="1">
              <w:r w:rsidR="00400DD1" w:rsidRPr="008B53A9">
                <w:rPr>
                  <w:rStyle w:val="Hypertextovodkaz"/>
                  <w:rFonts w:cs="Calibri"/>
                  <w:bCs/>
                  <w:lang w:val="cs-CZ" w:eastAsia="cs-CZ"/>
                </w:rPr>
                <w:t>http://www.amsp.cz/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Nestátní neziskové organizace</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17" w:history="1">
              <w:r w:rsidR="00400DD1" w:rsidRPr="008B53A9">
                <w:rPr>
                  <w:rStyle w:val="Hypertextovodkaz"/>
                  <w:rFonts w:cs="Calibri"/>
                  <w:bCs/>
                  <w:lang w:val="cs-CZ" w:eastAsia="cs-CZ"/>
                </w:rPr>
                <w:t>http://www.asociacenno.cz/</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Národní síť Místních akčních skupin České republiky, o.s.</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18" w:history="1">
              <w:r w:rsidR="00400DD1" w:rsidRPr="008B53A9">
                <w:rPr>
                  <w:rStyle w:val="Hypertextovodkaz"/>
                  <w:rFonts w:cs="Calibri"/>
                  <w:bCs/>
                  <w:lang w:val="cs-CZ" w:eastAsia="cs-CZ"/>
                </w:rPr>
                <w:t>http://nsmascr.cz/o-nas/mistni-akncni-skupiny/</w:t>
              </w:r>
            </w:hyperlink>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Český telekomunikační úřad</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19" w:history="1">
              <w:r w:rsidR="00400DD1" w:rsidRPr="008B53A9">
                <w:rPr>
                  <w:rStyle w:val="Hypertextovodkaz"/>
                  <w:rFonts w:cs="Calibri"/>
                  <w:bCs/>
                  <w:lang w:val="cs-CZ" w:eastAsia="cs-CZ"/>
                </w:rPr>
                <w:t>http://www.ctu.cz/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Vysoká škola ekonomická v Praze</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20" w:history="1">
              <w:r w:rsidR="00400DD1" w:rsidRPr="008B53A9">
                <w:rPr>
                  <w:rStyle w:val="Hypertextovodkaz"/>
                  <w:rFonts w:cs="Calibri"/>
                  <w:bCs/>
                  <w:lang w:val="cs-CZ" w:eastAsia="cs-CZ"/>
                </w:rPr>
                <w:t>http://www.vse.cz/</w:t>
              </w:r>
            </w:hyperlink>
            <w:r w:rsidR="00400DD1" w:rsidRPr="008B53A9">
              <w:rPr>
                <w:rFonts w:cs="Calibri"/>
                <w:lang w:val="cs-CZ" w:eastAsia="cs-CZ"/>
              </w:rPr>
              <w:t xml:space="preserve"> </w:t>
            </w:r>
          </w:p>
        </w:tc>
      </w:tr>
      <w:tr w:rsidR="00400DD1" w:rsidRPr="008B53A9">
        <w:trPr>
          <w:trHeight w:val="414"/>
        </w:trPr>
        <w:tc>
          <w:tcPr>
            <w:tcW w:w="2391"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Hlavní město Praha</w:t>
            </w:r>
          </w:p>
        </w:tc>
        <w:tc>
          <w:tcPr>
            <w:tcW w:w="2609" w:type="pct"/>
            <w:shd w:val="clear" w:color="auto" w:fill="auto"/>
            <w:vAlign w:val="center"/>
          </w:tcPr>
          <w:p w:rsidR="00400DD1" w:rsidRPr="008B53A9" w:rsidRDefault="008B53A9" w:rsidP="00F23CDB">
            <w:pPr>
              <w:pStyle w:val="Tabulka"/>
              <w:jc w:val="left"/>
              <w:rPr>
                <w:rFonts w:cs="Calibri"/>
                <w:lang w:val="cs-CZ" w:eastAsia="cs-CZ"/>
              </w:rPr>
            </w:pPr>
            <w:hyperlink r:id="rId221" w:history="1">
              <w:r w:rsidR="00400DD1" w:rsidRPr="008B53A9">
                <w:rPr>
                  <w:rStyle w:val="Hypertextovodkaz"/>
                  <w:rFonts w:cs="Calibri"/>
                  <w:bCs/>
                  <w:lang w:val="cs-CZ" w:eastAsia="cs-CZ"/>
                </w:rPr>
                <w:t>http://www.praha.eu/jnp/cz/home/index.html</w:t>
              </w:r>
            </w:hyperlink>
          </w:p>
        </w:tc>
      </w:tr>
    </w:tbl>
    <w:p w:rsidR="00400DD1" w:rsidRPr="008B53A9"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8B53A9">
        <w:trPr>
          <w:trHeight w:val="414"/>
        </w:trPr>
        <w:tc>
          <w:tcPr>
            <w:tcW w:w="5000" w:type="pct"/>
            <w:gridSpan w:val="2"/>
            <w:shd w:val="clear" w:color="auto" w:fill="DBE5F1"/>
            <w:vAlign w:val="center"/>
          </w:tcPr>
          <w:p w:rsidR="00400DD1" w:rsidRPr="008B53A9" w:rsidRDefault="00400DD1" w:rsidP="007D5FD2">
            <w:pPr>
              <w:pStyle w:val="Tabulka"/>
              <w:rPr>
                <w:rFonts w:cs="Calibri"/>
                <w:b/>
                <w:lang w:val="cs-CZ" w:eastAsia="cs-CZ"/>
              </w:rPr>
            </w:pPr>
            <w:r w:rsidRPr="008B53A9">
              <w:rPr>
                <w:rFonts w:cs="Calibri"/>
                <w:b/>
                <w:lang w:val="cs-CZ" w:eastAsia="cs-CZ"/>
              </w:rPr>
              <w:t>PS05 „Příprava finančních nástrojů“</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Národní ekonomická rada vlády</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222" w:history="1">
              <w:r w:rsidR="00400DD1" w:rsidRPr="008B53A9">
                <w:rPr>
                  <w:rStyle w:val="Hypertextovodkaz"/>
                  <w:rFonts w:cs="Calibri"/>
                  <w:bCs/>
                  <w:lang w:val="cs-CZ" w:eastAsia="cs-CZ"/>
                </w:rPr>
                <w:t>http://www.vlada.cz/cz/ppov/ekonomicka-rada/narodni-ekonomicka-rada-vlady-51371/</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Českomoravská záruční a rozvojová banka</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223" w:history="1">
              <w:r w:rsidR="00400DD1" w:rsidRPr="008B53A9">
                <w:rPr>
                  <w:rStyle w:val="Hypertextovodkaz"/>
                  <w:rFonts w:cs="Calibri"/>
                  <w:bCs/>
                  <w:lang w:val="cs-CZ" w:eastAsia="cs-CZ"/>
                </w:rPr>
                <w:t>http://www.cmzrb.cz/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měst a obcí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224" w:history="1">
              <w:r w:rsidR="00400DD1" w:rsidRPr="008B53A9">
                <w:rPr>
                  <w:rStyle w:val="Hypertextovodkaz"/>
                  <w:rFonts w:cs="Calibri"/>
                  <w:bCs/>
                  <w:lang w:val="cs-CZ" w:eastAsia="cs-CZ"/>
                </w:rPr>
                <w:t>http://www.smocr.cz/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Česká bankovní asociace</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225" w:history="1">
              <w:r w:rsidR="00400DD1" w:rsidRPr="008B53A9">
                <w:rPr>
                  <w:rStyle w:val="Hypertextovodkaz"/>
                  <w:rFonts w:cs="Calibri"/>
                  <w:bCs/>
                  <w:lang w:val="cs-CZ" w:eastAsia="cs-CZ"/>
                </w:rPr>
                <w:t>https://www.czech-ba.cz/</w:t>
              </w:r>
            </w:hyperlink>
            <w:r w:rsidR="00400DD1" w:rsidRPr="008B53A9">
              <w:rPr>
                <w:rFonts w:cs="Calibri"/>
                <w:lang w:val="cs-CZ" w:eastAsia="cs-CZ"/>
              </w:rPr>
              <w:t xml:space="preserve"> </w:t>
            </w:r>
          </w:p>
        </w:tc>
      </w:tr>
      <w:tr w:rsidR="002002C5" w:rsidRPr="008B53A9">
        <w:trPr>
          <w:trHeight w:val="414"/>
        </w:trPr>
        <w:tc>
          <w:tcPr>
            <w:tcW w:w="2395" w:type="pct"/>
            <w:shd w:val="clear" w:color="auto" w:fill="auto"/>
            <w:vAlign w:val="center"/>
          </w:tcPr>
          <w:p w:rsidR="002002C5" w:rsidRPr="008B53A9" w:rsidRDefault="002002C5" w:rsidP="00E7342F">
            <w:pPr>
              <w:pStyle w:val="Tabulka"/>
              <w:jc w:val="left"/>
              <w:rPr>
                <w:rFonts w:cs="Calibri"/>
                <w:lang w:val="cs-CZ" w:eastAsia="cs-CZ"/>
              </w:rPr>
            </w:pPr>
            <w:r w:rsidRPr="008B53A9">
              <w:rPr>
                <w:rFonts w:cs="Calibri"/>
                <w:lang w:val="cs-CZ" w:eastAsia="cs-CZ"/>
              </w:rPr>
              <w:t>Czech Venture Capital &amp; Private Equity Association</w:t>
            </w:r>
          </w:p>
        </w:tc>
        <w:tc>
          <w:tcPr>
            <w:tcW w:w="2605" w:type="pct"/>
            <w:shd w:val="clear" w:color="auto" w:fill="auto"/>
            <w:vAlign w:val="center"/>
          </w:tcPr>
          <w:p w:rsidR="002002C5" w:rsidRPr="008B53A9" w:rsidRDefault="008B53A9" w:rsidP="00E7342F">
            <w:pPr>
              <w:pStyle w:val="Tabulka"/>
              <w:jc w:val="left"/>
              <w:rPr>
                <w:rFonts w:cs="Calibri"/>
                <w:lang w:val="cs-CZ" w:eastAsia="cs-CZ"/>
              </w:rPr>
            </w:pPr>
            <w:hyperlink r:id="rId226" w:history="1">
              <w:r w:rsidR="002002C5" w:rsidRPr="008B53A9">
                <w:rPr>
                  <w:rStyle w:val="Hypertextovodkaz"/>
                  <w:rFonts w:cs="Calibri"/>
                  <w:lang w:val="cs-CZ" w:eastAsia="cs-CZ"/>
                </w:rPr>
                <w:t>http://www.cvca.cz</w:t>
              </w:r>
            </w:hyperlink>
          </w:p>
        </w:tc>
      </w:tr>
    </w:tbl>
    <w:p w:rsidR="00400DD1" w:rsidRPr="008B53A9" w:rsidRDefault="00400DD1" w:rsidP="00400DD1">
      <w:pPr>
        <w:pStyle w:val="Standardntex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6"/>
        <w:gridCol w:w="4912"/>
      </w:tblGrid>
      <w:tr w:rsidR="00400DD1" w:rsidRPr="008B53A9">
        <w:trPr>
          <w:trHeight w:val="430"/>
        </w:trPr>
        <w:tc>
          <w:tcPr>
            <w:tcW w:w="5000" w:type="pct"/>
            <w:gridSpan w:val="2"/>
            <w:shd w:val="clear" w:color="auto" w:fill="DBE5F1"/>
            <w:vAlign w:val="center"/>
          </w:tcPr>
          <w:p w:rsidR="00400DD1" w:rsidRPr="008B53A9" w:rsidRDefault="00400DD1" w:rsidP="007D5FD2">
            <w:pPr>
              <w:pStyle w:val="Tabulka"/>
              <w:rPr>
                <w:rFonts w:cs="Calibri"/>
                <w:b/>
                <w:lang w:val="cs-CZ" w:eastAsia="cs-CZ"/>
              </w:rPr>
            </w:pPr>
            <w:r w:rsidRPr="008B53A9">
              <w:rPr>
                <w:rFonts w:cs="Calibri"/>
                <w:b/>
                <w:lang w:val="cs-CZ" w:eastAsia="cs-CZ"/>
              </w:rPr>
              <w:t>PS06 „Horizontální“</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M</w:t>
            </w:r>
            <w:r w:rsidR="000E47D9" w:rsidRPr="008B53A9">
              <w:rPr>
                <w:rFonts w:cs="Calibri"/>
                <w:lang w:val="cs-CZ" w:eastAsia="cs-CZ"/>
              </w:rPr>
              <w:t>inisterstvo pro místní rozvoj</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227" w:history="1">
              <w:r w:rsidR="00400DD1" w:rsidRPr="008B53A9">
                <w:rPr>
                  <w:rStyle w:val="Hypertextovodkaz"/>
                  <w:rFonts w:cs="Calibri"/>
                  <w:bCs/>
                  <w:lang w:val="cs-CZ" w:eastAsia="cs-CZ"/>
                </w:rPr>
                <w:t>http://www.mmr.cz/cs/Uvodni-strana</w:t>
              </w:r>
            </w:hyperlink>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Svaz měst a obcí ČR</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228" w:history="1">
              <w:r w:rsidR="00400DD1" w:rsidRPr="008B53A9">
                <w:rPr>
                  <w:rStyle w:val="Hypertextovodkaz"/>
                  <w:rFonts w:cs="Calibri"/>
                  <w:bCs/>
                  <w:lang w:val="cs-CZ" w:eastAsia="cs-CZ"/>
                </w:rPr>
                <w:t>http://www.smocr.cz/</w:t>
              </w:r>
            </w:hyperlink>
            <w:r w:rsidR="00400DD1" w:rsidRPr="008B53A9">
              <w:rPr>
                <w:rFonts w:cs="Calibri"/>
                <w:lang w:val="cs-CZ" w:eastAsia="cs-CZ"/>
              </w:rPr>
              <w:t xml:space="preserve"> </w:t>
            </w:r>
          </w:p>
        </w:tc>
      </w:tr>
      <w:tr w:rsidR="00400DD1" w:rsidRPr="008B53A9">
        <w:trPr>
          <w:trHeight w:val="414"/>
        </w:trPr>
        <w:tc>
          <w:tcPr>
            <w:tcW w:w="2395" w:type="pct"/>
            <w:shd w:val="clear" w:color="auto" w:fill="auto"/>
            <w:vAlign w:val="center"/>
          </w:tcPr>
          <w:p w:rsidR="00400DD1" w:rsidRPr="008B53A9" w:rsidRDefault="00400DD1" w:rsidP="00F23CDB">
            <w:pPr>
              <w:pStyle w:val="Tabulka"/>
              <w:jc w:val="left"/>
              <w:rPr>
                <w:rFonts w:cs="Calibri"/>
                <w:lang w:val="cs-CZ" w:eastAsia="cs-CZ"/>
              </w:rPr>
            </w:pPr>
            <w:r w:rsidRPr="008B53A9">
              <w:rPr>
                <w:rFonts w:cs="Calibri"/>
                <w:lang w:val="cs-CZ" w:eastAsia="cs-CZ"/>
              </w:rPr>
              <w:t>Česká bankovní asociace</w:t>
            </w:r>
          </w:p>
        </w:tc>
        <w:tc>
          <w:tcPr>
            <w:tcW w:w="2605" w:type="pct"/>
            <w:shd w:val="clear" w:color="auto" w:fill="auto"/>
            <w:vAlign w:val="center"/>
          </w:tcPr>
          <w:p w:rsidR="00400DD1" w:rsidRPr="008B53A9" w:rsidRDefault="008B53A9" w:rsidP="00F23CDB">
            <w:pPr>
              <w:pStyle w:val="Tabulka"/>
              <w:jc w:val="left"/>
              <w:rPr>
                <w:rFonts w:cs="Calibri"/>
                <w:lang w:val="cs-CZ" w:eastAsia="cs-CZ"/>
              </w:rPr>
            </w:pPr>
            <w:hyperlink r:id="rId229" w:history="1">
              <w:r w:rsidR="00184A61" w:rsidRPr="008B53A9">
                <w:rPr>
                  <w:rStyle w:val="Hypertextovodkaz"/>
                  <w:rFonts w:cs="Calibri"/>
                  <w:bCs/>
                  <w:lang w:val="cs-CZ" w:eastAsia="cs-CZ"/>
                </w:rPr>
                <w:t>https://www.czech-ba.cz/</w:t>
              </w:r>
            </w:hyperlink>
          </w:p>
        </w:tc>
      </w:tr>
      <w:tr w:rsidR="00184A61" w:rsidRPr="008B53A9">
        <w:trPr>
          <w:trHeight w:val="414"/>
        </w:trPr>
        <w:tc>
          <w:tcPr>
            <w:tcW w:w="2395" w:type="pct"/>
            <w:shd w:val="clear" w:color="auto" w:fill="auto"/>
            <w:vAlign w:val="center"/>
          </w:tcPr>
          <w:p w:rsidR="00184A61" w:rsidRPr="008B53A9" w:rsidRDefault="00184A61" w:rsidP="00F23CDB">
            <w:pPr>
              <w:pStyle w:val="Tabulka"/>
              <w:jc w:val="left"/>
              <w:rPr>
                <w:rFonts w:cs="Calibri"/>
                <w:lang w:val="cs-CZ" w:eastAsia="cs-CZ"/>
              </w:rPr>
            </w:pPr>
            <w:r w:rsidRPr="008B53A9">
              <w:rPr>
                <w:rFonts w:cs="Calibri"/>
                <w:lang w:val="cs-CZ" w:eastAsia="cs-CZ"/>
              </w:rPr>
              <w:lastRenderedPageBreak/>
              <w:t>Českomoravská záruční a rozvojová banka, a.s.</w:t>
            </w:r>
          </w:p>
        </w:tc>
        <w:tc>
          <w:tcPr>
            <w:tcW w:w="2605" w:type="pct"/>
            <w:shd w:val="clear" w:color="auto" w:fill="auto"/>
            <w:vAlign w:val="center"/>
          </w:tcPr>
          <w:p w:rsidR="00184A61" w:rsidRPr="008B53A9" w:rsidRDefault="008B53A9" w:rsidP="00F23CDB">
            <w:pPr>
              <w:pStyle w:val="Tabulka"/>
              <w:jc w:val="left"/>
              <w:rPr>
                <w:rFonts w:cs="Calibri"/>
                <w:lang w:val="cs-CZ" w:eastAsia="cs-CZ"/>
              </w:rPr>
            </w:pPr>
            <w:hyperlink r:id="rId230" w:history="1">
              <w:r w:rsidR="00184A61" w:rsidRPr="008B53A9">
                <w:rPr>
                  <w:rStyle w:val="Hypertextovodkaz"/>
                  <w:rFonts w:cs="Calibri"/>
                  <w:lang w:val="cs-CZ" w:eastAsia="cs-CZ"/>
                </w:rPr>
                <w:t>http://cmzrb.cz</w:t>
              </w:r>
            </w:hyperlink>
            <w:r w:rsidR="00184A61" w:rsidRPr="008B53A9">
              <w:rPr>
                <w:rFonts w:cs="Calibri"/>
                <w:lang w:val="cs-CZ" w:eastAsia="cs-CZ"/>
              </w:rPr>
              <w:t xml:space="preserve"> </w:t>
            </w:r>
          </w:p>
        </w:tc>
      </w:tr>
      <w:bookmarkEnd w:id="147"/>
    </w:tbl>
    <w:p w:rsidR="009B27F6" w:rsidRPr="008B53A9" w:rsidRDefault="009B27F6" w:rsidP="009B27F6">
      <w:pPr>
        <w:pStyle w:val="Standardntext"/>
      </w:pPr>
    </w:p>
    <w:p w:rsidR="009B27F6" w:rsidRPr="008B53A9" w:rsidRDefault="009B27F6" w:rsidP="009B27F6">
      <w:pPr>
        <w:pStyle w:val="Standardntext"/>
      </w:pPr>
    </w:p>
    <w:p w:rsidR="00AA042C" w:rsidRPr="008B53A9" w:rsidRDefault="0084765A" w:rsidP="00E134D0">
      <w:pPr>
        <w:pStyle w:val="Nadpis2"/>
        <w:numPr>
          <w:ilvl w:val="0"/>
          <w:numId w:val="0"/>
        </w:numPr>
        <w:ind w:left="576" w:hanging="576"/>
        <w:rPr>
          <w:rFonts w:cs="Calibri"/>
        </w:rPr>
      </w:pPr>
      <w:bookmarkStart w:id="149" w:name="_Toc391539704"/>
      <w:r w:rsidRPr="008B53A9">
        <w:rPr>
          <w:rFonts w:cs="Calibri"/>
        </w:rPr>
        <w:t>P</w:t>
      </w:r>
      <w:r w:rsidR="00E134D0" w:rsidRPr="008B53A9">
        <w:rPr>
          <w:rFonts w:cs="Calibri"/>
        </w:rPr>
        <w:t>ŘÍLOHY</w:t>
      </w:r>
      <w:r w:rsidRPr="008B53A9">
        <w:rPr>
          <w:rFonts w:cs="Calibri"/>
        </w:rPr>
        <w:t xml:space="preserve"> </w:t>
      </w:r>
      <w:r w:rsidR="00E134D0" w:rsidRPr="008B53A9">
        <w:rPr>
          <w:rFonts w:cs="Calibri"/>
        </w:rPr>
        <w:t>(nahrány do systému pro elektronickou výměnu dat jako samostatné soubory)</w:t>
      </w:r>
      <w:bookmarkEnd w:id="149"/>
    </w:p>
    <w:p w:rsidR="007F55D2" w:rsidRPr="008B53A9" w:rsidRDefault="004D0D1E" w:rsidP="005F43DF">
      <w:pPr>
        <w:pStyle w:val="Standardntext"/>
        <w:numPr>
          <w:ilvl w:val="0"/>
          <w:numId w:val="82"/>
        </w:numPr>
        <w:ind w:left="426"/>
      </w:pPr>
      <w:r w:rsidRPr="008B53A9">
        <w:t>N</w:t>
      </w:r>
      <w:r w:rsidR="00E134D0" w:rsidRPr="008B53A9">
        <w:t>ávrh zprávy o hodnocení ex ante a shrnutí (povinné)</w:t>
      </w:r>
    </w:p>
    <w:p w:rsidR="003D1B35" w:rsidRPr="008B53A9" w:rsidRDefault="004D0D1E" w:rsidP="005F43DF">
      <w:pPr>
        <w:pStyle w:val="Standardntext"/>
        <w:numPr>
          <w:ilvl w:val="0"/>
          <w:numId w:val="82"/>
        </w:numPr>
        <w:ind w:left="426"/>
      </w:pPr>
      <w:r w:rsidRPr="008B53A9">
        <w:t>D</w:t>
      </w:r>
      <w:r w:rsidR="00E134D0" w:rsidRPr="008B53A9">
        <w:t>okumentace o posouzení použitelnosti a plnění předběžných podmínek (je-li žádoucí)</w:t>
      </w:r>
    </w:p>
    <w:p w:rsidR="003D1B35" w:rsidRPr="008B53A9" w:rsidRDefault="004D0D1E" w:rsidP="005F43DF">
      <w:pPr>
        <w:pStyle w:val="Standardntext"/>
        <w:numPr>
          <w:ilvl w:val="0"/>
          <w:numId w:val="82"/>
        </w:numPr>
        <w:ind w:left="426"/>
      </w:pPr>
      <w:r w:rsidRPr="008B53A9">
        <w:t>S</w:t>
      </w:r>
      <w:r w:rsidR="00E134D0" w:rsidRPr="008B53A9">
        <w:t>hrnutí operačního programu pro veřejnost (je-li žádoucí)</w:t>
      </w:r>
    </w:p>
    <w:p w:rsidR="00681577" w:rsidRPr="008B53A9" w:rsidRDefault="00681577" w:rsidP="00681577">
      <w:pPr>
        <w:pStyle w:val="Standardntext"/>
        <w:numPr>
          <w:ilvl w:val="0"/>
          <w:numId w:val="82"/>
        </w:numPr>
        <w:ind w:left="426"/>
      </w:pPr>
      <w:r w:rsidRPr="008B53A9">
        <w:t>Stanovisko Ministerstva životního prostředí podle zákona č. 100/2001 Sb., o posuzování vlivů na životní prostředí</w:t>
      </w:r>
      <w:r w:rsidRPr="008B53A9">
        <w:rPr>
          <w:lang w:val="cs-CZ"/>
        </w:rPr>
        <w:t xml:space="preserve"> a o změně některých souvisejících zákonů</w:t>
      </w:r>
      <w:r w:rsidRPr="008B53A9">
        <w:t xml:space="preserve">, k návrhu koncepce „Operační program Podnikání a inovace </w:t>
      </w:r>
      <w:r w:rsidRPr="008B53A9">
        <w:rPr>
          <w:lang w:val="cs-CZ"/>
        </w:rPr>
        <w:t xml:space="preserve">pro konkurenceschopnost </w:t>
      </w:r>
      <w:r w:rsidRPr="008B53A9">
        <w:t>20</w:t>
      </w:r>
      <w:r w:rsidRPr="008B53A9">
        <w:rPr>
          <w:lang w:val="cs-CZ"/>
        </w:rPr>
        <w:t xml:space="preserve">14 </w:t>
      </w:r>
      <w:r w:rsidRPr="008B53A9">
        <w:t>-</w:t>
      </w:r>
      <w:r w:rsidRPr="008B53A9">
        <w:rPr>
          <w:lang w:val="cs-CZ"/>
        </w:rPr>
        <w:t xml:space="preserve"> </w:t>
      </w:r>
      <w:r w:rsidRPr="008B53A9">
        <w:t>20</w:t>
      </w:r>
      <w:r w:rsidRPr="008B53A9">
        <w:rPr>
          <w:lang w:val="cs-CZ"/>
        </w:rPr>
        <w:t>20</w:t>
      </w:r>
      <w:r w:rsidRPr="008B53A9">
        <w:t>“</w:t>
      </w:r>
    </w:p>
    <w:p w:rsidR="004D0D1E" w:rsidRPr="008B53A9" w:rsidRDefault="004D0D1E" w:rsidP="004D0D1E">
      <w:pPr>
        <w:pStyle w:val="Standardntext"/>
        <w:ind w:left="66"/>
        <w:rPr>
          <w:b/>
        </w:rPr>
      </w:pPr>
    </w:p>
    <w:p w:rsidR="004D0D1E" w:rsidRPr="008B53A9" w:rsidRDefault="004D0D1E" w:rsidP="004D0D1E">
      <w:pPr>
        <w:pStyle w:val="Standardntext"/>
        <w:ind w:left="66"/>
        <w:rPr>
          <w:b/>
        </w:rPr>
      </w:pPr>
      <w:r w:rsidRPr="008B53A9">
        <w:rPr>
          <w:b/>
        </w:rPr>
        <w:t>Nepovinné přílohy Operačního programu:</w:t>
      </w:r>
    </w:p>
    <w:p w:rsidR="00811581" w:rsidRPr="008B53A9" w:rsidRDefault="00811581" w:rsidP="005F43DF">
      <w:pPr>
        <w:pStyle w:val="Standardntext"/>
        <w:numPr>
          <w:ilvl w:val="0"/>
          <w:numId w:val="81"/>
        </w:numPr>
        <w:ind w:left="426"/>
      </w:pPr>
      <w:r w:rsidRPr="008B53A9">
        <w:t>Zhodnocení zkušeností z programovacího období 2007-2013</w:t>
      </w:r>
    </w:p>
    <w:p w:rsidR="00D3716C" w:rsidRPr="008B53A9" w:rsidRDefault="00D3716C" w:rsidP="005F43DF">
      <w:pPr>
        <w:pStyle w:val="Standardntext"/>
        <w:numPr>
          <w:ilvl w:val="0"/>
          <w:numId w:val="81"/>
        </w:numPr>
        <w:ind w:left="426"/>
      </w:pPr>
      <w:r w:rsidRPr="008B53A9">
        <w:t>Analýza potřeb ČR ve vybraných problémových oblastech Dohody o partnerství</w:t>
      </w:r>
    </w:p>
    <w:p w:rsidR="004D0D1E" w:rsidRPr="008B53A9" w:rsidRDefault="00436868" w:rsidP="005F43DF">
      <w:pPr>
        <w:pStyle w:val="Standardntext"/>
        <w:numPr>
          <w:ilvl w:val="0"/>
          <w:numId w:val="81"/>
        </w:numPr>
        <w:ind w:left="426"/>
      </w:pPr>
      <w:r w:rsidRPr="008B53A9">
        <w:t>Základní principy monitorování a vyhodnocování OP PIK</w:t>
      </w:r>
    </w:p>
    <w:p w:rsidR="00AA24AE" w:rsidRPr="008B53A9" w:rsidRDefault="004D0D1E" w:rsidP="005F43DF">
      <w:pPr>
        <w:pStyle w:val="Standardntext"/>
        <w:numPr>
          <w:ilvl w:val="0"/>
          <w:numId w:val="81"/>
        </w:numPr>
        <w:ind w:left="426"/>
      </w:pPr>
      <w:r w:rsidRPr="008B53A9">
        <w:t>Synergie a komplementarity</w:t>
      </w:r>
    </w:p>
    <w:p w:rsidR="00D66D7F" w:rsidRPr="008B53A9" w:rsidRDefault="00D66D7F">
      <w:pPr>
        <w:overflowPunct/>
        <w:autoSpaceDE/>
        <w:autoSpaceDN/>
        <w:adjustRightInd/>
        <w:textAlignment w:val="auto"/>
        <w:rPr>
          <w:rFonts w:ascii="Calibri" w:hAnsi="Calibri" w:cs="Calibri"/>
          <w:b/>
          <w:bCs/>
          <w:sz w:val="24"/>
          <w:szCs w:val="24"/>
        </w:rPr>
      </w:pPr>
    </w:p>
    <w:p w:rsidR="004D0D1E" w:rsidRPr="008B53A9" w:rsidRDefault="004D0D1E">
      <w:pPr>
        <w:overflowPunct/>
        <w:autoSpaceDE/>
        <w:autoSpaceDN/>
        <w:adjustRightInd/>
        <w:textAlignment w:val="auto"/>
        <w:rPr>
          <w:rFonts w:cs="Calibri"/>
        </w:rPr>
        <w:sectPr w:rsidR="004D0D1E" w:rsidRPr="008B53A9" w:rsidSect="00A72DFD">
          <w:headerReference w:type="default" r:id="rId231"/>
          <w:footerReference w:type="default" r:id="rId232"/>
          <w:type w:val="continuous"/>
          <w:pgSz w:w="11906" w:h="16838"/>
          <w:pgMar w:top="1418" w:right="1276" w:bottom="1276" w:left="1418" w:header="709" w:footer="709" w:gutter="0"/>
          <w:cols w:space="708"/>
          <w:docGrid w:linePitch="272"/>
        </w:sectPr>
      </w:pPr>
      <w:r w:rsidRPr="008B53A9">
        <w:rPr>
          <w:rFonts w:cs="Calibri"/>
        </w:rPr>
        <w:br w:type="page"/>
      </w:r>
    </w:p>
    <w:p w:rsidR="00811581" w:rsidRPr="008B53A9" w:rsidRDefault="00811581" w:rsidP="00811581">
      <w:pPr>
        <w:pStyle w:val="Nadpis2"/>
        <w:numPr>
          <w:ilvl w:val="0"/>
          <w:numId w:val="0"/>
        </w:numPr>
        <w:ind w:left="576" w:hanging="576"/>
        <w:rPr>
          <w:rFonts w:cs="Calibri"/>
        </w:rPr>
      </w:pPr>
      <w:bookmarkStart w:id="150" w:name="_Toc391539705"/>
      <w:r w:rsidRPr="008B53A9">
        <w:rPr>
          <w:rFonts w:cs="Calibri"/>
        </w:rPr>
        <w:lastRenderedPageBreak/>
        <w:t>Nepovinná příloha č. 1: Zhodnocení zkušeností z programovacího období 2007-2013</w:t>
      </w:r>
      <w:bookmarkEnd w:id="150"/>
    </w:p>
    <w:p w:rsidR="00304A4E" w:rsidRPr="008B53A9" w:rsidRDefault="00304A4E" w:rsidP="00304A4E">
      <w:pPr>
        <w:pStyle w:val="Standardntext"/>
        <w:rPr>
          <w:szCs w:val="22"/>
        </w:rPr>
      </w:pPr>
      <w:r w:rsidRPr="008B53A9">
        <w:rPr>
          <w:szCs w:val="22"/>
        </w:rPr>
        <w:t>Zkušenosti z programovacího období 2007-2013 a jejich návaznosti v programovacím období 2014-2020 lze rozdělit do dvou hlavních kategorií:</w:t>
      </w:r>
    </w:p>
    <w:p w:rsidR="00304A4E" w:rsidRPr="008B53A9" w:rsidRDefault="00304A4E" w:rsidP="00304A4E">
      <w:pPr>
        <w:pStyle w:val="Standardntext"/>
        <w:numPr>
          <w:ilvl w:val="0"/>
          <w:numId w:val="99"/>
        </w:numPr>
        <w:ind w:left="714" w:hanging="357"/>
        <w:rPr>
          <w:szCs w:val="22"/>
        </w:rPr>
      </w:pPr>
      <w:r w:rsidRPr="008B53A9">
        <w:rPr>
          <w:szCs w:val="22"/>
        </w:rPr>
        <w:t>věcné zaměření podpory</w:t>
      </w:r>
    </w:p>
    <w:p w:rsidR="00304A4E" w:rsidRPr="008B53A9" w:rsidRDefault="00304A4E" w:rsidP="00304A4E">
      <w:pPr>
        <w:pStyle w:val="Standardntext"/>
        <w:numPr>
          <w:ilvl w:val="0"/>
          <w:numId w:val="99"/>
        </w:numPr>
        <w:rPr>
          <w:szCs w:val="22"/>
        </w:rPr>
      </w:pPr>
      <w:r w:rsidRPr="008B53A9">
        <w:rPr>
          <w:szCs w:val="22"/>
        </w:rPr>
        <w:t>systém implementace operačního programu</w:t>
      </w:r>
    </w:p>
    <w:p w:rsidR="00304A4E" w:rsidRPr="008B53A9" w:rsidRDefault="00304A4E" w:rsidP="00304A4E">
      <w:pPr>
        <w:pStyle w:val="Standardntext"/>
        <w:spacing w:after="240"/>
        <w:rPr>
          <w:szCs w:val="22"/>
        </w:rPr>
      </w:pPr>
      <w:r w:rsidRPr="008B53A9">
        <w:rPr>
          <w:szCs w:val="22"/>
        </w:rPr>
        <w:t>Zkušenosti z implementace Operačního programu Podnikání a inovace 2007-2013 a v návaznosti na to opatření zaměřená na snižování administrativní zátěže příjemců jsou popsány v Oddílu 10 programového dokumentu Operačního programu Podnikání a inovace pro konkurenceschopnost. V této příloze je proto věnována pozornost především zkušenostem a posunům v oblasti věcného zaměření podpory (intervencí, aktivit), nicméně jsou zde také uvedeny zkušenosti z implementace OPPI, které se vztahují k realizaci opatření podporovaných z prostředků technické pomoci operačního programu.</w:t>
      </w:r>
    </w:p>
    <w:p w:rsidR="00304A4E" w:rsidRPr="008B53A9" w:rsidRDefault="00304A4E" w:rsidP="00304A4E">
      <w:pPr>
        <w:pStyle w:val="Standardntext"/>
        <w:rPr>
          <w:b/>
          <w:szCs w:val="22"/>
        </w:rPr>
      </w:pPr>
      <w:r w:rsidRPr="008B53A9">
        <w:rPr>
          <w:b/>
          <w:szCs w:val="22"/>
        </w:rPr>
        <w:t>1. Věcné zaměření podpory</w:t>
      </w:r>
    </w:p>
    <w:p w:rsidR="00304A4E" w:rsidRPr="008B53A9" w:rsidRDefault="00304A4E" w:rsidP="00304A4E">
      <w:pPr>
        <w:pStyle w:val="Standardntext"/>
        <w:rPr>
          <w:szCs w:val="22"/>
        </w:rPr>
      </w:pPr>
      <w:r w:rsidRPr="008B53A9">
        <w:rPr>
          <w:szCs w:val="22"/>
        </w:rPr>
        <w:t xml:space="preserve">Operační program Podnikání a inovace (OPPI) byl realizován prostřednictvím šesti věcných prioritních os zaměřených na vznik firem, rozvoj firem, efektivní energie, inovace, prostředí pro podnikání a inovace a služby pro podnikání. Celková alokace zdrojů EU činila po provedených realokacích 3 120,69 mil. EUR. </w:t>
      </w:r>
    </w:p>
    <w:p w:rsidR="00304A4E" w:rsidRPr="008B53A9" w:rsidRDefault="00304A4E" w:rsidP="00304A4E">
      <w:pPr>
        <w:pStyle w:val="Standardntext"/>
        <w:rPr>
          <w:szCs w:val="22"/>
        </w:rPr>
      </w:pPr>
      <w:r w:rsidRPr="008B53A9">
        <w:rPr>
          <w:szCs w:val="22"/>
        </w:rPr>
        <w:t>Operační program Podnikání a inovace pro konkurenceschopnost (OP PIK) bezprostředně navazuje na OPPI. I v důsledku nového přístupu EU ke kohezní politice v novém programovacím období došlo ke snížení počtu věcných prioritních os programu na čtyři. Zaměřují se na: i) rozvoj výzkumu a vývoje pro inovace, ii) rozvoj podnikání a konkurenceschopnosti MSP, iii) účinné nakládání s energiemi, rozvoje energetické infrastruktury a OZE, podporu zavádění nových technologií v oblasti nakládání energií a druhotných surovin a na iv) rozvoj vysokorychlostních přístupových sítí k internetu a informačních a komunikačních technologií.</w:t>
      </w:r>
    </w:p>
    <w:p w:rsidR="00304A4E" w:rsidRPr="008B53A9" w:rsidRDefault="00304A4E" w:rsidP="00304A4E">
      <w:pPr>
        <w:pStyle w:val="Standardntext"/>
        <w:rPr>
          <w:szCs w:val="22"/>
        </w:rPr>
      </w:pPr>
      <w:r w:rsidRPr="008B53A9">
        <w:rPr>
          <w:szCs w:val="22"/>
        </w:rPr>
        <w:t xml:space="preserve">Z obsahového hlediska došlo oproti programovacímu období 2007-2013 k některým změnám ve smyslu zúžení nebo naopak rozšíření podporovaných aktivit; zcela nová témata pak představují především energetická infrastruktura, nové inovativní nízkouhlíkové technologie a také infrastruktura pro přístup k vysokorychlostnímu internetu. </w:t>
      </w:r>
    </w:p>
    <w:p w:rsidR="00304A4E" w:rsidRPr="008B53A9" w:rsidRDefault="00304A4E" w:rsidP="00304A4E">
      <w:pPr>
        <w:pStyle w:val="Standardntext"/>
        <w:rPr>
          <w:szCs w:val="22"/>
        </w:rPr>
      </w:pPr>
      <w:r w:rsidRPr="008B53A9">
        <w:rPr>
          <w:szCs w:val="22"/>
        </w:rPr>
        <w:t xml:space="preserve">Celková alokace zdrojů EU pro OP PIK byla oproti OPPI navýšena a činí celkem 4 319, 062 mil. EUR. Při stanovení alokace byly zohledňovány jak potřeby a priority ČR, tak také požadavky na tematické zaměření prostředků EFRR. Největší část finanční alokace OP PIK bude použita na podporu investic do výzkumu, vývoje a inovací a vytváření vazeb mezi podniky a VaV institucemi a na podporu zvyšování energetické účinnosti v podnicích, druhá nejvyšší alokace směřuje na intervence v energetice. </w:t>
      </w:r>
    </w:p>
    <w:p w:rsidR="00304A4E" w:rsidRPr="008B53A9" w:rsidRDefault="00304A4E" w:rsidP="00304A4E">
      <w:pPr>
        <w:pStyle w:val="Standardntext"/>
        <w:rPr>
          <w:szCs w:val="22"/>
        </w:rPr>
      </w:pPr>
      <w:r w:rsidRPr="008B53A9">
        <w:rPr>
          <w:szCs w:val="22"/>
        </w:rPr>
        <w:t>Východiska strategie přístupu k novému programovacímu období:</w:t>
      </w:r>
    </w:p>
    <w:p w:rsidR="00304A4E" w:rsidRPr="008B53A9" w:rsidRDefault="00304A4E" w:rsidP="00304A4E">
      <w:pPr>
        <w:pStyle w:val="Standardntext"/>
        <w:numPr>
          <w:ilvl w:val="0"/>
          <w:numId w:val="100"/>
        </w:numPr>
        <w:rPr>
          <w:szCs w:val="22"/>
        </w:rPr>
      </w:pPr>
      <w:r w:rsidRPr="008B53A9">
        <w:rPr>
          <w:szCs w:val="22"/>
        </w:rPr>
        <w:t xml:space="preserve">Klíčovou skupinou příjemců jsou podnikatelé, zejména malé a střední podniky (zvláště inovativní); podpora velkým podnikům bude poskytována v odůvodněných případech a ve vazbě na dosažení cílů operačního programu a v souladu s příslušnými nařízením (zejména nařízením č. 1301/2013 o EFRR). </w:t>
      </w:r>
    </w:p>
    <w:p w:rsidR="00304A4E" w:rsidRPr="008B53A9" w:rsidRDefault="00304A4E" w:rsidP="00304A4E">
      <w:pPr>
        <w:pStyle w:val="Standardntext"/>
        <w:numPr>
          <w:ilvl w:val="0"/>
          <w:numId w:val="100"/>
        </w:numPr>
        <w:rPr>
          <w:szCs w:val="22"/>
        </w:rPr>
      </w:pPr>
      <w:r w:rsidRPr="008B53A9">
        <w:rPr>
          <w:szCs w:val="22"/>
        </w:rPr>
        <w:lastRenderedPageBreak/>
        <w:t>Větší důraz bude kladen na tematickou koncentraci a také na zohlednění specifických potřeb regionů ČR, zejména strukturálně postižených regionů.</w:t>
      </w:r>
    </w:p>
    <w:p w:rsidR="00304A4E" w:rsidRPr="008B53A9" w:rsidRDefault="00304A4E" w:rsidP="00304A4E">
      <w:pPr>
        <w:pStyle w:val="Standardntext"/>
        <w:numPr>
          <w:ilvl w:val="0"/>
          <w:numId w:val="100"/>
        </w:numPr>
        <w:rPr>
          <w:szCs w:val="22"/>
        </w:rPr>
      </w:pPr>
      <w:r w:rsidRPr="008B53A9">
        <w:rPr>
          <w:szCs w:val="22"/>
        </w:rPr>
        <w:t>Z hlediska formy podpory se předpokládá vyšší využití finančních nástrojů, nicméně i nadále budou převládat dotační schémata.</w:t>
      </w:r>
    </w:p>
    <w:p w:rsidR="00304A4E" w:rsidRPr="008B53A9" w:rsidRDefault="00304A4E" w:rsidP="00304A4E">
      <w:pPr>
        <w:pStyle w:val="Standardntext"/>
        <w:numPr>
          <w:ilvl w:val="0"/>
          <w:numId w:val="100"/>
        </w:numPr>
        <w:spacing w:after="240"/>
        <w:ind w:left="714" w:hanging="357"/>
        <w:rPr>
          <w:szCs w:val="22"/>
        </w:rPr>
      </w:pPr>
      <w:r w:rsidRPr="008B53A9">
        <w:rPr>
          <w:szCs w:val="22"/>
        </w:rPr>
        <w:t>Větší pozornost bude věnována spolupráci s hospodářskými a sociálními partnery, zástupci regionů a ostatními resorty za účelem dosažení vyšší efektivnosti intervencí (využití integrovaného nástroje ITI, spolupráce s místními akčními skupinami, koordinace intervencí, synergické efekty apod.).</w:t>
      </w:r>
    </w:p>
    <w:p w:rsidR="00304A4E" w:rsidRPr="008B53A9" w:rsidRDefault="00304A4E" w:rsidP="00304A4E">
      <w:pPr>
        <w:pStyle w:val="Standardntext"/>
        <w:rPr>
          <w:b/>
          <w:i/>
          <w:szCs w:val="22"/>
        </w:rPr>
      </w:pPr>
      <w:r w:rsidRPr="008B53A9">
        <w:rPr>
          <w:b/>
          <w:i/>
          <w:szCs w:val="22"/>
        </w:rPr>
        <w:t>1.1 Výzkum, vývoj a inovace</w:t>
      </w:r>
    </w:p>
    <w:p w:rsidR="00304A4E" w:rsidRPr="008B53A9" w:rsidRDefault="00304A4E" w:rsidP="00304A4E">
      <w:pPr>
        <w:pStyle w:val="Standardntext"/>
        <w:rPr>
          <w:szCs w:val="22"/>
        </w:rPr>
      </w:pPr>
      <w:r w:rsidRPr="008B53A9">
        <w:rPr>
          <w:szCs w:val="22"/>
        </w:rPr>
        <w:t>V OPPI byla tato tematická oblast řešena především prostřednictvím prioritní osy 4 „Inovace“ a částečně také prioritní osy 5 „Prostředí pro podnikání a inovace“.</w:t>
      </w:r>
    </w:p>
    <w:p w:rsidR="00304A4E" w:rsidRPr="008B53A9" w:rsidRDefault="00304A4E" w:rsidP="00304A4E">
      <w:pPr>
        <w:pStyle w:val="Standardntext"/>
        <w:rPr>
          <w:szCs w:val="22"/>
        </w:rPr>
      </w:pPr>
      <w:r w:rsidRPr="008B53A9">
        <w:rPr>
          <w:szCs w:val="22"/>
        </w:rPr>
        <w:t xml:space="preserve">V rámci prioritní osy 4 OPPI byly realizovány dva programy podpory, a sice program </w:t>
      </w:r>
      <w:r w:rsidRPr="008B53A9">
        <w:rPr>
          <w:i/>
          <w:szCs w:val="22"/>
        </w:rPr>
        <w:t>Inovace</w:t>
      </w:r>
      <w:r w:rsidRPr="008B53A9">
        <w:rPr>
          <w:szCs w:val="22"/>
        </w:rPr>
        <w:t xml:space="preserve"> zaměřený na podporu technických (inovace produktů a procesů) a netechnických inovací (organizační a marketingové inovace) v podnicích, včetně rozvíjení jejich spolupráce s výzkumnými a vývojovými organizacemi, a program </w:t>
      </w:r>
      <w:r w:rsidRPr="008B53A9">
        <w:rPr>
          <w:i/>
          <w:szCs w:val="22"/>
        </w:rPr>
        <w:t>Potenciál</w:t>
      </w:r>
      <w:r w:rsidRPr="008B53A9">
        <w:rPr>
          <w:szCs w:val="22"/>
        </w:rPr>
        <w:t xml:space="preserve"> zaměřený na podporu jejich vlastních firemních kapacit pro VaV a návazných aktivit, zejména pak v sektoru MSP tak, aby se zvýšila inovační aktivita podniků a počet podniků, které provádějí vlastní výzkum a vývoj.</w:t>
      </w:r>
    </w:p>
    <w:p w:rsidR="00304A4E" w:rsidRPr="008B53A9" w:rsidRDefault="00304A4E" w:rsidP="00304A4E">
      <w:pPr>
        <w:pStyle w:val="Standardntext"/>
        <w:rPr>
          <w:szCs w:val="22"/>
        </w:rPr>
      </w:pPr>
      <w:r w:rsidRPr="008B53A9">
        <w:rPr>
          <w:szCs w:val="22"/>
        </w:rPr>
        <w:t>Z pohledu naplňování věcných cílů OPPI v prioritní ose 4 lze konstatovat, že při zachování současného trendu je možné očekávat bezproblémové splnění cílových hodnot indikátorů věcných cílů prioritní osy 4 do roku 2015.</w:t>
      </w:r>
      <w:r w:rsidRPr="008B53A9">
        <w:t xml:space="preserve"> Řada úspěšně realizovaných projektů prokázala, že podnikatelské subjekty jsou na základě vhodně zvolené a zacílené podpory schopny produkovat špičkové výsledky výzkumu a vývoje a následně je i uplatnit v podobě konkurenceschopných produktů na domácím i zahraničním trhu.</w:t>
      </w:r>
    </w:p>
    <w:p w:rsidR="00304A4E" w:rsidRPr="008B53A9" w:rsidRDefault="00304A4E" w:rsidP="00304A4E">
      <w:pPr>
        <w:pStyle w:val="Standardntext"/>
        <w:rPr>
          <w:szCs w:val="22"/>
        </w:rPr>
      </w:pPr>
      <w:r w:rsidRPr="008B53A9">
        <w:rPr>
          <w:szCs w:val="22"/>
        </w:rPr>
        <w:t xml:space="preserve">Stav čerpání finančních prostředků i absorpční kapacitu prioritní osy 4 OPPI lze hodnotit jednoznačně pozitivně. V programu </w:t>
      </w:r>
      <w:r w:rsidRPr="008B53A9">
        <w:rPr>
          <w:i/>
          <w:szCs w:val="22"/>
        </w:rPr>
        <w:t>Inovace</w:t>
      </w:r>
      <w:r w:rsidRPr="008B53A9">
        <w:rPr>
          <w:szCs w:val="22"/>
        </w:rPr>
        <w:t xml:space="preserve"> podané žádosti překročily více než dvojnásobně alokaci na tento program; celá alokace je krytá vydanými Rozhodnutími a lze očekávat její plné vyčerpání. Stejně tak v programu </w:t>
      </w:r>
      <w:r w:rsidRPr="008B53A9">
        <w:rPr>
          <w:i/>
          <w:szCs w:val="22"/>
        </w:rPr>
        <w:t>Potenciál</w:t>
      </w:r>
      <w:r w:rsidRPr="008B53A9">
        <w:rPr>
          <w:szCs w:val="22"/>
        </w:rPr>
        <w:t xml:space="preserve"> převýšil zájem ze strany žadatelů výrazným způsobem disponibilní alokaci a lze očekávat její plné vyčerpání.</w:t>
      </w:r>
    </w:p>
    <w:p w:rsidR="00304A4E" w:rsidRPr="008B53A9" w:rsidRDefault="00304A4E" w:rsidP="00304A4E">
      <w:pPr>
        <w:pStyle w:val="Standardntext"/>
        <w:rPr>
          <w:szCs w:val="22"/>
        </w:rPr>
      </w:pPr>
      <w:r w:rsidRPr="008B53A9">
        <w:rPr>
          <w:szCs w:val="22"/>
        </w:rPr>
        <w:t xml:space="preserve">V programu </w:t>
      </w:r>
      <w:r w:rsidRPr="008B53A9">
        <w:rPr>
          <w:i/>
          <w:szCs w:val="22"/>
        </w:rPr>
        <w:t>Inovace</w:t>
      </w:r>
      <w:r w:rsidRPr="008B53A9">
        <w:rPr>
          <w:szCs w:val="22"/>
        </w:rPr>
        <w:t xml:space="preserve"> přetrvávaly po celou dobu jeho realizace víceméně stále stejné problémy. Jednalo se zejména o nepochopení podstaty programu, kdy některé projekty předkládané do tohoto programu nenaplňovaly svou podstatou podmínky programu a následně byly zamítány. Další okruh problémů v obou programech podpory se týkal nedodržování pravidel pro výběr dodavatelů, což vedlo v některých případech ke krácení plateb. Nedodržení pravidel je přitom často způsobeno i jejich přílišnou složitostí. Specifickými problémy programu </w:t>
      </w:r>
      <w:r w:rsidRPr="008B53A9">
        <w:rPr>
          <w:i/>
          <w:szCs w:val="22"/>
        </w:rPr>
        <w:t>Potenciál</w:t>
      </w:r>
      <w:r w:rsidRPr="008B53A9">
        <w:rPr>
          <w:szCs w:val="22"/>
        </w:rPr>
        <w:t xml:space="preserve"> pak byly pomalý postup stavebních řízení a nedostatečná připravenost stavební dokumentace stavební části projektu a také malý počet projektů z některých regionů ČR, zejména z Karlovarského, Libereckého a Ústeckého kraje. </w:t>
      </w:r>
    </w:p>
    <w:p w:rsidR="00304A4E" w:rsidRPr="008B53A9" w:rsidRDefault="00304A4E" w:rsidP="00304A4E">
      <w:pPr>
        <w:pStyle w:val="Standardntext"/>
        <w:rPr>
          <w:szCs w:val="22"/>
        </w:rPr>
      </w:pPr>
      <w:r w:rsidRPr="008B53A9">
        <w:rPr>
          <w:szCs w:val="22"/>
        </w:rPr>
        <w:t xml:space="preserve">V prioritní ose 5 OPPI byly realizovány programy podpory </w:t>
      </w:r>
      <w:r w:rsidRPr="008B53A9">
        <w:rPr>
          <w:i/>
          <w:szCs w:val="22"/>
        </w:rPr>
        <w:t>Spolupráce</w:t>
      </w:r>
      <w:r w:rsidRPr="008B53A9">
        <w:rPr>
          <w:szCs w:val="22"/>
        </w:rPr>
        <w:t xml:space="preserve"> a </w:t>
      </w:r>
      <w:r w:rsidRPr="008B53A9">
        <w:rPr>
          <w:i/>
          <w:szCs w:val="22"/>
        </w:rPr>
        <w:t>Prosperita</w:t>
      </w:r>
      <w:r w:rsidRPr="008B53A9">
        <w:rPr>
          <w:szCs w:val="22"/>
        </w:rPr>
        <w:t xml:space="preserve">. Program </w:t>
      </w:r>
      <w:r w:rsidRPr="008B53A9">
        <w:rPr>
          <w:i/>
          <w:szCs w:val="22"/>
        </w:rPr>
        <w:t>Spolupráce</w:t>
      </w:r>
      <w:r w:rsidRPr="008B53A9">
        <w:rPr>
          <w:szCs w:val="22"/>
        </w:rPr>
        <w:t xml:space="preserve"> byl zaměřen na vytváření a rozvoj regionálně koncentrovaných odvětvových seskupení podnikatelských subjektů a podpůrných institucí včetně výzkumných a vzdělávacích subjektů, tj. klastrů. V rámci této oblasti byly podporovány i technologické platformy, a to zejména vznik a rozvoj národních technologických platforem. Podpora poskytovaná v rámci programu </w:t>
      </w:r>
      <w:r w:rsidRPr="008B53A9">
        <w:rPr>
          <w:i/>
          <w:szCs w:val="22"/>
        </w:rPr>
        <w:t>Prosperita</w:t>
      </w:r>
      <w:r w:rsidRPr="008B53A9">
        <w:rPr>
          <w:szCs w:val="22"/>
        </w:rPr>
        <w:t xml:space="preserve"> směřovala do rozvoje infrastruktury pro průmyslový výzkum, vývoj a inovace se zaměřením na transfer technologií mezi subjekty inovačního prostředí a na podporu </w:t>
      </w:r>
      <w:r w:rsidRPr="008B53A9">
        <w:rPr>
          <w:szCs w:val="22"/>
        </w:rPr>
        <w:lastRenderedPageBreak/>
        <w:t xml:space="preserve">přímých vazeb mezi výzkumnými institucemi a podnikatelskou sférou. Podporován byl proces zakládání, činnosti a dalšího rozvoje podnikatelských inkubátorů, resp. podnikatelských inovačních center (BIC, PIC) a zakládání a rozvoj vědeckých a vědeckotechnických parků a center pro transfer technologií. </w:t>
      </w:r>
    </w:p>
    <w:p w:rsidR="00304A4E" w:rsidRPr="008B53A9" w:rsidRDefault="00304A4E" w:rsidP="00304A4E">
      <w:pPr>
        <w:pStyle w:val="Standardntext"/>
      </w:pPr>
      <w:r w:rsidRPr="008B53A9">
        <w:t xml:space="preserve">Věcné cíle OPPI v programu </w:t>
      </w:r>
      <w:r w:rsidRPr="008B53A9">
        <w:rPr>
          <w:i/>
        </w:rPr>
        <w:t xml:space="preserve">Spolupráce </w:t>
      </w:r>
      <w:r w:rsidRPr="008B53A9">
        <w:t xml:space="preserve">se týkaly počtu podpořených uskupení a byly víceméně naplněny. Program přispěl k vytvoření více jak 20 stabilních klastrových organizací, přičemž některé klastry již splňují náročná kritéria klastrové excelence (6 klastrů již také absolvovalo hodnocení dle metodiky ESCA) a mají významnou mezinárodní působnost jak v oblasti vstupu na nové trhy, tak zapojování do mezinárodních výzkumných projektů. Výsledky projektů v programu </w:t>
      </w:r>
      <w:r w:rsidRPr="008B53A9">
        <w:rPr>
          <w:i/>
        </w:rPr>
        <w:t>Prosperita</w:t>
      </w:r>
      <w:r w:rsidRPr="008B53A9">
        <w:t xml:space="preserve"> v podobě inovačních firem využívajících infrastrukturu pro VVaI jsou s ohledem na jejich dlouhodobější charakter očekávány zejména v následujících letech. Díky podpoře z tohoto programu vznikne nebo bude významně rozšířeno celkem 55 vědeckotechnických parků a center pro transfer technologií a 38 podnikatelských inkubátorů. </w:t>
      </w:r>
      <w:r w:rsidRPr="008B53A9">
        <w:rPr>
          <w:szCs w:val="22"/>
        </w:rPr>
        <w:t xml:space="preserve">Stav čerpání finančních prostředků i absorpční kapacitu lze hodnotit pozitivně. Podané žádosti překročily více než dvojnásobně alokaci na tyto programy, celá alokace je krytá vydanými Rozhodnutími a lze očekávat její plné vyčerpání. </w:t>
      </w:r>
      <w:r w:rsidRPr="008B53A9">
        <w:t xml:space="preserve">Pro program </w:t>
      </w:r>
      <w:r w:rsidRPr="008B53A9">
        <w:rPr>
          <w:i/>
        </w:rPr>
        <w:t>Prosperita</w:t>
      </w:r>
      <w:r w:rsidRPr="008B53A9">
        <w:t xml:space="preserve"> je charakteristická velice vysoká náročnost přípravy a realizace investičně objemných projektů.</w:t>
      </w:r>
    </w:p>
    <w:p w:rsidR="00304A4E" w:rsidRPr="008B53A9" w:rsidRDefault="00304A4E" w:rsidP="00304A4E">
      <w:pPr>
        <w:pStyle w:val="Standardntext"/>
      </w:pPr>
      <w:r w:rsidRPr="008B53A9">
        <w:t>Pro programovacím období 2014-2020 je podpora podnikových investic do inovací a výzkumu a vytváření vazeb a součinnosti mezi podniky a institucemi VaV v rámci OP PIK integrována v souladu s tematickou koncentrací do jedné prioritní osy a jedné investiční priority tematického cíle 1, na kterou byla zároveň přidělena největší část alokace pro tento operační program. Vyjadřuje to záměr ČR klást v novém programovacím období důraz právě na znalostní ekonomiku, transfery technologií a spolupráci VaV s inovačními firmami.</w:t>
      </w:r>
    </w:p>
    <w:p w:rsidR="00304A4E" w:rsidRPr="008B53A9" w:rsidRDefault="00304A4E" w:rsidP="00304A4E">
      <w:pPr>
        <w:pStyle w:val="Standardntext"/>
        <w:spacing w:after="240"/>
      </w:pPr>
      <w:r w:rsidRPr="008B53A9">
        <w:t xml:space="preserve">Intervence OP PIK by měly být zaměřeny zejména na obory s vysokou přidanou hodnotou a potenciálem posunu na globálních hodnotových řetězcích v souladu se strategií RIS3; zvýšený důraz bude kladen na spolupráci s domácími a zahraničními partnery a vědeckovýzkumnou sférou a na podporu tzv. netechnických inovací. Nově byly zařazeny do specifického cíle 1.1 programu aktivity spojené s aplikovaným průmyslovým výzkumem. Specifický cíl 1.2 navazuje na výsledky programů </w:t>
      </w:r>
      <w:r w:rsidRPr="008B53A9">
        <w:rPr>
          <w:i/>
        </w:rPr>
        <w:t>Prosperita</w:t>
      </w:r>
      <w:r w:rsidRPr="008B53A9">
        <w:t xml:space="preserve"> a </w:t>
      </w:r>
      <w:r w:rsidRPr="008B53A9">
        <w:rPr>
          <w:i/>
        </w:rPr>
        <w:t>Spolupráce</w:t>
      </w:r>
      <w:r w:rsidRPr="008B53A9">
        <w:t xml:space="preserve"> OPPI. Jestliže program podpory </w:t>
      </w:r>
      <w:r w:rsidRPr="008B53A9">
        <w:rPr>
          <w:i/>
        </w:rPr>
        <w:t xml:space="preserve">Prosperita </w:t>
      </w:r>
      <w:r w:rsidRPr="008B53A9">
        <w:t xml:space="preserve">pomohl v období 2007-2013 založit podpůrnou infrastrukturu s vazbami na univerzity či výzkumné organizace, v jejichž rámci jsou postupně vytvářeny služby a podmínky pro užší spolupráci podnikové a výzkumné sféry a vedle toho program podpory </w:t>
      </w:r>
      <w:r w:rsidRPr="008B53A9">
        <w:rPr>
          <w:i/>
        </w:rPr>
        <w:t>Spolupráce</w:t>
      </w:r>
      <w:r w:rsidRPr="008B53A9">
        <w:t xml:space="preserve"> přispěl k vytvoření a rozvoji klastrových seskupení v různých odvětvích a přispěl k překonávání nedůvěry ve společné aktivity, definovaní společných potřeb MSP i k zahájení a realizaci společných VaV projektů, pak cílem pro období 2014-2020 bude postup do další fáze, která se zaměří zejména na zkvalitňování služeb VaV infrastruktury s důrazem na naplňování jejich poslání – růst počtu transferů technologií a znalostí, zlepšování podmínek pro vznik a rozvoj inovačních firem apod. Cílem tedy již není založení spolupráce, ale její další zefektivnění vedoucí k růstu konkurenceschopnosti regionů. V oblasti klastrů bude cílem vychovat excelentní klastry, které se úspěšně integrují do inovačního řetězce, budou generovat kvalitní výstupy v oblasti VaV a budou schopny se úspěšně zapojovat např. do projektů rámcového programu HORIZON 2020.</w:t>
      </w:r>
    </w:p>
    <w:p w:rsidR="00304A4E" w:rsidRPr="008B53A9" w:rsidRDefault="00304A4E" w:rsidP="00304A4E">
      <w:pPr>
        <w:pStyle w:val="Standardntext"/>
        <w:rPr>
          <w:b/>
          <w:i/>
          <w:szCs w:val="22"/>
        </w:rPr>
      </w:pPr>
      <w:r w:rsidRPr="008B53A9">
        <w:rPr>
          <w:b/>
          <w:i/>
          <w:szCs w:val="22"/>
        </w:rPr>
        <w:t>1.2 Konkurenceschopnost malých a středních podniků</w:t>
      </w:r>
    </w:p>
    <w:p w:rsidR="00304A4E" w:rsidRPr="008B53A9" w:rsidRDefault="00304A4E" w:rsidP="00304A4E">
      <w:pPr>
        <w:pStyle w:val="Standardntext"/>
        <w:rPr>
          <w:szCs w:val="22"/>
        </w:rPr>
      </w:pPr>
      <w:r w:rsidRPr="008B53A9">
        <w:rPr>
          <w:szCs w:val="22"/>
        </w:rPr>
        <w:t>V OPPI bylo téma konkurenceschopnosti malých a středních podniků řešeno v rámci čtyř prioritních os.</w:t>
      </w:r>
    </w:p>
    <w:p w:rsidR="00304A4E" w:rsidRPr="008B53A9" w:rsidRDefault="00304A4E" w:rsidP="00304A4E">
      <w:pPr>
        <w:pStyle w:val="Standardntext"/>
      </w:pPr>
      <w:r w:rsidRPr="008B53A9">
        <w:lastRenderedPageBreak/>
        <w:t>Prioritní osa 1 se zaměřovala na vytváření podmínek pro vznik nových firem, s akcentem podpory na začínající a inovačně orientované firmy. Pozornost byla věnována problematice dostupnosti vhodných finančních zdrojů, včetně vytváření nových pro-inovačně působících finančních nástrojů s cílem usnadnit přístup začínajících podnikatelů ke kapitálu a rozšířit tím možnosti pro financování jejich podnikatelských záměrů a předkládaných projektů.</w:t>
      </w:r>
    </w:p>
    <w:p w:rsidR="00304A4E" w:rsidRPr="008B53A9" w:rsidRDefault="00304A4E" w:rsidP="00304A4E">
      <w:pPr>
        <w:pStyle w:val="Standardntext"/>
      </w:pPr>
      <w:r w:rsidRPr="008B53A9">
        <w:t xml:space="preserve">Podpora v rámci programu </w:t>
      </w:r>
      <w:r w:rsidRPr="008B53A9">
        <w:rPr>
          <w:i/>
        </w:rPr>
        <w:t>Start</w:t>
      </w:r>
      <w:r w:rsidRPr="008B53A9">
        <w:t xml:space="preserve"> zaměřeného na zvýšení motivace k podnikání byla poskytována formou bezúročných úvěrů a zvýhodněných záruk s finančním příspěvkem k zaručovanému úvěru. Ačkoliv zájem ze strany žadatelů byl dostatečný, problém zde představovalo zapojení ČMZRB a.s. do  systému implementace OPPI a rozdílný přístup EK k zapojení ČMZRB do tohoto systému, což ovlivnilo implementaci tohoto programu podpory.  </w:t>
      </w:r>
    </w:p>
    <w:p w:rsidR="00304A4E" w:rsidRPr="008B53A9" w:rsidRDefault="00304A4E" w:rsidP="00304A4E">
      <w:pPr>
        <w:pStyle w:val="Standardntext"/>
      </w:pPr>
      <w:r w:rsidRPr="008B53A9">
        <w:t xml:space="preserve">Druhá oblast podpory prioritní osy 1 OPPI měla být zaměřena na zavedení nových finančních nástrojů, které měly napomoci řešit problematiku financování projektů s vysokou rizikovostí vyplývající z charakteru žadatelů o podporu a typů realizovaných projektů. Předpokládala se podpora investic pro rozvoj malých a středních podniků formou rizikového kapitálu. V této souvislosti byl řídícím orgánem OPPI připraven pilotní projekt Seed kapitálového fondu, ovšem jeho spuštění bylo pozastaveno z důvodu správního řízení vedeného u Úřadu pro ochranu hospodářské soutěže. Tím došlo k významnému zpoždění, projekt nemohl být v rámci OPPI již realizován a bude nově připravován pro OP PIK </w:t>
      </w:r>
    </w:p>
    <w:p w:rsidR="00304A4E" w:rsidRPr="008B53A9" w:rsidRDefault="00304A4E" w:rsidP="00304A4E">
      <w:pPr>
        <w:pStyle w:val="Standardntext"/>
      </w:pPr>
      <w:r w:rsidRPr="008B53A9">
        <w:t>Prioritní osa 2 OPPI byla zaměřena na dvě hlavní témata, a sice i) na podporu realizace rozvojových podnikatelských projektů konkurenceschopných malých a středních podniků, kterým brání nižší vlastní kapitálová vybavenost nebo omezená schopnost poskytnout zajištění úvěru v možnosti získat externí zdroje financování prostřednictvím bankovních nástrojů, a ii) na zlepšování technické vybavenosti podniků nákupem moderních technologií, včetně ICT, a na rozvoj vybraných strategických služeb.</w:t>
      </w:r>
    </w:p>
    <w:p w:rsidR="00304A4E" w:rsidRPr="008B53A9" w:rsidRDefault="00304A4E" w:rsidP="00304A4E">
      <w:pPr>
        <w:pStyle w:val="Standardntext"/>
      </w:pPr>
      <w:r w:rsidRPr="008B53A9">
        <w:t xml:space="preserve">V programu </w:t>
      </w:r>
      <w:r w:rsidRPr="008B53A9">
        <w:rPr>
          <w:i/>
        </w:rPr>
        <w:t>Záruka</w:t>
      </w:r>
      <w:r w:rsidRPr="008B53A9">
        <w:t xml:space="preserve"> byly formou zvýhodněných záruk k úvěrům podporovány projekty zaměřené na pořízení strojů a zařízení a získání provozních prostor (výstavba či rekonstrukce nemovitosti) k rozvoji podnikání a doplňkově také nákupy vstupů pro zahájení či rozvoj podnikání. Poskytnuté záruky za úvěry  významně napomohly udržení MSP na trhu, zejména v době ekonomické recese 2008 – 2010,  kdy úvěry komerčních bank byly obtížně dostupné bez dostatečného zajištění. V programu </w:t>
      </w:r>
      <w:r w:rsidRPr="008B53A9">
        <w:rPr>
          <w:i/>
        </w:rPr>
        <w:t>Progres</w:t>
      </w:r>
      <w:r w:rsidRPr="008B53A9">
        <w:t xml:space="preserve"> byly formou zvýhodněných úvěrů financovány projekty zaměřené zejména na pořízení strojů a zařízení a získání provozních prostor (výstavba či rekonstrukce nemovitosti) k rozvoji podnikání. Realizací programů </w:t>
      </w:r>
      <w:r w:rsidRPr="008B53A9">
        <w:rPr>
          <w:i/>
        </w:rPr>
        <w:t>Záruka a Progres</w:t>
      </w:r>
      <w:r w:rsidRPr="008B53A9">
        <w:t xml:space="preserve"> byla pověřena ČMZRB, kde implementaci </w:t>
      </w:r>
      <w:r w:rsidRPr="008B53A9">
        <w:rPr>
          <w:lang w:val="cs-CZ"/>
        </w:rPr>
        <w:t xml:space="preserve">ovlivňovala </w:t>
      </w:r>
      <w:r w:rsidRPr="008B53A9">
        <w:t xml:space="preserve">skutečnost uvedená výše u programu </w:t>
      </w:r>
      <w:r w:rsidRPr="008B53A9">
        <w:rPr>
          <w:i/>
        </w:rPr>
        <w:t xml:space="preserve">Start. </w:t>
      </w:r>
      <w:r w:rsidRPr="008B53A9">
        <w:t xml:space="preserve"> </w:t>
      </w:r>
    </w:p>
    <w:p w:rsidR="00304A4E" w:rsidRPr="008B53A9" w:rsidRDefault="00304A4E" w:rsidP="00304A4E">
      <w:pPr>
        <w:pStyle w:val="Standardntext"/>
      </w:pPr>
      <w:r w:rsidRPr="008B53A9">
        <w:t xml:space="preserve">Dotační program </w:t>
      </w:r>
      <w:r w:rsidRPr="008B53A9">
        <w:rPr>
          <w:i/>
        </w:rPr>
        <w:t>Rozvoj</w:t>
      </w:r>
      <w:r w:rsidRPr="008B53A9">
        <w:t xml:space="preserve"> podporoval projekty MSP v regionech s vyšší mírou nezaměstnanosti a umožňoval získat dotaci na pořízení technologií s vyššími technickými a užitnými parametry a realizaci projektů zvyšujících efektivnost procesů. Realizace podpořených projektů přispěla ke zvýšení konkurenceschopnosti MSP, zvýšení zaměstnanosti a rozvoji regionů. Program </w:t>
      </w:r>
      <w:r w:rsidRPr="008B53A9">
        <w:rPr>
          <w:i/>
        </w:rPr>
        <w:t>ICT v podnicích</w:t>
      </w:r>
      <w:r w:rsidRPr="008B53A9">
        <w:t xml:space="preserve"> se zaměřoval na zavádění podnikových informačních systémů pro řízení zdrojů, řízení dodavatelsko-odběratelských vztahů atp. a program </w:t>
      </w:r>
      <w:r w:rsidRPr="008B53A9">
        <w:rPr>
          <w:i/>
        </w:rPr>
        <w:t>ICT a strategické služby</w:t>
      </w:r>
      <w:r w:rsidRPr="008B53A9">
        <w:t xml:space="preserve"> na tvorbu nových softwarových řešení a aplikací, na založení a rozvoj centra sdílených služeb, centra zákaznické podpory či centra oprav high-tech výrobků a technologií, a dále také na budování a rozšiřování datových center.</w:t>
      </w:r>
    </w:p>
    <w:p w:rsidR="00304A4E" w:rsidRPr="008B53A9" w:rsidRDefault="00304A4E" w:rsidP="00304A4E">
      <w:pPr>
        <w:pStyle w:val="Standardntext"/>
      </w:pPr>
      <w:r w:rsidRPr="008B53A9">
        <w:t xml:space="preserve">V prioritní ose 5 OPPI byly kromě již výše uvedených programů podpory </w:t>
      </w:r>
      <w:r w:rsidRPr="008B53A9">
        <w:rPr>
          <w:i/>
        </w:rPr>
        <w:t>Spolupráce a Prosperita</w:t>
      </w:r>
      <w:r w:rsidRPr="008B53A9">
        <w:t xml:space="preserve"> realizovány také programy </w:t>
      </w:r>
      <w:r w:rsidRPr="008B53A9">
        <w:rPr>
          <w:i/>
        </w:rPr>
        <w:t>Školicí střediska a Nemovitosti</w:t>
      </w:r>
      <w:r w:rsidRPr="008B53A9">
        <w:t xml:space="preserve">. Program </w:t>
      </w:r>
      <w:r w:rsidRPr="008B53A9">
        <w:rPr>
          <w:i/>
        </w:rPr>
        <w:t>Školicí střediska</w:t>
      </w:r>
      <w:r w:rsidRPr="008B53A9">
        <w:t xml:space="preserve"> se zaměřil na tvorbu kvalitní infrastruktury pro realizaci vzdělávacích aktivit v podnikové sféře, která podpořila růst konkurenceschopnosti podniků a podnikatelských </w:t>
      </w:r>
      <w:r w:rsidRPr="008B53A9">
        <w:lastRenderedPageBreak/>
        <w:t>subjektů ve vymezených sektorech a zaměstnanosti jednotlivců v souladu s potřebami pracovního trhu vyplývajícími ze zavádění nových technologií, inovací, výrobních procesů a postupů.. Rozšiřování vzdělávacích kapacit spolu se zvyšováním odborného růstu zaměstnanců se v dlouhodobém horizontu pozitivně promítá ve vztahu k efektivitě a kvalitě výroby a služeb.</w:t>
      </w:r>
    </w:p>
    <w:p w:rsidR="00304A4E" w:rsidRPr="008B53A9" w:rsidRDefault="00304A4E" w:rsidP="00304A4E">
      <w:pPr>
        <w:pStyle w:val="Standardntext"/>
      </w:pPr>
      <w:r w:rsidRPr="008B53A9">
        <w:t xml:space="preserve">Cílem programu </w:t>
      </w:r>
      <w:r w:rsidRPr="008B53A9">
        <w:rPr>
          <w:i/>
        </w:rPr>
        <w:t>Nemovitosti</w:t>
      </w:r>
      <w:r w:rsidRPr="008B53A9">
        <w:t xml:space="preserve"> bylo zkvalitnění infrastruktury pro podnikání, formou vytváření a rozvoje podnikatelských nemovitostí na úrovni evropských standardů. Podpora byla poskytována na obnovu zanedbaných objektů, zejména prostřednictvím regenerace brownfieldů. Přínos programu podpory v oblasti rekonstrukce nevyužívaných budov včetně souvisejících dopadů na zlepšení životního prostředí a snížení záboru nové půdy je proto jednoznačně pozitivní. </w:t>
      </w:r>
    </w:p>
    <w:p w:rsidR="00304A4E" w:rsidRPr="008B53A9" w:rsidRDefault="00304A4E" w:rsidP="00304A4E">
      <w:pPr>
        <w:pStyle w:val="ZZNormln"/>
        <w:rPr>
          <w:rFonts w:ascii="Times New Roman" w:hAnsi="Times New Roman"/>
          <w:szCs w:val="24"/>
        </w:rPr>
      </w:pPr>
      <w:r w:rsidRPr="008B53A9">
        <w:rPr>
          <w:rFonts w:ascii="Times New Roman" w:hAnsi="Times New Roman" w:cs="Times New Roman"/>
        </w:rPr>
        <w:t xml:space="preserve">Prioritní osa 6 OPPI byla zaměřena na rozvoj a využití kvalitních poradenských a informačních služeb pro podnikatelské subjekty, a to i v oblasti vyhledávání nových obchodních příležitostí a odborné přípravy na posilování pozic českého průmyslu v mezinárodním obchodu. Podporovanými aktivitami programu </w:t>
      </w:r>
      <w:r w:rsidRPr="008B53A9">
        <w:rPr>
          <w:rFonts w:ascii="Times New Roman" w:hAnsi="Times New Roman" w:cs="Times New Roman"/>
          <w:i/>
        </w:rPr>
        <w:t>Poradenství</w:t>
      </w:r>
      <w:r w:rsidRPr="008B53A9">
        <w:rPr>
          <w:rFonts w:ascii="Times New Roman" w:hAnsi="Times New Roman" w:cs="Times New Roman"/>
        </w:rPr>
        <w:t xml:space="preserve"> byly poradenské služby v rámci individuálních projektů malých a středních podniků související se zaváděním inovací pro malé a střední podniky a poskytované externími poradci oprávněnými k této činnosti podle platných právních předpisů. Poradenské služby poskytované externími poradci se vztahovaly na inovace produktu (inovace výrobku, inovace služby, inovace výrobku i služby), inovace procesu (inovace metod výroby nebo zpracování výrobků nebo služeb, inovace metod logistiky nebo distribuce výrobků nebo služeb, inovace podpůrných činností), organizační inovace (zavedení inovovaného systému řízení v rámci podniku, změna organizace práce, významné změny ve vztahu k jiným firmám) a marketingové inovace (významné změny u designu výrobků nebo </w:t>
      </w:r>
      <w:r w:rsidRPr="008B53A9">
        <w:rPr>
          <w:rFonts w:ascii="Times New Roman" w:hAnsi="Times New Roman" w:cs="Times New Roman"/>
          <w:szCs w:val="24"/>
        </w:rPr>
        <w:t xml:space="preserve">služeb, podstatné změny metod prodeje nebo distribuce výrobků nebo služeb). Realizace programu Poradenství významným způsobem přispěla k rozšíření nabídky relevantních poradenských služeb pro malé a střední podniky, v procesu rozvoje podniků, zavádění inovací a zvyšování jejich konkurenceschopnosti. </w:t>
      </w:r>
      <w:r w:rsidRPr="008B53A9">
        <w:rPr>
          <w:rFonts w:ascii="Times New Roman" w:hAnsi="Times New Roman"/>
          <w:szCs w:val="24"/>
        </w:rPr>
        <w:t xml:space="preserve">Program </w:t>
      </w:r>
      <w:r w:rsidRPr="008B53A9">
        <w:rPr>
          <w:rFonts w:ascii="Times New Roman" w:hAnsi="Times New Roman"/>
          <w:i/>
          <w:szCs w:val="24"/>
        </w:rPr>
        <w:t>Marketing</w:t>
      </w:r>
      <w:r w:rsidRPr="008B53A9">
        <w:rPr>
          <w:rFonts w:ascii="Times New Roman" w:hAnsi="Times New Roman"/>
          <w:szCs w:val="24"/>
        </w:rPr>
        <w:t xml:space="preserve"> se zaměřil zejména na posílení mezinárodní konkurenceschopnosti malých a středních podniků prostřednictvím podpory jejich individuálních a společných účastí na zahraničních výstavách a veletrzích. Účast v programu firmám umožnila představení a propagaci výsledků výzkumu a inovativních aktivit v zahraničí, přispěla k mezinárodnímu transferu vědomostí a know-how a k vytváření pozitivního image firem ČR v zahraničí. Pozitivně je možno hodnotit interní projekt</w:t>
      </w:r>
      <w:r w:rsidRPr="008B53A9">
        <w:rPr>
          <w:rFonts w:ascii="Times New Roman" w:hAnsi="Times New Roman"/>
          <w:i/>
          <w:szCs w:val="24"/>
        </w:rPr>
        <w:t xml:space="preserve"> Společná účast na specializovaných výstavách a veletrzích v zahraničí 2009 – 2012 (SVV) </w:t>
      </w:r>
      <w:r w:rsidRPr="008B53A9">
        <w:rPr>
          <w:rFonts w:ascii="Times New Roman" w:hAnsi="Times New Roman"/>
          <w:szCs w:val="24"/>
          <w:lang w:eastAsia="en-US"/>
        </w:rPr>
        <w:t>zaměřený na oborovou prezentaci prostřednictvím společné účasti cílových skupin - profesních (oborových) organizací a individuálních podniků na vybraných specializovaných veletrzích a výstavách v zahraničí. Projekt významným způsobem podpořil vstup zejména malých a středních podniků na zahraniční trhy a jejich konkurenceschopnost. Vzhledem k jednoznačně kladnému hodnocení projektu a zájmu ze strany MSP bylo přistoupeno k vyhlášení obdobného interního projektu rovněž pro období 2013-2014.</w:t>
      </w:r>
    </w:p>
    <w:p w:rsidR="00304A4E" w:rsidRPr="008B53A9" w:rsidRDefault="00304A4E" w:rsidP="00304A4E">
      <w:pPr>
        <w:pStyle w:val="Standardntext"/>
      </w:pPr>
      <w:r w:rsidRPr="008B53A9">
        <w:t xml:space="preserve">V prioritní ose 6 OPPI byly realizovány i některé další tzv. interní projekty. Projekt </w:t>
      </w:r>
      <w:r w:rsidRPr="008B53A9">
        <w:rPr>
          <w:i/>
        </w:rPr>
        <w:t>CzechAccelerator 2011–2014</w:t>
      </w:r>
      <w:r w:rsidRPr="008B53A9">
        <w:t xml:space="preserve"> zaměřený </w:t>
      </w:r>
      <w:r w:rsidRPr="008B53A9">
        <w:rPr>
          <w:bCs/>
        </w:rPr>
        <w:t>n</w:t>
      </w:r>
      <w:r w:rsidRPr="008B53A9">
        <w:t xml:space="preserve">a zlepšení kvality a dostupnosti ucelené koncepce poradenských služeb zejména pro </w:t>
      </w:r>
      <w:r w:rsidRPr="008B53A9">
        <w:rPr>
          <w:bCs/>
        </w:rPr>
        <w:t>malé a střední podniky</w:t>
      </w:r>
      <w:r w:rsidRPr="008B53A9">
        <w:t xml:space="preserve"> s cílem zvýšení jejich konkurenceschopnosti. Poradenské služby poskytované v rámci projektu </w:t>
      </w:r>
      <w:r w:rsidRPr="008B53A9">
        <w:rPr>
          <w:bCs/>
        </w:rPr>
        <w:t>pomohly</w:t>
      </w:r>
      <w:r w:rsidRPr="008B53A9">
        <w:t xml:space="preserve"> </w:t>
      </w:r>
      <w:r w:rsidRPr="008B53A9">
        <w:rPr>
          <w:bCs/>
        </w:rPr>
        <w:t>malým a středním podnikům</w:t>
      </w:r>
      <w:r w:rsidRPr="008B53A9">
        <w:t xml:space="preserve"> získat praktické manažerské zkušenosti na cílových trzích, vyhledat na nich vhodné partnery a rozvíjet obchodní aktivity včetně komercialiazce </w:t>
      </w:r>
      <w:r w:rsidRPr="008B53A9">
        <w:rPr>
          <w:bCs/>
        </w:rPr>
        <w:t xml:space="preserve"> </w:t>
      </w:r>
      <w:r w:rsidRPr="008B53A9">
        <w:t xml:space="preserve">jejich produktu. Projekt  </w:t>
      </w:r>
      <w:r w:rsidRPr="008B53A9">
        <w:rPr>
          <w:i/>
        </w:rPr>
        <w:t>CzechAccelerator 2011–2014</w:t>
      </w:r>
      <w:r w:rsidRPr="008B53A9">
        <w:t xml:space="preserve">  přispěl k úspěšnému působení </w:t>
      </w:r>
      <w:r w:rsidRPr="008B53A9">
        <w:rPr>
          <w:bCs/>
        </w:rPr>
        <w:t xml:space="preserve">malých a středních podniků se sídlem v ČR v zahraničních destinacích, zejména pak </w:t>
      </w:r>
      <w:r w:rsidRPr="008B53A9">
        <w:t xml:space="preserve">k praktickému uplatnění jejich podnikatelských plánů a posílení marketingových a manažerských schopností. Cílem interního </w:t>
      </w:r>
      <w:r w:rsidRPr="008B53A9">
        <w:lastRenderedPageBreak/>
        <w:t xml:space="preserve">projektu </w:t>
      </w:r>
      <w:r w:rsidRPr="008B53A9">
        <w:rPr>
          <w:i/>
        </w:rPr>
        <w:t>CzechEkoSystem</w:t>
      </w:r>
      <w:r w:rsidRPr="008B53A9">
        <w:t xml:space="preserve"> bylo podpořit poradenské a služby pro malé a střední podniky, včetně přípravy projektů pro vstup rizikového kapitálu na zvýšení jejich konkurenceschopnosti. </w:t>
      </w:r>
      <w:r w:rsidRPr="008B53A9">
        <w:rPr>
          <w:lang w:eastAsia="en-US"/>
        </w:rPr>
        <w:t xml:space="preserve">Projekt přispěl ke zvýšení konkurenceschopnosti malých a středních podniků prostřednictvím ucelené koncepce poradenských služeb. </w:t>
      </w:r>
      <w:r w:rsidRPr="008B53A9">
        <w:t xml:space="preserve">Realizací projektu došlo k zapojení odborných kapacit do procesu přípravy projektů potenciálně financovatelných formou rizikového kapitálu. Interní projekt </w:t>
      </w:r>
      <w:r w:rsidRPr="008B53A9">
        <w:rPr>
          <w:i/>
        </w:rPr>
        <w:t>Posílení mezinárodní konkurenceschopnosti českých podniků v oblasti kosmických technologií,</w:t>
      </w:r>
      <w:r w:rsidRPr="008B53A9" w:rsidDel="00681B92">
        <w:rPr>
          <w:i/>
        </w:rPr>
        <w:t xml:space="preserve"> </w:t>
      </w:r>
      <w:r w:rsidRPr="008B53A9">
        <w:t xml:space="preserve">byl přínosem zejména pro zvýšení informovanosti firem v ČR o programech z oblasti kosmických technologií a přiblížení možnosti zapojení do těchto programů. Projekt byl zaměřen také na vyhledání výrobců nejmodernějších a pro ČR klíčových technologií s vlastními inovacemi a vývojem, nebo se zájmem o spolupráci s organizací v oblasti inovací a vývoje. Projekt </w:t>
      </w:r>
      <w:r w:rsidRPr="008B53A9">
        <w:rPr>
          <w:bCs/>
          <w:i/>
        </w:rPr>
        <w:t xml:space="preserve">Design pro konkurenceschopnost 2013-2014 </w:t>
      </w:r>
      <w:r w:rsidRPr="008B53A9">
        <w:t xml:space="preserve"> byl zaměřen na podporu implementace průmyslového designu do podnikatelských strategií malých a středních podniků, formou profesionálně zpracovaného designu. V rámci projektu byla podporována spolupráce designérů s malými a středními podniky poskytování informací prostřednictvím Design Newsletterů a odborných publikací, organizace odborných seminářů a workshopů se zaměřením na problematiku Design Managementu, a propagace průmyslového designu v zahraničí formou společné expozice na vybraných veletrzích a výstavách v zahraničí.</w:t>
      </w:r>
    </w:p>
    <w:p w:rsidR="00304A4E" w:rsidRPr="008B53A9" w:rsidRDefault="00304A4E" w:rsidP="00304A4E">
      <w:pPr>
        <w:pStyle w:val="Standardntext"/>
        <w:spacing w:after="240"/>
      </w:pPr>
      <w:r w:rsidRPr="008B53A9">
        <w:t xml:space="preserve">V programovacím období 2014-2020 došlo především ke koncentraci podpory zaměřené výhradně na malé a střední podniky do jedné prioritní osy OP PIK (prioritní osa 2 vážící se k tematickému cíli 3 dle čl. 9(3) nařízení č. 1303/2013). Tato prioritní osa zahrnuje tři investiční priority tematického cíle 3 definované nařízením č. 1301/2013 o EFRR, rozvojové potřeby ČR zde budou naplňovány prostřednictvím čtyř specifických cílů. </w:t>
      </w:r>
    </w:p>
    <w:p w:rsidR="00304A4E" w:rsidRPr="008B53A9" w:rsidRDefault="00304A4E" w:rsidP="00304A4E">
      <w:pPr>
        <w:pStyle w:val="Standardntext"/>
        <w:spacing w:after="240"/>
        <w:rPr>
          <w:b/>
          <w:i/>
        </w:rPr>
      </w:pPr>
      <w:r w:rsidRPr="008B53A9">
        <w:rPr>
          <w:b/>
          <w:i/>
        </w:rPr>
        <w:t>1.3 Energetická a materiálová náročnost, energetická infrastruktura</w:t>
      </w:r>
    </w:p>
    <w:p w:rsidR="00304A4E" w:rsidRPr="008B53A9" w:rsidRDefault="00304A4E" w:rsidP="00304A4E">
      <w:pPr>
        <w:pStyle w:val="Standardntext"/>
      </w:pPr>
      <w:r w:rsidRPr="008B53A9">
        <w:t xml:space="preserve">V OPPI byla vymezena prioritní osa 3 „Efektivní energie“. Prostřednictvím jediného programu podpory </w:t>
      </w:r>
      <w:r w:rsidRPr="008B53A9">
        <w:rPr>
          <w:i/>
        </w:rPr>
        <w:t>Eko-energie</w:t>
      </w:r>
      <w:r w:rsidRPr="008B53A9">
        <w:t xml:space="preserve"> byly podporovány podnikatelské aktivity v oblasti úspor energie a obnovitelných, příp. i druhotných zdrojů energie. Cílem poskytování podpor bylo snížit energetickou náročnost na jednotku produkce při zachování dlouhodobé stability a dostupnosti energie pro podnikatelskou sféru, omezit závislost české ekonomiky na dovozu energetických komodit, snížit spotřebu fosilních primárních energetických zdrojů a podporovat podnikatele v oblasti využití obnovitelných zdrojů energie, přispívat ke zvyšování jejich konkurenceschopnosti.</w:t>
      </w:r>
    </w:p>
    <w:p w:rsidR="00304A4E" w:rsidRPr="008B53A9" w:rsidRDefault="00304A4E" w:rsidP="00304A4E">
      <w:pPr>
        <w:pStyle w:val="Standardntext"/>
        <w:spacing w:after="240"/>
      </w:pPr>
      <w:r w:rsidRPr="008B53A9">
        <w:t xml:space="preserve">Věcný pokrok prioritní osy 3 OPPI potvrdil očekávání, že se jí podaří naplnit stanovené cíle. Poněkud pomalejší náběh dosahování stanovených hodnot indikátorů je dán především charakterem realizovaných projektů, u kterých se efekty projevují s určitým časovým zpožděním. Podpořené projekty se zaměřily zhruba z 86 % na zvyšování energetické účinnosti a ze 14 % na zvýšení výroby energie z obnovitelných zdrojů. Vzhledem k tomu, že podniky stále hledají prostor pro snižování nákladů a podpora úspor energie v podnicích je v tomto směru velmi účinným nástrojem. Téma snižování energetické náročnosti je proto jedním ze stěžejních i pro programovací období 2014-2020. Přetrvávající vysoká energetická a surovinová náročnost českého hospodářství, rostoucí ceny energií, závislost na neobnovitelných zdrojích energie a postupné zastarávání a nedostatečná kapacita energetické infrastruktury jsou příčinou toho, že prioritní osa 3 představuje vedle podpory VaV a inovací v prioritní ose 1 druhou hlavní oblast podpory v OP PIK. Vedle „tradičních“ oblastí podpory zaměřených na úspory energií v podnicích (SC 3.2), kombinovanou výrobu elektřiny a tepla (SC 3.5) a výstavbu a modernizaci zdrojů na výrobu energie z OZE (SC 3.1) budou nově financovány také komplexní intervence v elektrizační soustavě (SC 3.6 - přenosová soustava a </w:t>
      </w:r>
      <w:r w:rsidRPr="008B53A9">
        <w:lastRenderedPageBreak/>
        <w:t>SC 3.3 - distribuční soustavy). Tento komplexní přístup přinese kvalitativně vyšší přínosy pro posílení bezpečnosti, spolehlivosti  a kvality dodávky elektrické energie a zároveň umožní dobudovat vnitřní trh s elektřinou, integraci decentrálních zdrojů včetně OZE do distribučních soustav a efektivnější nakládání energií. Nově budou podporovány také aktivity spojené se zaváděním inovativních řešení při nakládání energiemi a při získávání a využívání druhotných surovin (SC 3.4) s cílem dále snižovat spotřebu primárních surovin a více využívat nízkouhlíkové technologie v oblastech čisté mobility, smart cities apod.</w:t>
      </w:r>
    </w:p>
    <w:p w:rsidR="00304A4E" w:rsidRPr="008B53A9" w:rsidRDefault="00304A4E" w:rsidP="00304A4E">
      <w:pPr>
        <w:pStyle w:val="Standardntext"/>
        <w:rPr>
          <w:b/>
          <w:i/>
        </w:rPr>
      </w:pPr>
      <w:r w:rsidRPr="008B53A9">
        <w:rPr>
          <w:b/>
          <w:i/>
        </w:rPr>
        <w:t>1.4 ICT infrastruktura a služby</w:t>
      </w:r>
    </w:p>
    <w:p w:rsidR="00304A4E" w:rsidRPr="008B53A9" w:rsidRDefault="00304A4E" w:rsidP="00304A4E">
      <w:pPr>
        <w:pStyle w:val="Standardntext"/>
      </w:pPr>
      <w:r w:rsidRPr="008B53A9">
        <w:t xml:space="preserve">ICT infrastruktura v podobě výstavby nebo modernizace sítí elektronických komunikací pro vysokorychlostní přístup k internetu nebyla v programovém období 2007–2013 podporována. Specifický cíl 4.1 OP PIK zaměřený na modernizace, resp. rozšiřování stávající infrastruktury pro vysokorychlostní přístup k internetu využitím optických prvků, zřizování nových sítí sestávajících z části nebo plně z optických vedení pro vysokorychlostní přístup k internetu a vytváření pasivní infrastruktury pro vysokorychlostní přístup k internetu zejména v lokalitách předpokládaného budoucího stavebního rozvoje je reakcí na strategický cíl ČR i EU </w:t>
      </w:r>
      <w:r w:rsidRPr="008B53A9">
        <w:rPr>
          <w:sz w:val="23"/>
          <w:szCs w:val="23"/>
        </w:rPr>
        <w:t xml:space="preserve">umožnit do roku 2020 přenosové rychlosti 30 Mbit/s pro všechny obyvatele a 100 Mbit/s minimálně pro polovinu domácností. </w:t>
      </w:r>
      <w:r w:rsidRPr="008B53A9">
        <w:t xml:space="preserve"> </w:t>
      </w:r>
    </w:p>
    <w:p w:rsidR="00304A4E" w:rsidRPr="008B53A9" w:rsidRDefault="00304A4E" w:rsidP="00304A4E">
      <w:pPr>
        <w:pStyle w:val="Standardntext"/>
        <w:spacing w:after="240"/>
      </w:pPr>
      <w:r w:rsidRPr="008B53A9">
        <w:t xml:space="preserve">Specifický cíl 4.2 OP PIK navazuje na program podpory </w:t>
      </w:r>
      <w:r w:rsidRPr="008B53A9">
        <w:rPr>
          <w:i/>
        </w:rPr>
        <w:t>ICT a strategické služby</w:t>
      </w:r>
      <w:r w:rsidRPr="008B53A9">
        <w:t xml:space="preserve"> OPPI 2007-2013, </w:t>
      </w:r>
      <w:r w:rsidRPr="008B53A9">
        <w:rPr>
          <w:bCs/>
        </w:rPr>
        <w:t xml:space="preserve">ve kterém byla podporována jak tvorba ICT řešení, tak centra sdílených služeb. Byly realizovány projekty, které přinesly unikátní řešení a rovněž vytvořily vysoce kvalifikovaná pracovní místa. </w:t>
      </w:r>
      <w:r w:rsidRPr="008B53A9">
        <w:t xml:space="preserve">To přispívá ke zvyšování konkurenceschopnosti ČR v oblasti ICT služeb. </w:t>
      </w:r>
      <w:r w:rsidRPr="008B53A9">
        <w:rPr>
          <w:bCs/>
        </w:rPr>
        <w:t>V návaznosti na zkušenosti z realizace OPPI bude specifický cíl 4.2 OP PIK zaměřen na tvorbu ICT řešení a centra sdílených služeb s velkým důrazem na současné trendy, mezi které patří mimo jiné cloudová řešení. Tím bude rovněž stimulována poptávka po cloudových službách, jejichž využívání vede ke snižování nákladů koncových uživatelů.</w:t>
      </w:r>
      <w:r w:rsidRPr="008B53A9">
        <w:t xml:space="preserve"> V průběhu realizace programu podpory </w:t>
      </w:r>
      <w:r w:rsidRPr="008B53A9">
        <w:rPr>
          <w:i/>
        </w:rPr>
        <w:t>ICT a strategické služby</w:t>
      </w:r>
      <w:r w:rsidRPr="008B53A9">
        <w:t xml:space="preserve"> byl v čase možný pozorovat kvalitativní posun v předkládaných projektech. Žadatele se od počátečních „nesmělých“ pokusů se v průběhu několika výzev dopracovávali k projektům zaměřeným na vysoce sofistikovaná řešení náročná na kvalifikovanou pracovní sílu. Očekáváme tento trend i v programovacím období 2014 – 2020. </w:t>
      </w:r>
    </w:p>
    <w:p w:rsidR="00304A4E" w:rsidRPr="008B53A9" w:rsidRDefault="00304A4E" w:rsidP="00304A4E">
      <w:pPr>
        <w:pStyle w:val="Standardntext"/>
        <w:rPr>
          <w:b/>
        </w:rPr>
      </w:pPr>
      <w:r w:rsidRPr="008B53A9">
        <w:rPr>
          <w:b/>
        </w:rPr>
        <w:t>2. Technická pomoc operačního programu</w:t>
      </w:r>
    </w:p>
    <w:p w:rsidR="00304A4E" w:rsidRPr="008B53A9" w:rsidRDefault="00304A4E" w:rsidP="00304A4E">
      <w:pPr>
        <w:pStyle w:val="Standardntext"/>
      </w:pPr>
      <w:r w:rsidRPr="008B53A9">
        <w:t xml:space="preserve">Zkušenosti z implementace předchozích operačních programů v gesci MPO se v oblasti technické pomoci programu koncentrují do následujících hlavních oblastí: </w:t>
      </w:r>
    </w:p>
    <w:p w:rsidR="00304A4E" w:rsidRPr="008B53A9" w:rsidRDefault="00304A4E" w:rsidP="00304A4E">
      <w:pPr>
        <w:pStyle w:val="Standardntext"/>
      </w:pPr>
      <w:r w:rsidRPr="008B53A9">
        <w:t xml:space="preserve">(i) Jednou z hlavních problematických zkušeností implementace strukturálních fondů v letech 2007 – 2013 je vyšší fluktuace zaměstnanců, kdy ze svých pozic odcházejí pracovníci, kteří již danou oblast znají a ovládají, a zájmem (nejenom) řídícího orgánu programu je takovéto pracovníky motivovat a </w:t>
      </w:r>
      <w:r w:rsidRPr="008B53A9">
        <w:rPr>
          <w:u w:val="single"/>
        </w:rPr>
        <w:t>profesní strukturu v implementačním systému stabilizovat</w:t>
      </w:r>
      <w:r w:rsidRPr="008B53A9">
        <w:t>. Pro zlepšení implementace OP PIK je tedy v rámci aktivit technické pomoci zásadní otázkou zajistit stálou zaměstnaneckou sestavu řídícího orgánu, s tím souvisí i potřeba proškolování pracovníků, a to jak interními semináři, tak školeními externími. Potřeba vzdělávání a proškolování zaměstnanců odůvodňují i časté legislativní změny, a to jak na úrovni národních právních předpisů, tak evropských. Pro řádné řízení programu je tedy nutné zajistit dostatečnou administrativní kapacitu řídícího orgánu a zprostředkujících subjektů, mj. v oblasti kontrol.</w:t>
      </w:r>
    </w:p>
    <w:p w:rsidR="00304A4E" w:rsidRPr="008B53A9" w:rsidRDefault="00304A4E" w:rsidP="00304A4E">
      <w:pPr>
        <w:pStyle w:val="Standardntext"/>
      </w:pPr>
      <w:r w:rsidRPr="008B53A9">
        <w:t xml:space="preserve">(ii) Velmi problematickým tématem, které je pro období 2014 – 2020 potřeba řešit, je </w:t>
      </w:r>
      <w:r w:rsidRPr="008B53A9">
        <w:rPr>
          <w:u w:val="single"/>
        </w:rPr>
        <w:t>oblast veřejných zakázek, a téma outsourcingu služeb</w:t>
      </w:r>
      <w:r w:rsidRPr="008B53A9">
        <w:t xml:space="preserve">. Outsourcovány nebudou služby, které je </w:t>
      </w:r>
      <w:r w:rsidRPr="008B53A9">
        <w:lastRenderedPageBreak/>
        <w:t>možno z dnešního pohledu označit za citlivé (např. externí spolupráce na výkonu kontrol, právní poradenství) a řídící orgán by si je měl ponechat v rámci své kompetence. V případě outsourcingu je ale potřeba zohlednit skutečnost, že řídící orgán nemá takovou administrativní a odbornou kapacitu, aby od outsourcování některých typů služeb mohl plně odstoupit. Zadávány budou pouze vysoce specializované zakázky v oblastech, které není schopen řídící orgán pokrýt vlastní administrativou, důležité je, že tyto služby nebudou nasmlouvávány závazně na celou dobu běhu programu. Tím bude ŘO moci reagovat na aktuální potřeby a to i tržní a nezaváže se k dlouhodobému (a často nákladnému) plnění. V oblasti publicity se bude outsourcing plánovat s ohledem na princip 3E a zakázka bude zadána dle finančních limitů v souladu se zákonem o veřejných zakázkách. Kontrolní činnost nebude outsourcována. Kontroly bude provádět řídící orgán a bude podléhat auditům ze strany auditního orgánu.</w:t>
      </w:r>
    </w:p>
    <w:p w:rsidR="00304A4E" w:rsidRPr="008B53A9" w:rsidRDefault="00304A4E" w:rsidP="00304A4E">
      <w:pPr>
        <w:pStyle w:val="Standardntext"/>
      </w:pPr>
      <w:r w:rsidRPr="008B53A9">
        <w:t xml:space="preserve">(iii) </w:t>
      </w:r>
      <w:r w:rsidRPr="008B53A9">
        <w:rPr>
          <w:u w:val="single"/>
        </w:rPr>
        <w:t>Ke zlepšení informovanosti veřejnosti o fondech EU</w:t>
      </w:r>
      <w:r w:rsidRPr="008B53A9">
        <w:t xml:space="preserve"> je nutné zkvalitnit způsob medializace a cílení informačních a komunikačních kampaní, a to nejenom v době přípravy programu, nýbrž zejména po celou dobu realizace programovacího období. Zkušeností, ze které je potřeba se pro období 2014 -2020 poučit, je nerealizovat do budoucna příliš obecné a rozsáhlé komunikační kampaně (tyto budou aktivitami v centrálním OP Technická pomoc, OPTP), nýbrž tyto kampaně cílit přímo na potenciální žadatele a budoucí příjemce programu, a to prostřednictví přímých kontaktů na specializovaných seminářích, prostřednictvím specializovaných brožur, odborných článků, pomocí help linky a přehledných a uživatelsky příznivých webových stránek; a to prostřednictvím jak webových stránek OP PIK, tak webových stránek zprostředkujících subjektů a centrálních stránek strukturálních fondů v gesci MMR-NOK (ve vazbě na plnění publicity v rámci společné komunikační strategie). K publicitě programu patří rovněž informace o úspěšných projektech, informace o administraci projektů, úspěšnosti podaných žádostí. V omezené míře bude přistupováno k placené inzerci v tisku a médiích. Řídící orgán se spíše kloní k propagaci programu ve formě spolupráce s jednotlivými médii.</w:t>
      </w:r>
    </w:p>
    <w:p w:rsidR="00304A4E" w:rsidRPr="008B53A9" w:rsidRDefault="00304A4E" w:rsidP="00304A4E">
      <w:pPr>
        <w:pStyle w:val="Standardntext"/>
      </w:pPr>
      <w:r w:rsidRPr="008B53A9">
        <w:t>(iv) Veřejnost má mnohdy spíše negativní povědomí o čerpání fondů EU a dosažených výsledcích, neboť si často tuto problematiku spojuje s podvody a korupcí. Česká republika přijala „</w:t>
      </w:r>
      <w:r w:rsidRPr="008B53A9">
        <w:rPr>
          <w:u w:val="single"/>
        </w:rPr>
        <w:t>Strategii pro boj s podvody a korupcí v rámci čerpání fondů SSR v období 2014-2020</w:t>
      </w:r>
      <w:r w:rsidRPr="008B53A9">
        <w:t>“, kterou zpracoval MMR-NOK v roce 2013. Pro její naplnění byl připraven Akční plán, který specifikuje zapracování navržených opatření do jednotlivých metodických dokumentů, přičemž některá opatření a jejich zapracování jdou až na úroveň programů a jejich nastavení. Řídící orgán OP PIK se bude při boji s podvody a korupcí řídit výše uvedenou strategií, resp. Akčním plánem.</w:t>
      </w:r>
    </w:p>
    <w:p w:rsidR="00304A4E" w:rsidRPr="008B53A9" w:rsidRDefault="00304A4E" w:rsidP="00304A4E">
      <w:pPr>
        <w:pStyle w:val="Standardntext"/>
      </w:pPr>
      <w:r w:rsidRPr="008B53A9">
        <w:t xml:space="preserve">(v) </w:t>
      </w:r>
      <w:r w:rsidRPr="008B53A9">
        <w:rPr>
          <w:u w:val="single"/>
        </w:rPr>
        <w:t>Opatření ke zvyšování absorpční kapacity programu a snižování administrativní zátěže</w:t>
      </w:r>
      <w:r w:rsidRPr="008B53A9">
        <w:t xml:space="preserve">:  </w:t>
      </w:r>
    </w:p>
    <w:p w:rsidR="00304A4E" w:rsidRPr="008B53A9" w:rsidRDefault="00304A4E" w:rsidP="00304A4E">
      <w:pPr>
        <w:pStyle w:val="Standardntext"/>
      </w:pPr>
      <w:r w:rsidRPr="008B53A9">
        <w:rPr>
          <w:szCs w:val="22"/>
        </w:rPr>
        <w:t>Řídící orgán OPPI zpracoval v předešlém programovacím období několik evaluací, které se zaměřovaly na problematiku komunikace s žadateli a tím vyhodnocení absorpční kapacity programu. D</w:t>
      </w:r>
      <w:r w:rsidRPr="008B53A9" w:rsidDel="00BE1BD6">
        <w:rPr>
          <w:szCs w:val="22"/>
        </w:rPr>
        <w:t xml:space="preserve">etailnější informace </w:t>
      </w:r>
      <w:r w:rsidRPr="008B53A9">
        <w:rPr>
          <w:szCs w:val="22"/>
        </w:rPr>
        <w:t xml:space="preserve">byly uvádění v jednotlivých </w:t>
      </w:r>
      <w:r w:rsidRPr="008B53A9" w:rsidDel="00BE1BD6">
        <w:rPr>
          <w:szCs w:val="22"/>
        </w:rPr>
        <w:t>výročních zprávách</w:t>
      </w:r>
      <w:r w:rsidRPr="008B53A9">
        <w:rPr>
          <w:szCs w:val="22"/>
        </w:rPr>
        <w:t xml:space="preserve"> OPPI. Šlo zejména o „Hodnocení absorpční kapacity OPPI 2007 - 2013 ve vztahu k cílovým skupinám“, „Možnosti uplatnění PPP v OPPI 2007 - 2013“, „Střednědobé hodnocení Operačního programu Podnikání a inovace 2007 – 2013“ nebo „Vyhodnocení ekonomických efektů a nastavení podmínek výzev programů podpory OPPI“. Závěry a doporučení těchto studií byly použity zejména při vyjednávání o revizích OPPI. Ve vztahu k opatřením ke snižování administrativní zátěže podnikatelů byla zpracována studie „Vyhodnocení a optimalizace soustavy indikátorů OPPI 2007 - 2013“, jejíž závěry byly využity pro přípravu OP PIK. Další evaluační projekty se týkaly oblasti řízení a administrace programu. Šlo zejména o „Analýzu efektivnosti čerpání, kvality řízení a procesních postupů OPPI, včetně návrhu souboru opatření“. Výsledky a závěry </w:t>
      </w:r>
      <w:r w:rsidRPr="008B53A9">
        <w:rPr>
          <w:szCs w:val="22"/>
        </w:rPr>
        <w:lastRenderedPageBreak/>
        <w:t>analýzy byly využity pro optimalizaci administrativních procesů a postupů při implementaci OPPI a byly zapracovány do příslušných implementačních manuálů. Dále byla řešena oblast elektronické administrace projektů a to ve studii „Vyhodnocení internetové aplikace eAccount pro komunikaci se žadateli a příjemci OPPI 2007 - 2013“, jejíž výsledky byly využity pro zefektivnění systému elektronického podávání žádostí prostřednictvím internetové aplikace eAccount s cílem jejího celkového zpřehlednění a snížení administrativních úkonů jak na straně Řídícího orgánu, tak především na straně žadatele – předkladatele projektu. V neposlední řadě je potřeba zmínit rámcovou „Analýzu věcných priorit a potřeb jednotlivých oblastí v působnosti MPO pro zaměření podpory ze strukturálních fondů EU v příštím programovacím období“, ze které se vycházelo při koncipování návrhu OP PIK 2014 - 2020.</w:t>
      </w:r>
    </w:p>
    <w:p w:rsidR="00304A4E" w:rsidRPr="008B53A9" w:rsidRDefault="00304A4E" w:rsidP="00304A4E">
      <w:pPr>
        <w:pStyle w:val="Standardntext"/>
      </w:pPr>
      <w:r w:rsidRPr="008B53A9">
        <w:t xml:space="preserve">(vi) </w:t>
      </w:r>
      <w:r w:rsidRPr="008B53A9">
        <w:rPr>
          <w:u w:val="single"/>
        </w:rPr>
        <w:t>Opatření realizovaná v rámci technické pomoci programu</w:t>
      </w:r>
      <w:r w:rsidRPr="008B53A9">
        <w:t xml:space="preserve">: </w:t>
      </w:r>
    </w:p>
    <w:p w:rsidR="00304A4E" w:rsidRPr="008B53A9" w:rsidRDefault="00304A4E" w:rsidP="00304A4E">
      <w:pPr>
        <w:pStyle w:val="Standardntext"/>
      </w:pPr>
      <w:r w:rsidRPr="008B53A9">
        <w:t xml:space="preserve">V rámci výsledků hodnocení technické pomoci OPPI (výstupy z analýzy „Hodnocení řídících procesů v oblasti TP OPPI a návrhy na vylepšení“) je nutné zkonstatovat výrazně vysokou administrativní náročnost projektů, což souvisí s vysokým číslem jednotlivých žádostí. Zároveň jsou ale tyto žádosti co do svého finančního objemu nižšího rázu. Průměrná výše dotace EU patří v celém souboru operačních programů k nejnižším. </w:t>
      </w:r>
    </w:p>
    <w:p w:rsidR="00304A4E" w:rsidRPr="008B53A9" w:rsidRDefault="00304A4E" w:rsidP="00304A4E">
      <w:pPr>
        <w:pStyle w:val="Standardntext"/>
      </w:pPr>
      <w:r w:rsidRPr="008B53A9">
        <w:t xml:space="preserve">Již za administrace technické pomoci OPPI tedy došlo k určitým optimalizačním krokům (agregace záměrů, a tím snížení jejich počtů, vytvoření kontrolního listu, který ve většině případů nahrazuje II. oponentní řízení), které vedly ke snížení administrativní zátěže, zjednodušení procesu a snížení počtů jednotlivých záměrů. V nastaveném trendu je vhodné pokračovat i v rámci OP PIK, i nadále se tedy bude snižovat počet záměrů, kdy, kde to bude administrativně možné a logické, bude pro jednu oblast zvolen jeden zaštiťující záměr na celou dobu realizace operačního programu, kdy dílčí plnění lze tvořit jako etapy. Výše uvedený postup povede i k velké transparentnosti čerpání prostředků v rámci OP PIK, neboť budou realizovány komplexní projektové záměry sestávající z dílčích aktivit (akcí). Takto definované projektové záměry mají jasně definované zdroje (čas, finanční prostředky) a cíle, které jsou předmětem schvalování. Zavedení vyšší míry komplexnosti schvalování projektových záměrů vede rovněž k vyšší provázanosti mezi čerpání prostředků a plněním cílů technické pomoci. </w:t>
      </w:r>
    </w:p>
    <w:p w:rsidR="00304A4E" w:rsidRPr="008B53A9" w:rsidRDefault="00304A4E" w:rsidP="00304A4E">
      <w:pPr>
        <w:pStyle w:val="Standardntext"/>
      </w:pPr>
      <w:r w:rsidRPr="008B53A9">
        <w:t>Každý projektový záměr financovaný z technické pomoci OP PIK  bude procházet přesně definovaným procesem schvalování a bude podroben několikastupňové kontrole v průběhu jeho realizace. Pracovní postupy v rámci technické pomoci OP PIK neobsahují formální a duplicitní kroky a jsou nastaveny tak, aby umožnily efektivní výkon a kontrolu prováděných činností. Je rovněž zajištěno provádění koordinace s relevantními odbory MPO mimo strukturu Řídícího orgánu OP PIK (např. odbor právní, odbor komunikace, personální apod.)</w:t>
      </w:r>
    </w:p>
    <w:p w:rsidR="00811581" w:rsidRPr="008B53A9" w:rsidRDefault="00304A4E" w:rsidP="00811581">
      <w:pPr>
        <w:pStyle w:val="Standardntext"/>
        <w:rPr>
          <w:lang w:val="cs-CZ"/>
        </w:rPr>
      </w:pPr>
      <w:r w:rsidRPr="008B53A9">
        <w:t>Na úrovni programového řízení technické pomoci OP PIK  dojde k posílení souborů cílů a metrik pro vyhodnocování, a to zejména prostřednictvím výrazně posílené škály indikátorů. Dále je v rámci technické pomoci OP PIK na základě vyhodnocení technické pomoci OPPI  posílena koordinace aktivit technické pomoci napříč implementační strukturou, včetně posuzování projektových záměrů z hlediska vzájemné synergie a přínosů pro naplňování cílů prioritní osy technická pomoc OP PIK. Výše uvedené se týká i spolupráce s odbornými útvary MPO mimo implementační strukturu, a to zejména v oblasti publicity (odbor komunikace a marketingu MPO).</w:t>
      </w:r>
    </w:p>
    <w:p w:rsidR="00811581" w:rsidRPr="008B53A9" w:rsidRDefault="00811581" w:rsidP="00811581">
      <w:pPr>
        <w:pStyle w:val="Standardntext"/>
        <w:rPr>
          <w:rFonts w:ascii="Calibri" w:hAnsi="Calibri"/>
          <w:sz w:val="26"/>
          <w:szCs w:val="28"/>
        </w:rPr>
      </w:pPr>
      <w:r w:rsidRPr="008B53A9">
        <w:br w:type="page"/>
      </w:r>
    </w:p>
    <w:p w:rsidR="005B16F0" w:rsidRPr="008B53A9" w:rsidRDefault="00811581" w:rsidP="00D66D7F">
      <w:pPr>
        <w:pStyle w:val="Nadpis2"/>
        <w:numPr>
          <w:ilvl w:val="0"/>
          <w:numId w:val="0"/>
        </w:numPr>
        <w:ind w:left="576" w:hanging="576"/>
        <w:rPr>
          <w:rFonts w:cs="Calibri"/>
        </w:rPr>
      </w:pPr>
      <w:bookmarkStart w:id="151" w:name="_Toc391539706"/>
      <w:r w:rsidRPr="008B53A9">
        <w:rPr>
          <w:rFonts w:cs="Calibri"/>
        </w:rPr>
        <w:lastRenderedPageBreak/>
        <w:t>Nepovinná příloha č. 2</w:t>
      </w:r>
      <w:r w:rsidR="005B16F0" w:rsidRPr="008B53A9">
        <w:rPr>
          <w:rFonts w:cs="Calibri"/>
        </w:rPr>
        <w:t>: Analýza potřeb ČR ve vybraných problémových oblastech Dohody o partnerství</w:t>
      </w:r>
      <w:bookmarkEnd w:id="151"/>
    </w:p>
    <w:p w:rsidR="00752339" w:rsidRPr="008B53A9" w:rsidRDefault="00752339" w:rsidP="00752339">
      <w:pPr>
        <w:pStyle w:val="Standardntext"/>
      </w:pPr>
      <w:r w:rsidRPr="008B53A9">
        <w:t>Růst HDP České republiky se od mírného oživení ekonomiky v letech 2010 a 2011 následujícím po období hospodářské recese pohybuje opět v záporných hodnotách (-1,0 % v roce 2012 a -0,9 % v roce 2013). Ve čtvrtém čtvrtletí 2013 byl však již zaznamenán meziročně (oproti 4. čtvrtletí 2012) nárůst + 1,2 %, při srovnání k předchozímu čtvrtletí nastal růst již od 2. čtvrtletí 2013 včetně. I přes oživení průmyslové výroby v roce 2013, avšak při celkovém poklesu ekonomiky v daném roce zůstává situace na českém trhu práce stále nepříznivá. Některá odvětví však navzdory ekonomické recesi rostou. Často se jedná o odvětví s vyššími nároky na znalosti a dovednosti pracovníků (architektonické a inženýrské činnosti, IT služby nebo výroba elektronických a optických přístrojů). Je velmi pozitivní, že podíl zaměstnaných v těchto odvětvích v české ekonomice stoupá, protože to svědčí o zvyšování kvalifikační náročnosti zde realizovaných činností. Přesun zaměstnanosti do odvětví s vyšší produktivitou práce a orientace na zlepšení pozice českých zaměstnavatelů v globálních hodnotových řetězcích je klíčovým faktorem zvyšování konkurenceschopnosti země. Konkurenceschopnost bude založena především na inovačních schopnostech spočívajících ve včasném rozeznání vznikající globální poptávky a adekvátní reakce na nové trendy. Úspěšné ekonomiky budou ty, které budou mít inovační a internacionalizované firmy a pro jejich vznik a působení vytvoří potřebné podmínky.</w:t>
      </w:r>
    </w:p>
    <w:p w:rsidR="00752339" w:rsidRPr="008B53A9" w:rsidRDefault="00752339" w:rsidP="00752339">
      <w:pPr>
        <w:pStyle w:val="Titulek"/>
      </w:pPr>
      <w:r w:rsidRPr="008B53A9">
        <w:t>Efektivní výzkumný a inovační systém</w:t>
      </w:r>
    </w:p>
    <w:p w:rsidR="00752339" w:rsidRPr="008B53A9" w:rsidRDefault="00752339" w:rsidP="00752339">
      <w:pPr>
        <w:pStyle w:val="Standardntext"/>
      </w:pPr>
      <w:r w:rsidRPr="008B53A9">
        <w:t>Mezi hlavní bariéry rozvoje inovačních aktivit patří kromě nízké inovační poptávky českých firem rovněž nedostatečný rozsah a způsob financování VaVaI, který se v posledních letech významně proměnil zejména díky zahraničním investicím. Přitom je všeobecně známo, že hlavní funkční specializaci ČR v rámci světové ekonomiky lze charakterizovat jako výrobní základnu pro trhy v Evropě a blízkém okolí. Endogenní podnikatelský sektor je slabý a jeho rozvoj silně závislý na poptávce ze strany nadnárodních společností umístěných v samotné ČR a jejím blízkém okolí. V této souvislosti a v kontextu rostoucích cen práce a dalších vstupů do výroby je základní výzvou pro ČR schopnost vytvářet a nabízet podmínky pro lokalizaci takových aktivit zahraničních firem, u nichž hrají kvalifikace a dovednosti lidí spolu s tvorbou nových znalostí relativně vyšší roli než samotné ceny vstupů a blízkost hlavním evropským trhům.</w:t>
      </w:r>
    </w:p>
    <w:p w:rsidR="00752339" w:rsidRPr="008B53A9" w:rsidRDefault="00752339" w:rsidP="00752339">
      <w:pPr>
        <w:pStyle w:val="Standardntext"/>
      </w:pPr>
      <w:r w:rsidRPr="008B53A9">
        <w:t xml:space="preserve">Rostoucí turbulence na finančních trzích ukazují, že se česká ekonomika nemůže spoléhat pouze na odbyt v zemích tradičních obchodních partnerů, které tvoří především sousední země EU. Je třeba vnímat příležitosti ve všech teritoriích a oborech, a navíc přicházet s vlastními řešeními. Endogenní podnikatelský sektor však zatím tvoří především podniky vzdálené v hodnotových řetězcích od koncových trhů a závislé na importu technologií. Je zde proto obrovský prostor pro veřejné intervence, které by měly napomoci české ekonomice nastoupit cestu vedoucí mezi nejvyspělejší ekonomiky světa. Za nejvýznamnější nedostatky českého inovačního systému je považována především nízká motivace domácích firem pro budování konkurenční výhody založené na znalostech. To je dáno z velké části tím, že domácí podniky jsou svými odběrateli z vyšších pozic příslušných hodnotových řetězců omezeny jak ve svých možnostech strategického plánování rozvoje firem, tak v možnostech realizovat vlastní inovace. Podnikatelé tak v období ekonomické krize hledají především úsporná řešení a nerealizují nákladné investice zejména do oblasti VaVaI. Další příčinou dosavadních pozic firem na nižších stupních hodnotových řetězců je i neodpovídající kvalifikace a odbornost </w:t>
      </w:r>
      <w:r w:rsidRPr="008B53A9">
        <w:lastRenderedPageBreak/>
        <w:t>pracovní síly ve vztahu k inovačním aktivitám podnikatelských subjektů a provázanost na vědecko výzkumnou sféru.</w:t>
      </w:r>
    </w:p>
    <w:p w:rsidR="00752339" w:rsidRPr="008B53A9" w:rsidRDefault="00752339" w:rsidP="00752339">
      <w:pPr>
        <w:pStyle w:val="Titulek"/>
      </w:pPr>
      <w:r w:rsidRPr="008B53A9">
        <w:t xml:space="preserve">Obrázek </w:t>
      </w:r>
      <w:r w:rsidR="00C3289B" w:rsidRPr="008B53A9">
        <w:fldChar w:fldCharType="begin"/>
      </w:r>
      <w:r w:rsidR="00C3289B" w:rsidRPr="008B53A9">
        <w:instrText xml:space="preserve"> SEQ Obrázek \* ARABIC </w:instrText>
      </w:r>
      <w:r w:rsidR="00C3289B" w:rsidRPr="008B53A9">
        <w:fldChar w:fldCharType="separate"/>
      </w:r>
      <w:r w:rsidR="00E54216" w:rsidRPr="008B53A9">
        <w:rPr>
          <w:noProof/>
        </w:rPr>
        <w:t>1</w:t>
      </w:r>
      <w:r w:rsidR="00C3289B" w:rsidRPr="008B53A9">
        <w:rPr>
          <w:noProof/>
        </w:rPr>
        <w:fldChar w:fldCharType="end"/>
      </w:r>
      <w:r w:rsidRPr="008B53A9">
        <w:t>: Inovační výkonnost členských států EU</w:t>
      </w:r>
    </w:p>
    <w:p w:rsidR="00752339" w:rsidRPr="008B53A9" w:rsidRDefault="00E51C21" w:rsidP="00752339">
      <w:pPr>
        <w:pStyle w:val="Standardntext"/>
      </w:pPr>
      <w:r w:rsidRPr="008B53A9">
        <w:rPr>
          <w:noProof/>
          <w:lang w:val="cs-CZ" w:eastAsia="cs-CZ"/>
        </w:rPr>
        <w:drawing>
          <wp:inline distT="0" distB="0" distL="0" distR="0" wp14:anchorId="481DE896" wp14:editId="3E709417">
            <wp:extent cx="5765800" cy="2646680"/>
            <wp:effectExtent l="19050" t="19050" r="25400" b="20320"/>
            <wp:docPr id="7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5765800" cy="2646680"/>
                    </a:xfrm>
                    <a:prstGeom prst="rect">
                      <a:avLst/>
                    </a:prstGeom>
                    <a:noFill/>
                    <a:ln w="9525" cmpd="sng">
                      <a:solidFill>
                        <a:srgbClr val="000000"/>
                      </a:solidFill>
                      <a:miter lim="800000"/>
                      <a:headEnd/>
                      <a:tailEnd/>
                    </a:ln>
                    <a:effectLst/>
                  </pic:spPr>
                </pic:pic>
              </a:graphicData>
            </a:graphic>
          </wp:inline>
        </w:drawing>
      </w:r>
    </w:p>
    <w:p w:rsidR="00752339" w:rsidRPr="008B53A9" w:rsidRDefault="00752339" w:rsidP="00752339">
      <w:pPr>
        <w:pStyle w:val="Standardntext"/>
        <w:spacing w:after="240"/>
      </w:pPr>
      <w:r w:rsidRPr="008B53A9">
        <w:t>Zdroj: Innovation Union Scoreboard 2013</w:t>
      </w:r>
    </w:p>
    <w:p w:rsidR="00752339" w:rsidRPr="008B53A9" w:rsidRDefault="00752339" w:rsidP="00752339">
      <w:pPr>
        <w:pStyle w:val="Standardntext"/>
      </w:pPr>
      <w:r w:rsidRPr="008B53A9">
        <w:t>Aktuální analýzy inovační výkonnosti ukazují, že výkonnost České republiky je stále pod průměrem celé EU27 a řadí se spolu s Řeckem, Maďarskem či Slovenskem mezi tzv. mírné inovátory (viz Innovation Union Scoreboard 2014). Na předních pozicích inovační výkonnosti se umísťují země, v jejichž národních výzkumných a inovačních systémech hrají hlavní roli aktivity podniků a spolupráce soukromé a veřejné sféry. Mezi zjišťovanými indikátory jsou velmi významné indikátory firemních investic – především podnikové výdaje na výzkum a vývoj a další indikátory podnikových aktivit – tj. duševní vlastnictví a propojenost a podnikavost, kam patří podíl MSP provádějících inovace interně, podíl MSP spolupracujících s ostatními podniky a indikátor poukazující na silné vazby mezi výzkumnou sférou a podniky – počet výzkumných publikací vytvořených v partnerství privátní a veřejné sféry. V souladu s konceptem inteligentní specializace je proto nutné směřovat intervence především na excelentní vědecké výsledky světového (příp. evropského) významu a jejich významné přínosy pro soukromou a veřejnou sféru. Zásadním faktorem pro posílení konkurenceschopnosti národního hospodářství je tak přímá podpora podnikového výzkumu, vývoje a inovací.</w:t>
      </w:r>
    </w:p>
    <w:p w:rsidR="00752339" w:rsidRPr="008B53A9" w:rsidRDefault="00752339" w:rsidP="00752339">
      <w:pPr>
        <w:pStyle w:val="Standardntext"/>
      </w:pPr>
      <w:r w:rsidRPr="008B53A9">
        <w:t>Ze srovnání evropského šetření o inovacích Community Innovation Survey (CIS) vyplývá, že více než třetina českých podniků provádí inovace, především technické, ale i netechnické, a řadí se v tomto ohledu k nejlepším v EU. To se však zatím významně nepromítá ve znalostní náročnosti české produkce, kde převládají, zvláště v endogenním podnikatelském sektoru (tedy v podnikatelském sektoru bez zahrnutí poboček a afilací nadnárodních korporací), výrobky méně náročné na znalosti. Je to způsobeno především kvalitou zaváděných inovací, která stále není schopna generovat významnější množství nových technologií, jak vyplývá např. z vysoce negativní technologické platební bilance ČR. Z druhé strany, pozice ČR v žebříčku IUS zaměřeném na inovativnost ekonomik EU ukazuje, že se situace postupně zlepšuje – ČR se řadí k zemím s nižší úrovní sledovaných ukazatelů inovativnosti, u velké části z nich však dochází ke zlepšení, mj. díky dosavadní podpoře ze strukturálních fondů EU.</w:t>
      </w:r>
      <w:r w:rsidR="00DD63AD" w:rsidRPr="008B53A9">
        <w:t xml:space="preserve"> </w:t>
      </w:r>
      <w:r w:rsidR="006478D2" w:rsidRPr="008B53A9">
        <w:t xml:space="preserve">Dle šetření ČSÚ se na území České republiky ve vybraných odvětvích ekonomiky zabývalo inovačními aktivitami </w:t>
      </w:r>
      <w:r w:rsidR="006478D2" w:rsidRPr="008B53A9">
        <w:lastRenderedPageBreak/>
        <w:t>43,9 % podniků z celkového počtu ekonomicky aktivních podniků v období 2010–2012. Technickou inovaci zavedlo 35,6 % podniků a netechnickou 31,6 %. Z celkového počtu šetřených podniků ve vybraných odvětvích klíčových pro inovace spadalo 51 % do zpracovatelského průmyslu. Tyto podniky se podílely v roce 2012 na celkových tržbách sledované části ekonomiky 45,4 %. Produktově inovující podniky se ve sledovaném období soustředily zejména na inovaci svých výrobků. Nejvyšší podíl tržeb za inovované produkty vykázaly velké podniky (30,4 %) následované malými podniky (27,4 %). U středních podniků dosáhl podíl tržeb za inovované produkty rovných 26 %. P</w:t>
      </w:r>
      <w:r w:rsidR="006C2E7C" w:rsidRPr="008B53A9">
        <w:t>odíl tržeb z inovované produkce na celkových tržbách podniků s produktovou inovací dosáhlo v letech 2010 – 2012 hodnoty 29,2%.</w:t>
      </w:r>
    </w:p>
    <w:p w:rsidR="00752339" w:rsidRPr="008B53A9" w:rsidRDefault="00752339" w:rsidP="00752339">
      <w:pPr>
        <w:pStyle w:val="Standardntext"/>
      </w:pPr>
      <w:r w:rsidRPr="008B53A9">
        <w:t>V počtu patentových přihlášek u EPO na mil. obyvatel dosahuje ČR pouze jedné desetiny průměru EU, objem příjmů z licenčních poplatků ze zahraničí dosahuje v ČR 0,1 % HDP oproti 1,1 % HDP v průměru EU. Míra povědomí o důležitosti ochrany práv duševního vlastnictví (IPR) je velmi nízká a míra využití získaných poznatků v inovacích a jejich komercializace je zejména ve veřejných výzkumných organizacích zanedbatelná. I přes pozitivní trend ve vývoji výdajů na VaV tak ČR výrazně zaostává v oblasti využití výsledků VaV, inovacích a ekonomických dopadech VaV.</w:t>
      </w:r>
    </w:p>
    <w:p w:rsidR="00752339" w:rsidRPr="008B53A9" w:rsidRDefault="00752339" w:rsidP="00752339">
      <w:pPr>
        <w:pStyle w:val="Standardntext"/>
      </w:pPr>
      <w:r w:rsidRPr="008B53A9">
        <w:t>Základními konkrétními ukazateli hodnocení znalostní ekonomiky jsou výdaje na výzkum a vývoj a pracovníci výzkumu a vývoje. Z hlediska výzkumu a vývoje činil podíl výdajů v podnikatelském sektoru na HDP v roce 2012 dle ČSÚ 1,01 %, což v běžných cenách odpovídá 38,8 mld. Kč. V porovnání s rokem 2011 došlo k nominálnímu nárůstu tohoto ukazatele o 4,073 mld. Kč. Z hlediska zdrojů financování si podnikatelský sektor oproti období 1999 - 2008 neudržel 50% podíl na celkových výdajích na VaV. Z druhé strany je pozitivním trendem získávání prostředků na rozvoj VaV i ze zahraničních zdrojů, a to také v rámci programů a fondů EU. V roce 2012 se již veřejné zahraniční zdroje podílely na financování VaV plnými 16,1 %. Relativně silná závislost znalostních a inovačních sektorů na zahraničních subjektech je dalším z faktorů, který může mít positivní vliv na posílení meziregionálních vazeb jak v rámci ČR, tak mezi členskými státy EU. Intervence ze strukturálních fondů by tak paralelně s národními a zahraničními zdroji napomáhaly zvyšovat kvalitativní základnu inovativních kapacit VaV, což by sebou přinášelo další synergické efekty vedoucí ke zvyšování konkurenceschopnosti národního hospodářství.</w:t>
      </w:r>
    </w:p>
    <w:p w:rsidR="00752339" w:rsidRPr="008B53A9" w:rsidRDefault="00752339" w:rsidP="00752339">
      <w:pPr>
        <w:pStyle w:val="Standardntext"/>
      </w:pPr>
      <w:r w:rsidRPr="008B53A9">
        <w:t xml:space="preserve">Ačkoliv je podíl výdajů podnikatelského sektoru na ukazateli GERD (celkových výdajích na VaV) okolo 45 % v mezinárodním srovnání dobrý výsledek, zůstává v Česku nízký celkový podíl celkových výdajů na VaV na HDP (1,88 %, cíl Evropy 2020 jsou 3%). </w:t>
      </w:r>
      <w:r w:rsidR="00E62E62" w:rsidRPr="008B53A9">
        <w:t xml:space="preserve">Co se týká výdajů na VaV v podnikatelském sektoru jako % HDP bez zahrnutí hl. m. Prahy, hodnota ukazatele se v roce 2012 pohybovala na úrovni 0,75 %. </w:t>
      </w:r>
      <w:r w:rsidRPr="008B53A9">
        <w:t>V podstatě shodně jako výdaje na VaV se dlouhodobě vyvíjí i počet výzkumných pracovníků. I podle tohoto ukazatele lze ČR zařadit mezi skupinu zemí s nižší úrovní kapacit VaV ale s rychlejším růstem.</w:t>
      </w:r>
    </w:p>
    <w:p w:rsidR="00752339" w:rsidRPr="008B53A9" w:rsidRDefault="00752339" w:rsidP="00752339">
      <w:pPr>
        <w:pStyle w:val="Standardntext"/>
      </w:pPr>
      <w:r w:rsidRPr="008B53A9">
        <w:t>Z analýzy vyplývá, že vzniká potřeba podporovat diverzifikaci VaVaI v ČR v aplikační sféře. Kromě v současné době několika málo odvětví dominantních ve VaV disponují VaV potenciálem i některá další, přičemž se nejedná vždy jen o high-tech výrobu. I low-tech či mid-tech odvětví, která jsou v ČR zdaleka nejvýznamnější, disponují potenciálem pro rozvoj inovačních a VaV aktivit. Tento aspekt budou zohledňovat především regionální přílohy Národní RIS3 strategie.</w:t>
      </w:r>
    </w:p>
    <w:p w:rsidR="00752339" w:rsidRPr="008B53A9" w:rsidRDefault="00752339" w:rsidP="00752339">
      <w:pPr>
        <w:pStyle w:val="Standardntext"/>
      </w:pPr>
      <w:r w:rsidRPr="008B53A9">
        <w:t xml:space="preserve">Jedním z hlavních problémů inovačního systému ČR, ale i řady dalších zemí nejen v EU, je to, že výsledky výzkumu veřejných výzkumných institucí, které mají potenciál komerčního </w:t>
      </w:r>
      <w:r w:rsidRPr="008B53A9">
        <w:lastRenderedPageBreak/>
        <w:t>využití, zůstávají často nevyužity. Pokud jsou pro komerční využití rozvíjeny, často takové úsilí končí bez úspěchu v podobě inovací v aplikační sféře. Národohospodářský potenciál veřejné výzkumné sféry tak zůstává z velké části nevyužit. O jeho potenciálu přitom svědčí řada mediálně známých případů, kdy výsledky místního veřejného výzkumu byly s velkým komerčním úspěchem využity v zahraničí. Předpokládá se tak intenzivní spolupráce výzkumných organizací se subjekty aplikační sféry. Výsledky analýz jednoznačně ukazují, že intenzita spolupráce mezi akademickým a podnikovým sektorem v ČR je podstatně nižší než v zemích, které dosahují předních pozic při srovnání konkurenceschopnosti či výkonnosti a povahy národního inovačního systému (např. výdaje z podnikatelských zdrojů věnované na výzkum a vývoj na vysokých školách představovaly v roce 2012 jen 0,6 % z celkových</w:t>
      </w:r>
      <w:r w:rsidR="002C7FDD" w:rsidRPr="008B53A9">
        <w:t xml:space="preserve"> podnikatelských zdrojů na VaV).</w:t>
      </w:r>
      <w:r w:rsidR="00264A34" w:rsidRPr="008B53A9">
        <w:t xml:space="preserve"> Tento fakt potvrzuje i další ukazatel sledující podíl výdajů podnikatelského sektoru na provádění VaV ve vládním a vysokoškolském sektoru k celkovým výdajům na provádění VaV v těchto sektorech. Hodnota tohoto indikátoru dosáhla v roce 2012 úrovně</w:t>
      </w:r>
      <w:r w:rsidR="009E0D30" w:rsidRPr="008B53A9">
        <w:t xml:space="preserve"> jen</w:t>
      </w:r>
      <w:r w:rsidR="00264A34" w:rsidRPr="008B53A9">
        <w:t xml:space="preserve"> kolem 5,6 %.</w:t>
      </w:r>
    </w:p>
    <w:p w:rsidR="00752339" w:rsidRPr="008B53A9" w:rsidRDefault="00752339" w:rsidP="00752339">
      <w:pPr>
        <w:pStyle w:val="Standardntext"/>
      </w:pPr>
      <w:r w:rsidRPr="008B53A9">
        <w:t>Hlavní závěry Regional Innovation Scoreboard 2012 (Regionálního inovačního skóre 2012) potvrzují významné rozdíly v inovační výkonnosti mezi regiony EU, přičemž ČR patří v tomto ohledu mezi země s nejvyššími regionálními disparitami. Největší kapacity VaV jsou z hlediska počtu pracovníků VaV a výdajů na VaV koncentrovány v Praze, Středočeském a Jihomoravském kraji. To je ovlivněno zejména lokací veřejných výzkumných institucí ve spojení s vysokou koncentrací uskutečněných výdajů ve veřejném sektoru. Tento stav sebou přináší z hlediska efektivnosti využití vložených zdrojů do výše zmíněných krajů kromě nadprůměrné kvalitativní náročnosti realizovaných znalostních aktivit rovněž vysoké efekty vynaložených výdajů s nadregionálními přínosy. Za hlavní problém lze v případě Prahy a Jihomoravského kraje považovat oblast komercionalizace výstupů VaVaI, což dokládá relativně nízký počet podnikových patentů, tržeb z prodeje inovací nebo podíl high-tech a technologických služeb na vývozu. Je proto nutné orientovat intervence kohezní politiky ve směru posílení spolupráce sektoru VaVaI a podnikatelského sektoru v duchu konceptu inteligentní specializace.</w:t>
      </w:r>
    </w:p>
    <w:p w:rsidR="00752339" w:rsidRPr="008B53A9" w:rsidRDefault="00752339" w:rsidP="00752339">
      <w:pPr>
        <w:pStyle w:val="Standardntext"/>
      </w:pPr>
      <w:r w:rsidRPr="008B53A9">
        <w:t>Široká skupina regionů zahrnující Královéhradecký, Liberecký, Pardubický, Plzeňský a Zlínský kraj je charakteristická poměrně dobrými hodnotami jak faktorů konkurenceschopnosti podniků, tak výstupu konkurenceschopnosti podniků. Nižší hodnoty týkající se faktoru podnikatelského prostředí jsou dány jednak nižším zastoupením sofistikovaných oborů kódů J a K klasifikace NACE</w:t>
      </w:r>
      <w:r w:rsidRPr="008B53A9">
        <w:rPr>
          <w:vertAlign w:val="superscript"/>
        </w:rPr>
        <w:footnoteReference w:id="116"/>
      </w:r>
      <w:r w:rsidRPr="008B53A9">
        <w:t xml:space="preserve"> v kontextu postavení krajů v rámci regionální hierarchie České republiky a jednak nízkým počtem fungujících klastrů. Specifické postavení zaujímá Pardubický kraj a to jednak vzhledem k vysokým hodnotám ukazatelů vztažených k podnikatelskému VaVaI a jednak internacionalizaci v oblasti vývozu respektive reinvestovaného zisku. Tyto skutečnosti se následně promítají do vysokých hodnot výstupu podnikové konkurenceschopnosti, a to zejména v rámci patentů respektive vývozu high-tech zboží a technologických služeb. Z uvedených poznatků lze spatřovat rozvojový potenciál uvedených krajů založený na inovativním podnikatelském sektoru a to jak v tradičních, tak nově se rozvíjejících odvětvích.</w:t>
      </w:r>
    </w:p>
    <w:p w:rsidR="00752339" w:rsidRPr="008B53A9" w:rsidRDefault="00752339" w:rsidP="00752339">
      <w:pPr>
        <w:pStyle w:val="Standardntext"/>
      </w:pPr>
      <w:r w:rsidRPr="008B53A9">
        <w:t xml:space="preserve">Naopak relativní podrozvinutost znalostních kapacit ostatních regionů může oslabit územně specifické efekty pro růst regionální konkurenceschopnosti. Východiskem by tak měla být kromě podpory stávajících rozvinutých kapacit VaV i podpora užší specializace a služeb </w:t>
      </w:r>
      <w:r w:rsidRPr="008B53A9">
        <w:lastRenderedPageBreak/>
        <w:t>inovačních kapacit v méně rozvinutých regionech, které disponují výrazně nižší startovací základnou. Intervence do těchto regionů tak budou vycházet z konceptu inteligentní specializace, který definuje relevantní obory podnikatelské činnosti s vyšší přidanou hodnotou vedoucí k růstu regionální konkurenceschopnosti.</w:t>
      </w:r>
    </w:p>
    <w:p w:rsidR="00752339" w:rsidRPr="008B53A9" w:rsidRDefault="00752339" w:rsidP="00752339">
      <w:pPr>
        <w:pStyle w:val="Standardntext"/>
      </w:pPr>
      <w:r w:rsidRPr="008B53A9">
        <w:t>Společným znakem strukturálně postižených regionů zastoupených Moravskoslezským a Ústeckým krajem jsou velmi nízké hodnoty vztahující se k relativnímu počtu jak podnikatelských subjektů, tak podnikajících osob. Jako vysoce relevantní se tak jeví aktivity zaměřené na zvyšování podnikatelské aktivity v obou regionech. V současné době lze v Moravskoslezském kraji identifikovat potenciál rozvoje nových odvětví stimulovaných rovněž přímými zahraničními investicemi či novými infrastrukturními projekty VaVaI (např. IT technologie, automobilový průmysl). Rovněž pro Ústecký kraj je charakteristický poměrně slabě vyvinutý systém VaVaI, kdy inovační aktivity jsou soustředěny zejména v podnikatelském sektoru, jehož struktura byla ovlivněna relativně vysokým přílivem přímých zahraničních investic. Z hlediska dalšího rozvoje krajů však lze považovat za žádoucí hledání nových možností diverzifikace odvětvové základny na bázi myšlenky inteligentní specializace.</w:t>
      </w:r>
    </w:p>
    <w:p w:rsidR="00752339" w:rsidRPr="008B53A9" w:rsidRDefault="00752339" w:rsidP="00752339">
      <w:pPr>
        <w:pStyle w:val="Standardntext"/>
      </w:pPr>
      <w:r w:rsidRPr="008B53A9">
        <w:t>Nejhorší hodnoty týkající se faktorů i výstupu konkurenceschopnosti podniků vykazují Olomoucký kraj, Kraj Vysočina, Jihočeský kraj a Karlovarský kraj. Významným determinujícím faktorem se v tomto ohledu jeví inovativnost podnikatelského sektoru, která je nízká zejména v případě Jihočeského kraje a Karlovarského kraje. Tato skutečnost se následně negativně projevuje rovněž v indikátorech výstupu vztažených ke konkurenceschopnosti podniků. Mírně lepší hodnoty indikátorů faktoru inovujícího podnikatelského sektoru v případě Kraje Vysočina jsou dány relativně vysokým podílem inovujících firem, který se promítá zejména do příjmů z prodeje inovací, nikoliv však do dalších indikátorů výstupu. Posilování inovačních předpokladů podnikatelského sektoru se jeví zásadním předpokladem konkurenceschopných podniků i v případě této skupiny krajů České republiky. S ohledem na slabě rozvinutý sektor VaVaI a terciárního vzdělávání se přitom nabízí možnost hledat možnosti v dalších odvětvích.</w:t>
      </w:r>
    </w:p>
    <w:p w:rsidR="00752339" w:rsidRPr="008B53A9" w:rsidRDefault="00752339" w:rsidP="00752339">
      <w:pPr>
        <w:pStyle w:val="Titulek"/>
        <w:keepNext/>
      </w:pPr>
      <w:r w:rsidRPr="008B53A9">
        <w:t xml:space="preserve">Obrázek </w:t>
      </w:r>
      <w:r w:rsidR="00C3289B" w:rsidRPr="008B53A9">
        <w:fldChar w:fldCharType="begin"/>
      </w:r>
      <w:r w:rsidR="00C3289B" w:rsidRPr="008B53A9">
        <w:instrText xml:space="preserve"> SEQ Obrázek \* ARABIC </w:instrText>
      </w:r>
      <w:r w:rsidR="00C3289B" w:rsidRPr="008B53A9">
        <w:fldChar w:fldCharType="separate"/>
      </w:r>
      <w:r w:rsidR="00E54216" w:rsidRPr="008B53A9">
        <w:rPr>
          <w:noProof/>
        </w:rPr>
        <w:t>2</w:t>
      </w:r>
      <w:r w:rsidR="00C3289B" w:rsidRPr="008B53A9">
        <w:rPr>
          <w:noProof/>
        </w:rPr>
        <w:fldChar w:fldCharType="end"/>
      </w:r>
      <w:r w:rsidRPr="008B53A9">
        <w:t>: Výdaje na VaV v krajích CR podle sektoru provádění (v mil. Kč), 2012</w:t>
      </w:r>
    </w:p>
    <w:p w:rsidR="00752339" w:rsidRPr="008B53A9" w:rsidRDefault="00E51C21" w:rsidP="00752339">
      <w:r w:rsidRPr="008B53A9">
        <w:rPr>
          <w:noProof/>
        </w:rPr>
        <w:drawing>
          <wp:inline distT="0" distB="0" distL="0" distR="0" wp14:anchorId="7FEE08C6" wp14:editId="69D38CA3">
            <wp:extent cx="5776595" cy="2969260"/>
            <wp:effectExtent l="0" t="0" r="0" b="0"/>
            <wp:docPr id="76" name="Graf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p>
    <w:p w:rsidR="00752339" w:rsidRPr="008B53A9" w:rsidRDefault="00752339" w:rsidP="00752339">
      <w:pPr>
        <w:pStyle w:val="Standardntext"/>
        <w:spacing w:after="240"/>
      </w:pPr>
      <w:r w:rsidRPr="008B53A9">
        <w:t>Zdroj: ČSÚ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16"/>
      </w:tblGrid>
      <w:tr w:rsidR="00752339" w:rsidRPr="008B53A9">
        <w:tc>
          <w:tcPr>
            <w:tcW w:w="9212" w:type="dxa"/>
            <w:gridSpan w:val="2"/>
            <w:shd w:val="clear" w:color="auto" w:fill="95B3D7"/>
            <w:vAlign w:val="center"/>
          </w:tcPr>
          <w:p w:rsidR="00752339" w:rsidRPr="008B53A9" w:rsidRDefault="00752339" w:rsidP="00A24952">
            <w:pPr>
              <w:pStyle w:val="Tabulka"/>
              <w:rPr>
                <w:rFonts w:ascii="Arial" w:hAnsi="Arial" w:cs="Arial"/>
                <w:b/>
                <w:color w:val="000000"/>
                <w:lang w:val="cs-CZ" w:eastAsia="cs-CZ"/>
              </w:rPr>
            </w:pPr>
            <w:r w:rsidRPr="008B53A9">
              <w:rPr>
                <w:rFonts w:cs="Calibri"/>
                <w:b/>
                <w:lang w:val="cs-CZ" w:eastAsia="cs-CZ"/>
              </w:rPr>
              <w:lastRenderedPageBreak/>
              <w:t>Hlavní identifikované problémy</w:t>
            </w:r>
          </w:p>
        </w:tc>
      </w:tr>
      <w:tr w:rsidR="00752339" w:rsidRPr="008B53A9">
        <w:tc>
          <w:tcPr>
            <w:tcW w:w="9212" w:type="dxa"/>
            <w:gridSpan w:val="2"/>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Nízký podíl výdajů na VaV na HDP</w:t>
            </w:r>
          </w:p>
        </w:tc>
      </w:tr>
      <w:tr w:rsidR="00752339" w:rsidRPr="008B53A9">
        <w:tc>
          <w:tcPr>
            <w:tcW w:w="9212" w:type="dxa"/>
            <w:gridSpan w:val="2"/>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Nízká inovační poptávka zejména českých podniků</w:t>
            </w:r>
          </w:p>
        </w:tc>
      </w:tr>
      <w:tr w:rsidR="00752339" w:rsidRPr="008B53A9">
        <w:tc>
          <w:tcPr>
            <w:tcW w:w="9212" w:type="dxa"/>
            <w:gridSpan w:val="2"/>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Nedostatečné povědomí a využití ochrany práv duševního vlastnictví</w:t>
            </w:r>
          </w:p>
        </w:tc>
      </w:tr>
      <w:tr w:rsidR="00752339" w:rsidRPr="008B53A9">
        <w:tc>
          <w:tcPr>
            <w:tcW w:w="9212" w:type="dxa"/>
            <w:gridSpan w:val="2"/>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Nízké využití potenciálu výsledků výzkumu zejména veřejných výzkumných institucí</w:t>
            </w:r>
          </w:p>
        </w:tc>
      </w:tr>
      <w:tr w:rsidR="00752339" w:rsidRPr="008B53A9">
        <w:tc>
          <w:tcPr>
            <w:tcW w:w="7196" w:type="dxa"/>
            <w:shd w:val="clear" w:color="auto" w:fill="B8CCE4"/>
            <w:vAlign w:val="center"/>
          </w:tcPr>
          <w:p w:rsidR="00752339" w:rsidRPr="008B53A9" w:rsidRDefault="00752339" w:rsidP="00A24952">
            <w:pPr>
              <w:pStyle w:val="Tabulka"/>
              <w:rPr>
                <w:rFonts w:cs="Calibri"/>
                <w:b/>
                <w:lang w:val="cs-CZ" w:eastAsia="cs-CZ"/>
              </w:rPr>
            </w:pPr>
            <w:r w:rsidRPr="008B53A9">
              <w:rPr>
                <w:rFonts w:cs="Calibri"/>
                <w:b/>
                <w:lang w:val="cs-CZ" w:eastAsia="cs-CZ"/>
              </w:rPr>
              <w:t>Hlavní příčiny</w:t>
            </w:r>
          </w:p>
        </w:tc>
        <w:tc>
          <w:tcPr>
            <w:tcW w:w="2016" w:type="dxa"/>
            <w:shd w:val="clear" w:color="auto" w:fill="B8CCE4"/>
            <w:vAlign w:val="center"/>
          </w:tcPr>
          <w:p w:rsidR="00752339" w:rsidRPr="008B53A9" w:rsidRDefault="00752339" w:rsidP="00A24952">
            <w:pPr>
              <w:pStyle w:val="Tabulka"/>
              <w:rPr>
                <w:rFonts w:cs="Calibri"/>
                <w:b/>
                <w:lang w:val="cs-CZ" w:eastAsia="cs-CZ"/>
              </w:rPr>
            </w:pPr>
            <w:r w:rsidRPr="008B53A9">
              <w:rPr>
                <w:rFonts w:cs="Calibri"/>
                <w:b/>
                <w:lang w:val="cs-CZ" w:eastAsia="cs-CZ"/>
              </w:rPr>
              <w:t>Řešení v rámci OP PIK</w:t>
            </w:r>
          </w:p>
        </w:tc>
      </w:tr>
      <w:tr w:rsidR="00752339" w:rsidRPr="008B53A9">
        <w:tc>
          <w:tcPr>
            <w:tcW w:w="7196" w:type="dxa"/>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Nedostatečné vývojové, výzkumné a výrobní kapacity</w:t>
            </w:r>
          </w:p>
        </w:tc>
        <w:tc>
          <w:tcPr>
            <w:tcW w:w="2016" w:type="dxa"/>
            <w:vAlign w:val="center"/>
          </w:tcPr>
          <w:p w:rsidR="00752339" w:rsidRPr="008B53A9" w:rsidRDefault="00752339" w:rsidP="00752339">
            <w:pPr>
              <w:pStyle w:val="Tabulka"/>
              <w:rPr>
                <w:rFonts w:cs="Calibri"/>
                <w:lang w:val="cs-CZ" w:eastAsia="cs-CZ"/>
              </w:rPr>
            </w:pPr>
            <w:r w:rsidRPr="008B53A9">
              <w:rPr>
                <w:rFonts w:cs="Calibri"/>
                <w:lang w:val="cs-CZ" w:eastAsia="cs-CZ"/>
              </w:rPr>
              <w:t>IP 1 b)</w:t>
            </w:r>
          </w:p>
        </w:tc>
      </w:tr>
      <w:tr w:rsidR="00752339" w:rsidRPr="008B53A9">
        <w:tc>
          <w:tcPr>
            <w:tcW w:w="7196" w:type="dxa"/>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Vzdálenost v hodnotových řetězcích od koncových trhů</w:t>
            </w:r>
          </w:p>
        </w:tc>
        <w:tc>
          <w:tcPr>
            <w:tcW w:w="2016" w:type="dxa"/>
            <w:vAlign w:val="center"/>
          </w:tcPr>
          <w:p w:rsidR="00752339" w:rsidRPr="008B53A9" w:rsidRDefault="00752339" w:rsidP="00752339">
            <w:pPr>
              <w:pStyle w:val="Tabulka"/>
              <w:rPr>
                <w:rFonts w:cs="Calibri"/>
                <w:lang w:val="cs-CZ" w:eastAsia="cs-CZ"/>
              </w:rPr>
            </w:pPr>
            <w:r w:rsidRPr="008B53A9">
              <w:rPr>
                <w:rFonts w:cs="Calibri"/>
                <w:lang w:val="cs-CZ" w:eastAsia="cs-CZ"/>
              </w:rPr>
              <w:t>IP 1 b)</w:t>
            </w:r>
          </w:p>
        </w:tc>
      </w:tr>
      <w:tr w:rsidR="00752339" w:rsidRPr="008B53A9">
        <w:tc>
          <w:tcPr>
            <w:tcW w:w="7196" w:type="dxa"/>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Vysoká závislost endogenního sektoru na zahraničních firmách</w:t>
            </w:r>
          </w:p>
        </w:tc>
        <w:tc>
          <w:tcPr>
            <w:tcW w:w="2016" w:type="dxa"/>
            <w:vAlign w:val="center"/>
          </w:tcPr>
          <w:p w:rsidR="00752339" w:rsidRPr="008B53A9" w:rsidRDefault="00752339" w:rsidP="00752339">
            <w:pPr>
              <w:pStyle w:val="Tabulka"/>
              <w:rPr>
                <w:rFonts w:cs="Calibri"/>
                <w:lang w:val="cs-CZ" w:eastAsia="cs-CZ"/>
              </w:rPr>
            </w:pPr>
            <w:r w:rsidRPr="008B53A9">
              <w:rPr>
                <w:rFonts w:cs="Calibri"/>
                <w:lang w:val="cs-CZ" w:eastAsia="cs-CZ"/>
              </w:rPr>
              <w:t>IP 1 b)</w:t>
            </w:r>
          </w:p>
        </w:tc>
      </w:tr>
      <w:tr w:rsidR="00752339" w:rsidRPr="008B53A9">
        <w:tc>
          <w:tcPr>
            <w:tcW w:w="7196" w:type="dxa"/>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Nízké výdaje podnikatelského sektoru na provádění VaV ve vládním a vysokoškolském sektoru</w:t>
            </w:r>
          </w:p>
        </w:tc>
        <w:tc>
          <w:tcPr>
            <w:tcW w:w="2016" w:type="dxa"/>
            <w:vAlign w:val="center"/>
          </w:tcPr>
          <w:p w:rsidR="00752339" w:rsidRPr="008B53A9" w:rsidRDefault="00752339" w:rsidP="00752339">
            <w:pPr>
              <w:pStyle w:val="Tabulka"/>
              <w:rPr>
                <w:rFonts w:cs="Calibri"/>
                <w:lang w:val="cs-CZ" w:eastAsia="cs-CZ"/>
              </w:rPr>
            </w:pPr>
            <w:r w:rsidRPr="008B53A9">
              <w:rPr>
                <w:rFonts w:cs="Calibri"/>
                <w:lang w:val="cs-CZ" w:eastAsia="cs-CZ"/>
              </w:rPr>
              <w:t>IP 1 b)</w:t>
            </w:r>
          </w:p>
        </w:tc>
      </w:tr>
      <w:tr w:rsidR="00752339" w:rsidRPr="008B53A9">
        <w:tc>
          <w:tcPr>
            <w:tcW w:w="9212" w:type="dxa"/>
            <w:gridSpan w:val="2"/>
            <w:shd w:val="clear" w:color="auto" w:fill="DBE5F1"/>
          </w:tcPr>
          <w:p w:rsidR="00752339" w:rsidRPr="008B53A9" w:rsidRDefault="00752339" w:rsidP="00A24952">
            <w:pPr>
              <w:pStyle w:val="Tabulka"/>
              <w:rPr>
                <w:rFonts w:cs="Calibri"/>
                <w:b/>
                <w:lang w:val="cs-CZ" w:eastAsia="cs-CZ"/>
              </w:rPr>
            </w:pPr>
            <w:r w:rsidRPr="008B53A9">
              <w:rPr>
                <w:rFonts w:cs="Calibri"/>
                <w:b/>
                <w:lang w:val="cs-CZ" w:eastAsia="cs-CZ"/>
              </w:rPr>
              <w:t>Externí faktory, příp. další nezbytná opatření realizovaná mimo OP PIK</w:t>
            </w:r>
          </w:p>
        </w:tc>
      </w:tr>
      <w:tr w:rsidR="00752339" w:rsidRPr="008B53A9">
        <w:tc>
          <w:tcPr>
            <w:tcW w:w="9212" w:type="dxa"/>
            <w:gridSpan w:val="2"/>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Neočekávané působení faktorů ekonomické krize (pokles domácí a zahraniční poptávky apod.)</w:t>
            </w:r>
          </w:p>
        </w:tc>
      </w:tr>
      <w:tr w:rsidR="00752339" w:rsidRPr="008B53A9">
        <w:tc>
          <w:tcPr>
            <w:tcW w:w="9212" w:type="dxa"/>
            <w:gridSpan w:val="2"/>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Chybějící reforma vysokého školství – snižování úrovně jeho kvality na úkor kvantity</w:t>
            </w:r>
          </w:p>
        </w:tc>
      </w:tr>
      <w:tr w:rsidR="00752339" w:rsidRPr="008B53A9">
        <w:tc>
          <w:tcPr>
            <w:tcW w:w="9212" w:type="dxa"/>
            <w:gridSpan w:val="2"/>
          </w:tcPr>
          <w:p w:rsidR="00752339" w:rsidRPr="008B53A9" w:rsidRDefault="00752339" w:rsidP="005D178C">
            <w:pPr>
              <w:pStyle w:val="Tabulka"/>
              <w:numPr>
                <w:ilvl w:val="0"/>
                <w:numId w:val="83"/>
              </w:numPr>
              <w:jc w:val="left"/>
              <w:rPr>
                <w:rFonts w:cs="Calibri"/>
                <w:bCs/>
                <w:lang w:val="cs-CZ" w:eastAsia="cs-CZ"/>
              </w:rPr>
            </w:pPr>
            <w:r w:rsidRPr="008B53A9">
              <w:rPr>
                <w:rFonts w:cs="Calibri"/>
                <w:bCs/>
                <w:lang w:val="cs-CZ" w:eastAsia="cs-CZ"/>
              </w:rPr>
              <w:t>Nedostatečný počet kvalifikovaných lidských zdrojů v odvětvích náročných na znalosti související s odchodem kvalifikovaných, zejména mladých vědeckých a odborných pracovníků pracujících ve firmách do jiných zemí</w:t>
            </w:r>
          </w:p>
        </w:tc>
      </w:tr>
    </w:tbl>
    <w:p w:rsidR="00752339" w:rsidRPr="008B53A9" w:rsidRDefault="00752339" w:rsidP="00752339">
      <w:pPr>
        <w:pStyle w:val="Titulek"/>
      </w:pPr>
      <w:r w:rsidRPr="008B53A9">
        <w:t>Konkurenceschopné podniky</w:t>
      </w:r>
    </w:p>
    <w:p w:rsidR="00752339" w:rsidRPr="008B53A9" w:rsidRDefault="00752339" w:rsidP="00752339">
      <w:pPr>
        <w:pStyle w:val="Standardntext"/>
      </w:pPr>
      <w:r w:rsidRPr="008B53A9">
        <w:t xml:space="preserve">V mezinárodním kontextu zaujímá průmysl v ČR stále významnou roli. V posledních letech však díky pokračujícímu procesu specializace dochází k nárůstu podílu služeb a tím klesá závislost české ekonomiky na poptávce v zahraničí. Oblast služeb je tak méně náchylná na externí faktory, které významně ovlivňují zejména průmyslové podniky. Mezi roky 2006 a 2010 tak docházelo ve většině krajů ČR ke snižování podílu průmyslu na úkor sektoru služeb. K regionům s významným podílem služeb patří tradičně kromě Prahy Jihomoravský kraj. </w:t>
      </w:r>
    </w:p>
    <w:p w:rsidR="00752339" w:rsidRPr="008B53A9" w:rsidRDefault="00752339" w:rsidP="00752339">
      <w:pPr>
        <w:pStyle w:val="Standardntext"/>
      </w:pPr>
      <w:r w:rsidRPr="008B53A9">
        <w:t xml:space="preserve">Mezi regiony ČR je patrná významná diferenciace sektorů zpracovatelského průmyslu. Ve Středočeském kraji zaujímá silné postavení výroba dopravních prostředků, výroba chemických látek dominuje v Ústeckém kraji, hutnictví je typické pro Moravskoslezský kraj apod. Rozdíly v ekonomické specializaci se rovněž projevují i v zahraničním obchodě. Export se tak v řadě regionů stal motorem jejich růstu. Při jeho hodnocení je ovšem důležité hodnotit také význam sofistikovanějších položek s vyšší přidanou hodnotou jako je podíl zahraničního obchodu s high-tech výrobky. Podíl těchto výrobků je v mnoha regionech na nízké úrovni s výjimkou Prahy, Pardubického a Jihomoravského kraje, kde se jedná především o výpočetní techniku. </w:t>
      </w:r>
    </w:p>
    <w:p w:rsidR="00752339" w:rsidRPr="008B53A9" w:rsidRDefault="00752339" w:rsidP="00752339">
      <w:pPr>
        <w:pStyle w:val="Standardntext"/>
      </w:pPr>
      <w:r w:rsidRPr="008B53A9">
        <w:t>Indikativní statistická data potvrzují významné odlišnosti specializací krajů, která je dána zejména charakterem daného odvětví. Jde zejména o stupeň vyspělosti, úroveň zapojení do globálních produkčních sítí, dominanci subjektů pod zahraniční kontrolou a míru autonomie. Intervence by měly být nastaveny tak, aby je regiony mohly využívat flexibilně podle měnících se podmínek na trhu. Pro existenci a rozvoj regionálně koncentrovaných a specifických inovačních kapacit by nemusely být striktně a úzce definované nástroje podpory efektivní.</w:t>
      </w:r>
    </w:p>
    <w:p w:rsidR="001D4923" w:rsidRPr="008B53A9" w:rsidRDefault="00752339" w:rsidP="001D4923">
      <w:pPr>
        <w:pStyle w:val="Standardntext"/>
      </w:pPr>
      <w:r w:rsidRPr="008B53A9">
        <w:t xml:space="preserve">Podnikatelé plně vnímají potřebu kontinuálního rozvoje vlastních znalostních kapacit pro budování konkurenční výhody, tak za hlavní výzvu považují obchod, obsazení nových trhů </w:t>
      </w:r>
      <w:r w:rsidRPr="008B53A9">
        <w:lastRenderedPageBreak/>
        <w:t xml:space="preserve">a vyhledání nových příležitostí pro uplatnění technických kompetencí svých firem. V této souvislosti upozorňují, že největším problémem dalšího růstu a rozvoje inovací je oblast netechnických kompetencí souvisejících se strategickým řízením, obchodem, práce se zákazníky a vyhledáváním nových příležitostí (např. mimo dosavadní hlavní zaměření). </w:t>
      </w:r>
      <w:r w:rsidR="001D4923" w:rsidRPr="008B53A9">
        <w:t>V roce 2012 vytvořily malé a střední podniky celkem 1 326 147 mil. Kč přidané hodnoty, oproti roku 2011 došlo ke snížení o 18 434 mil. Kč. Podíl přidané hodnoty malých a středních podniků na celku ČR tvořil 53,81 % (tj. snížení o 0,21 % oproti roku 2011).</w:t>
      </w:r>
      <w:r w:rsidRPr="008B53A9">
        <w:t xml:space="preserve"> </w:t>
      </w:r>
      <w:r w:rsidR="001D4923" w:rsidRPr="008B53A9">
        <w:t>Podíl zaměstnanců malých a středních podniků na celkovém počtu zaměstnanců podnikatelské sféry v ČR v roce 2012 činil 59,43 %.</w:t>
      </w:r>
    </w:p>
    <w:p w:rsidR="00752339" w:rsidRPr="008B53A9" w:rsidRDefault="00752339" w:rsidP="001D4923">
      <w:pPr>
        <w:pStyle w:val="Standardntext"/>
      </w:pPr>
      <w:r w:rsidRPr="008B53A9">
        <w:t>Nedostatečně rozvinutý trh podnikatelských služeb představuje bariéru rozvoje domácího (endogenního) podnikatelského sektoru. Ačkoliv většina typických služeb v rozvinutých ekonomikách na trhu existuje, jejich kvalita je nízká a cena obdobných zahraničních služeb vysoká. To podporuje spoléhání se pouze na vlastní kompetence. Ty však nikdy nemohou mít potřebnou kvalitu ve všech potřebných oblastech. Zkušenosti s nízkou kvalitou místních služeb vytváří atmosféru nedůvěry v tento typ služeb, včetně případné nabídky zprostředkování těchto služeb veřejným sektorem.</w:t>
      </w:r>
    </w:p>
    <w:p w:rsidR="00752339" w:rsidRPr="008B53A9" w:rsidRDefault="00752339" w:rsidP="00752339">
      <w:pPr>
        <w:pStyle w:val="Standardntext"/>
      </w:pPr>
      <w:r w:rsidRPr="008B53A9">
        <w:t>Rozvinutost technických kompetencí firem (v technických oblastech jako jsou výroba, konstrukce, design, vývoj apod.) výrazně převyšuje jejich kompetence v oblasti marketingu, inovačního managementu, obchodu a dalších netechnických podnikových funkcí. Posílení a rozvoj netechnických kompetencí podnikatelů a pracovníků zejména domácích firem, a v návaznosti na ně také rozvoj strategických služeb pro podnikání jsou přitom jednou z důležitých průřezových oblastí, protože bez tohoto druhu intervencí budou účinnost a efektivita intervencí nízké a dosahování cílů obtížné. I po téměř 24 letech budování tržního hospodářství v ČR stále existují následky přerušení kontinuity podnikavosti a to zejména v oblasti rozvoje netechnických kompetencí. Rozvoj služeb pro (inovační) podnikání je skutečnou výzvou, neboť slabá inovační poptávka a převažující defenzivní / reaktivní strategie firem endogenního sektoru efektivně brání rozvoji kvalitní nabídky služeb na trhu. Motivaci domácích firem pro budování konkurenční výhody založené na znalostech je v tomto segmentu možné označit za nízkou, což je dáno i současným postavením podnikatelů v globálních hodnotových řetězcích.</w:t>
      </w:r>
    </w:p>
    <w:p w:rsidR="00752339" w:rsidRPr="008B53A9" w:rsidRDefault="00752339" w:rsidP="00752339">
      <w:pPr>
        <w:pStyle w:val="Standardntext"/>
      </w:pPr>
      <w:r w:rsidRPr="008B53A9">
        <w:t>Vývozní teritoria MSP jsou značně omezena a soustředí se především na blízké země a členské státy EU, což má nepříznivý vliv na obchodní politiku ČR. V zájmu rozložení rizik a vzhledem k tomu, že se ekonomická situace v Evropě dlouhodobě nepříznivě vyvíjí, je pro MSP prioritou diverzifikovat svůj vývoz a proniknout na nové a perspektivní zahraniční trhy. Kvalitní služby a zvýšená asistence při obsazování nových exportních oblastí je tedy zcela zásadní pro budoucí prosperitu MSP, protože malá marketingová připravenost firem a nedostatečná konkurenceschopnost jejich produktů přímo zabraňují jejich dalšímu rozvoji a znemožňují maximální využití jejich potenciálu. Podíl MS</w:t>
      </w:r>
      <w:r w:rsidR="008C5B7E" w:rsidRPr="008B53A9">
        <w:t>P na vývozu v roce 2012 byl 53,51</w:t>
      </w:r>
      <w:r w:rsidRPr="008B53A9">
        <w:t xml:space="preserve">%. </w:t>
      </w:r>
      <w:r w:rsidR="00342C2D" w:rsidRPr="008B53A9">
        <w:t xml:space="preserve">Pokud celkový vývoz MSP </w:t>
      </w:r>
      <w:r w:rsidR="00BC2CE6" w:rsidRPr="008B53A9">
        <w:t>vz</w:t>
      </w:r>
      <w:r w:rsidR="00342C2D" w:rsidRPr="008B53A9">
        <w:t>táhneme k celkovým výkonům MSP</w:t>
      </w:r>
      <w:r w:rsidR="00BC2CE6" w:rsidRPr="008B53A9">
        <w:t>,</w:t>
      </w:r>
      <w:r w:rsidR="00342C2D" w:rsidRPr="008B53A9">
        <w:t xml:space="preserve"> hodnot</w:t>
      </w:r>
      <w:r w:rsidR="0066024C" w:rsidRPr="008B53A9">
        <w:t>a se pohybuje na úrovni kolem 39</w:t>
      </w:r>
      <w:r w:rsidR="00342C2D" w:rsidRPr="008B53A9">
        <w:t xml:space="preserve">,4 %. </w:t>
      </w:r>
      <w:r w:rsidRPr="008B53A9">
        <w:t>Nedostatečná nabídka a dostupnost kvalitních služeb je častou příčinou pomalého pronikání MSP na vzdálenější a exotičtější trhy. Další překážkou je i nedostatek finančních prostředků na straně MSP, protože uvedení produktu na nové trhy je velice nákladný proces.</w:t>
      </w:r>
    </w:p>
    <w:p w:rsidR="00752339" w:rsidRPr="008B53A9" w:rsidRDefault="00752339" w:rsidP="00752339">
      <w:pPr>
        <w:pStyle w:val="Standardntext"/>
      </w:pPr>
      <w:r w:rsidRPr="008B53A9">
        <w:t xml:space="preserve">Dalším klíčovým problémem pro rozvoj především early stage podniků je dostupnost soukromých prostředků. Vývoj počtu a celkové výše investic rizikového kapitálu zaznamenal v ČR vzestupný trend po přijetí zákona č. 189/2004 Sb., o kolektivním investování, a to zejména od roku 2007. Finanční krize však rozvíjející se trh rychle oslabila. Podíl rizikového kapitálu na </w:t>
      </w:r>
      <w:r w:rsidRPr="008B53A9">
        <w:lastRenderedPageBreak/>
        <w:t>celkových investicích do private equity (veřejně neobchodované společnosti) v České republice byl v průměru let 2007-2010 pouze 3,2 %, což je hluboko pod evropskou úrovní cca. 12 %.</w:t>
      </w:r>
    </w:p>
    <w:p w:rsidR="00752339" w:rsidRPr="008B53A9" w:rsidRDefault="00752339" w:rsidP="00752339">
      <w:pPr>
        <w:pStyle w:val="Standardntext"/>
      </w:pPr>
      <w:r w:rsidRPr="008B53A9">
        <w:t>Zvláště složitá je situace ve financování počátečních fází podnikání (tzv. seed a start-up). V letech 2008 - 2012 se investice fondů rizikového kapitálu do těchto fází objevují jen sporadicky, spíše jsou v této oblasti aktivní jen business angels, privátně operující tzv. high net-worth iIndividuals (HNWI), fyzické osoby nabízející financování v řádu max. několika milionů korun výměnou za obchodní podíl. Fondy rizikového kapitálu oproti tomu v ČR obvykle investují do pozdějších fází rozvoje firem v průměru 50 - 100 mil. Kč. Vzniká tak tzv. equity gap, mezera na finančním trhu, kde není trh schopen efektivně alokovat zdroje ve prospěch začínajících inovativně orientovaných společností. Z hlediska dostupnosti finančních prostředků pro rozvoj a zakládání inovačních podniků tak existuje v ČR nedostatečná hloubka finančního zprostředkování, která celkově negativně ovlivňuje míru investic a budoucí vybavenost ekonomiky ČR kapitálem. Souhrnná hodnota všech akciových společností obchodovaných na českých kapitálových trzích (ve vztahu k HDP) je v porovnání se zahraničím velmi nízká. Podniky tradičně prostředky na svůj rozvoj získávají především prostřednictvím bankovních úvěrů. Český finanční sektor je sice v současnosti ziskový a dobře kapitalizovaný a ustál prakticky bez potíží finanční a ekonomickou krizi, ale nelze od něho ve větším rozsahu očekávat ochotu financovat rizikové projekty zakládání a rozvoje firem s vysokým inovačním potenciálem. V oblasti úvěrů a záruk se to týká především projektů založení nových firem nebo i projektů rozvoje stávajících malých a středních podniků (MSP). Investoři jsou tak málo ochotní přistoupit na riziko v podobě investice v řádech desítek milionů korun do začínajících inovativních společností bez historie, často s nezkušeným týmem. Investoři mají připraven dostatek kapitálu na investice, ale nenalézají dostatek investičních příležitostí, které splňují jejich požadavky. Oproti tomu začínající inovativní MSP se většinou příliš orientují na technologii a opomíjejí obchodní stránku podnikání, často nemají kvalitně zpracovaný business plán, čímž se snižuje jejich atraktivita pro potenciální investory.</w:t>
      </w:r>
    </w:p>
    <w:p w:rsidR="00752339" w:rsidRPr="008B53A9" w:rsidRDefault="00752339" w:rsidP="00752339">
      <w:pPr>
        <w:pStyle w:val="Standardntext"/>
      </w:pPr>
      <w:r w:rsidRPr="008B53A9">
        <w:t>V Česku však v oblasti rizikového kapitálu dochází k významnému selhání trhu, když v rámci early stage podniků (ca. do 2 let po založení – fáze start-up a seed) nedochází dle oficiálních statistik vůbec k jejich zainvestování ze strany private equity/venture capital fondů. Dle statistik Eurostatu patří ČR v tomto ohledu mezi nejhorší ze všech zemí EHP a Švýcarska zahrnutých do sledování. Tyto závěry jsou rovněž potvrzeny výstupy indikátorů scoreboardu týkající se oblasti zejména venture kapitálu a tvorby nových firem.</w:t>
      </w:r>
    </w:p>
    <w:p w:rsidR="00752339" w:rsidRPr="008B53A9" w:rsidRDefault="00752339" w:rsidP="00752339">
      <w:pPr>
        <w:pStyle w:val="Standardntext"/>
      </w:pPr>
      <w:r w:rsidRPr="008B53A9">
        <w:t>Nízký podíl inovativní výroby spojený s budoucí vyšší přidanou hodnotou do značné míry ovlivňuje rovněž zastaralá podnikatelská infrastruktura a sní spojené vysoké režijní náklady (např. energetická náročnost výroby a vysoká tepelná ztrátovost výrobních objektů), které znemožňují investice právě do výzkumu, i novací a vývoje a naopak nutí podnikatele k vysokým výdajům na udržení stávající výkonnosti. V ČR stále existuje velké množství nevyužívaných průmyslových budov, především jako důsledek restrukturalizace české ekonomiky z přelomu 90. let. Motivace podnikatelů ke generálním rekonstrukcím výrobních prostor je tak z hlediska jejich finanční náročnosti minimální, neboť sebou nese velkou míru existenčního rizika.</w:t>
      </w:r>
      <w:r w:rsidR="00BF7E1C" w:rsidRPr="008B53A9">
        <w:t xml:space="preserve"> Výsledky N</w:t>
      </w:r>
      <w:r w:rsidR="0000733C" w:rsidRPr="008B53A9">
        <w:t>árodní databáze brownfield</w:t>
      </w:r>
      <w:r w:rsidR="00BF7E1C" w:rsidRPr="008B53A9">
        <w:t>ů</w:t>
      </w:r>
      <w:r w:rsidR="0000733C" w:rsidRPr="008B53A9">
        <w:t xml:space="preserve"> ukazují, že do března roku 2014 již bylo regenerováno kolem 258 tis. m</w:t>
      </w:r>
      <w:r w:rsidR="0000733C" w:rsidRPr="008B53A9">
        <w:rPr>
          <w:vertAlign w:val="superscript"/>
        </w:rPr>
        <w:t>2</w:t>
      </w:r>
      <w:r w:rsidR="0000733C" w:rsidRPr="008B53A9">
        <w:t>.</w:t>
      </w:r>
    </w:p>
    <w:p w:rsidR="00DC4557" w:rsidRPr="008B53A9" w:rsidRDefault="00752339" w:rsidP="00752339">
      <w:pPr>
        <w:pStyle w:val="Standardntext"/>
      </w:pPr>
      <w:r w:rsidRPr="008B53A9">
        <w:t xml:space="preserve">V poslední době se podnikatelé čím dál tím více potýkají s nedostatkem kvalifikované pracovní síly pro vlastní výrobu i inovační proces. To má negativní vliv na konkurenceschopnost českých podniků. V rámci náboru nových zaměstnanců - nových absolventů SŠ, VŠ často zaměstnavatelé narážejí na jejich převážně teoretické znalosti, které jsou pro praxi nedostatečné. Zaměstnavatelé pak pro jejich zaškolení musí vynaložit nezanedbatelné náklady </w:t>
      </w:r>
      <w:r w:rsidRPr="008B53A9">
        <w:lastRenderedPageBreak/>
        <w:t>a noví zaměstnanci- noví absolventi pro ně v rámci prvních 3 měsíců - půl roku nemají téměř žádný produktivní dopad. S rozvíjejícími se novými technologiemi, procesy a novou legislativou souvisí nutnost zaměstnavatelů se s těmito změnami seznámit a proškolit své zaměstnance v této oblasti a také pořídit nová zařízení. Rychlé změny - technologický vývoj jde kupředu, nepružnost vzdělávacího systému při tvorbě vzdělávacích obsahů, nová legislativa nabývá účinnost - to s sebou přináší nedostatečnou materiální (moderní stroje využitelné pro zaškolování) a personální ("mistři") kapacitu podniků pro zajištění produktivní činnosti nových absolventů, nedostatečné aktuální znalosti a dovednosti zaměstnanců.</w:t>
      </w:r>
      <w:r w:rsidR="008932E3" w:rsidRPr="008B53A9">
        <w:t xml:space="preserve"> Relevantní podnikatelské subjekty, dle údajů z března roku 2014, disponují kapacitami školících a vzdělávacích středisek ve výši kolem 24 </w:t>
      </w:r>
      <w:r w:rsidR="00DC4557" w:rsidRPr="008B53A9">
        <w:t>tis. míst.</w:t>
      </w:r>
    </w:p>
    <w:p w:rsidR="002262CF" w:rsidRPr="008B53A9" w:rsidRDefault="002262CF" w:rsidP="00752339">
      <w:pPr>
        <w:pStyle w:val="Standardntext"/>
      </w:pPr>
      <w:r w:rsidRPr="008B53A9">
        <w:t>Dle šetření ČSÚ se technicky inovující podniky při zavádění inovací potýkají s různými omezujícími faktory, až již finančního nebo znalostního rázu. Nevýznamnější omezující faktor v období 2008–2010 byl spojen s nedostatkem financí ze zdrojů mimo podnik (uvedlo 30,9 % technicky inovujících podniků). Řadí se mezi ekonomické omezující faktory stejně tak jako další omezující faktor spojený s příliš vysokými inovačními náklady (23,2 %). Za třetí nejvýznamnější faktor omezující zavádění technických inovací podniky označily tržní faktor, a to trh ovládaný zavedenými podniky (18,1 %). Ze skupiny znalostních faktorů omezujících inovační aktivity byl za nejpodstatnější omezující faktor považován nedostatek kvalifikovaných lidských zdrojů (10,8 %).</w:t>
      </w:r>
    </w:p>
    <w:tbl>
      <w:tblPr>
        <w:tblW w:w="0" w:type="auto"/>
        <w:tblCellMar>
          <w:left w:w="0" w:type="dxa"/>
          <w:right w:w="0" w:type="dxa"/>
        </w:tblCellMar>
        <w:tblLook w:val="04A0" w:firstRow="1" w:lastRow="0" w:firstColumn="1" w:lastColumn="0" w:noHBand="0" w:noVBand="1"/>
      </w:tblPr>
      <w:tblGrid>
        <w:gridCol w:w="7196"/>
        <w:gridCol w:w="2016"/>
      </w:tblGrid>
      <w:tr w:rsidR="00752339" w:rsidRPr="008B53A9">
        <w:tc>
          <w:tcPr>
            <w:tcW w:w="9212" w:type="dxa"/>
            <w:gridSpan w:val="2"/>
            <w:tcBorders>
              <w:top w:val="single" w:sz="8" w:space="0" w:color="auto"/>
              <w:left w:val="single" w:sz="8" w:space="0" w:color="auto"/>
              <w:bottom w:val="single" w:sz="8" w:space="0" w:color="auto"/>
              <w:right w:val="single" w:sz="8" w:space="0" w:color="auto"/>
            </w:tcBorders>
            <w:shd w:val="clear" w:color="auto" w:fill="95B3D7"/>
            <w:tcMar>
              <w:top w:w="0" w:type="dxa"/>
              <w:left w:w="108" w:type="dxa"/>
              <w:bottom w:w="0" w:type="dxa"/>
              <w:right w:w="108" w:type="dxa"/>
            </w:tcMar>
            <w:vAlign w:val="center"/>
          </w:tcPr>
          <w:p w:rsidR="00752339" w:rsidRPr="008B53A9" w:rsidRDefault="00752339" w:rsidP="00DF47AD">
            <w:pPr>
              <w:pStyle w:val="Tabulka"/>
              <w:rPr>
                <w:rFonts w:ascii="Arial" w:hAnsi="Arial" w:cs="Arial"/>
                <w:b/>
                <w:bCs/>
                <w:color w:val="000000"/>
                <w:lang w:val="cs-CZ" w:eastAsia="cs-CZ"/>
              </w:rPr>
            </w:pPr>
            <w:r w:rsidRPr="008B53A9">
              <w:rPr>
                <w:b/>
                <w:bCs/>
                <w:szCs w:val="24"/>
                <w:lang w:val="cs-CZ" w:eastAsia="cs-CZ"/>
              </w:rPr>
              <w:t>Hlavní identifikované problémy</w:t>
            </w:r>
          </w:p>
        </w:tc>
      </w:tr>
      <w:tr w:rsidR="00752339" w:rsidRPr="008B53A9">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t>Nízká míra podnikání a s tím související nízký počtem dynamicky rostoucích rozvojových firem ve srovnání s vyspělými zeměmi</w:t>
            </w:r>
          </w:p>
        </w:tc>
      </w:tr>
      <w:tr w:rsidR="00752339" w:rsidRPr="008B53A9">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t>Malá marketingová připravenost MSP a nedostatečná konkurenceschopnost produktů</w:t>
            </w:r>
          </w:p>
        </w:tc>
      </w:tr>
      <w:tr w:rsidR="00752339" w:rsidRPr="008B53A9">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t>Zastaralá infrastruktura typu brownfield vhodná pro podnikání</w:t>
            </w:r>
          </w:p>
        </w:tc>
      </w:tr>
      <w:tr w:rsidR="00752339" w:rsidRPr="008B53A9">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t>Nedostatek kvalifikované pracovní síly pro vlastní výrobu i inovační proces, zároveň také nedostatek kapacit pro možnost rozvoje svých zaměstnanců</w:t>
            </w:r>
          </w:p>
        </w:tc>
      </w:tr>
      <w:tr w:rsidR="00752339" w:rsidRPr="008B53A9">
        <w:tc>
          <w:tcPr>
            <w:tcW w:w="7196"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rsidR="00752339" w:rsidRPr="008B53A9" w:rsidRDefault="00752339" w:rsidP="00DF47AD">
            <w:pPr>
              <w:pStyle w:val="Tabulka"/>
              <w:rPr>
                <w:b/>
                <w:bCs/>
                <w:szCs w:val="24"/>
                <w:lang w:val="cs-CZ" w:eastAsia="cs-CZ"/>
              </w:rPr>
            </w:pPr>
            <w:r w:rsidRPr="008B53A9">
              <w:rPr>
                <w:b/>
                <w:bCs/>
                <w:szCs w:val="24"/>
                <w:lang w:val="cs-CZ" w:eastAsia="cs-CZ"/>
              </w:rPr>
              <w:t>Hlavní příčiny</w:t>
            </w:r>
          </w:p>
        </w:tc>
        <w:tc>
          <w:tcPr>
            <w:tcW w:w="2016" w:type="dxa"/>
            <w:tcBorders>
              <w:top w:val="nil"/>
              <w:left w:val="nil"/>
              <w:bottom w:val="single" w:sz="8" w:space="0" w:color="auto"/>
              <w:right w:val="single" w:sz="8" w:space="0" w:color="auto"/>
            </w:tcBorders>
            <w:shd w:val="clear" w:color="auto" w:fill="B8CCE4"/>
            <w:tcMar>
              <w:top w:w="0" w:type="dxa"/>
              <w:left w:w="108" w:type="dxa"/>
              <w:bottom w:w="0" w:type="dxa"/>
              <w:right w:w="108" w:type="dxa"/>
            </w:tcMar>
            <w:vAlign w:val="center"/>
          </w:tcPr>
          <w:p w:rsidR="00752339" w:rsidRPr="008B53A9" w:rsidRDefault="00752339" w:rsidP="00DF47AD">
            <w:pPr>
              <w:pStyle w:val="Tabulka"/>
              <w:rPr>
                <w:b/>
                <w:bCs/>
                <w:szCs w:val="24"/>
                <w:lang w:val="cs-CZ" w:eastAsia="cs-CZ"/>
              </w:rPr>
            </w:pPr>
            <w:r w:rsidRPr="008B53A9">
              <w:rPr>
                <w:b/>
                <w:bCs/>
                <w:szCs w:val="24"/>
                <w:lang w:val="cs-CZ" w:eastAsia="cs-CZ"/>
              </w:rPr>
              <w:t>Řešení v rámci OP PIK</w:t>
            </w:r>
          </w:p>
        </w:tc>
      </w:tr>
      <w:tr w:rsidR="00752339" w:rsidRPr="008B53A9">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rFonts w:cs="Calibri"/>
                <w:lang w:val="cs-CZ" w:eastAsia="cs-CZ"/>
              </w:rPr>
            </w:pPr>
            <w:r w:rsidRPr="008B53A9">
              <w:rPr>
                <w:szCs w:val="24"/>
                <w:lang w:val="cs-CZ" w:eastAsia="cs-CZ"/>
              </w:rPr>
              <w:t>Omezená dostupnost zárodečného a rozvojového kapitálu pro začínající a rozvojové firmy</w:t>
            </w:r>
          </w:p>
        </w:tc>
        <w:tc>
          <w:tcPr>
            <w:tcW w:w="2016" w:type="dxa"/>
            <w:tcBorders>
              <w:top w:val="nil"/>
              <w:left w:val="nil"/>
              <w:bottom w:val="single" w:sz="8" w:space="0" w:color="auto"/>
              <w:right w:val="single" w:sz="8" w:space="0" w:color="auto"/>
            </w:tcBorders>
            <w:tcMar>
              <w:top w:w="0" w:type="dxa"/>
              <w:left w:w="108" w:type="dxa"/>
              <w:bottom w:w="0" w:type="dxa"/>
              <w:right w:w="108" w:type="dxa"/>
            </w:tcMar>
            <w:vAlign w:val="center"/>
          </w:tcPr>
          <w:p w:rsidR="00752339" w:rsidRPr="008B53A9" w:rsidRDefault="00752339" w:rsidP="00DF47AD">
            <w:pPr>
              <w:pStyle w:val="Tabulka"/>
              <w:rPr>
                <w:szCs w:val="24"/>
                <w:lang w:val="cs-CZ" w:eastAsia="cs-CZ"/>
              </w:rPr>
            </w:pPr>
            <w:r w:rsidRPr="008B53A9">
              <w:rPr>
                <w:szCs w:val="24"/>
                <w:lang w:val="cs-CZ" w:eastAsia="cs-CZ"/>
              </w:rPr>
              <w:t>IP 3 a)</w:t>
            </w:r>
          </w:p>
        </w:tc>
      </w:tr>
      <w:tr w:rsidR="00752339" w:rsidRPr="008B53A9">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t>Obtížná dostupnost kvalitních specializovaných poradenských služeb pro začínající a rozvojové MSP a zároveň nedostatečná rozvinutost netechnických kompetencí firem</w:t>
            </w:r>
          </w:p>
        </w:tc>
        <w:tc>
          <w:tcPr>
            <w:tcW w:w="2016" w:type="dxa"/>
            <w:tcBorders>
              <w:top w:val="nil"/>
              <w:left w:val="nil"/>
              <w:bottom w:val="single" w:sz="8" w:space="0" w:color="auto"/>
              <w:right w:val="single" w:sz="8" w:space="0" w:color="auto"/>
            </w:tcBorders>
            <w:tcMar>
              <w:top w:w="0" w:type="dxa"/>
              <w:left w:w="108" w:type="dxa"/>
              <w:bottom w:w="0" w:type="dxa"/>
              <w:right w:w="108" w:type="dxa"/>
            </w:tcMar>
            <w:vAlign w:val="center"/>
          </w:tcPr>
          <w:p w:rsidR="00752339" w:rsidRPr="008B53A9" w:rsidRDefault="00752339" w:rsidP="00DF47AD">
            <w:pPr>
              <w:pStyle w:val="Tabulka"/>
              <w:rPr>
                <w:szCs w:val="24"/>
                <w:lang w:val="cs-CZ" w:eastAsia="cs-CZ"/>
              </w:rPr>
            </w:pPr>
            <w:r w:rsidRPr="008B53A9">
              <w:rPr>
                <w:szCs w:val="24"/>
                <w:lang w:val="cs-CZ" w:eastAsia="cs-CZ"/>
              </w:rPr>
              <w:t>IP 3 b)</w:t>
            </w:r>
          </w:p>
        </w:tc>
      </w:tr>
      <w:tr w:rsidR="00752339" w:rsidRPr="008B53A9">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t>Nízká motivace podnikatelů spojená s finanční náročností investic do potřebné modernizace podnikatelské infrastruktury</w:t>
            </w:r>
          </w:p>
        </w:tc>
        <w:tc>
          <w:tcPr>
            <w:tcW w:w="2016" w:type="dxa"/>
            <w:tcBorders>
              <w:top w:val="nil"/>
              <w:left w:val="nil"/>
              <w:bottom w:val="single" w:sz="8" w:space="0" w:color="auto"/>
              <w:right w:val="single" w:sz="8" w:space="0" w:color="auto"/>
            </w:tcBorders>
            <w:tcMar>
              <w:top w:w="0" w:type="dxa"/>
              <w:left w:w="108" w:type="dxa"/>
              <w:bottom w:w="0" w:type="dxa"/>
              <w:right w:w="108" w:type="dxa"/>
            </w:tcMar>
            <w:vAlign w:val="center"/>
          </w:tcPr>
          <w:p w:rsidR="00752339" w:rsidRPr="008B53A9" w:rsidRDefault="00752339" w:rsidP="00DF47AD">
            <w:pPr>
              <w:pStyle w:val="Tabulka"/>
              <w:rPr>
                <w:szCs w:val="24"/>
                <w:lang w:val="cs-CZ" w:eastAsia="cs-CZ"/>
              </w:rPr>
            </w:pPr>
            <w:r w:rsidRPr="008B53A9">
              <w:rPr>
                <w:szCs w:val="24"/>
                <w:lang w:val="cs-CZ" w:eastAsia="cs-CZ"/>
              </w:rPr>
              <w:t>IP 3 c)</w:t>
            </w:r>
          </w:p>
        </w:tc>
      </w:tr>
      <w:tr w:rsidR="00752339" w:rsidRPr="008B53A9">
        <w:tc>
          <w:tcPr>
            <w:tcW w:w="719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t>Nedostatečná infrastruktura pro vzdělávání a rozvoj lidských zdrojů související s nedostatečnými aktuálními a potřebnými znalostmi a dovednostmi zaměstnanců i zaměstnavatelů.</w:t>
            </w:r>
          </w:p>
        </w:tc>
        <w:tc>
          <w:tcPr>
            <w:tcW w:w="2016" w:type="dxa"/>
            <w:tcBorders>
              <w:top w:val="nil"/>
              <w:left w:val="nil"/>
              <w:bottom w:val="single" w:sz="8" w:space="0" w:color="auto"/>
              <w:right w:val="single" w:sz="8" w:space="0" w:color="auto"/>
            </w:tcBorders>
            <w:tcMar>
              <w:top w:w="0" w:type="dxa"/>
              <w:left w:w="108" w:type="dxa"/>
              <w:bottom w:w="0" w:type="dxa"/>
              <w:right w:w="108" w:type="dxa"/>
            </w:tcMar>
            <w:vAlign w:val="center"/>
          </w:tcPr>
          <w:p w:rsidR="00752339" w:rsidRPr="008B53A9" w:rsidRDefault="00752339" w:rsidP="00DF47AD">
            <w:pPr>
              <w:pStyle w:val="Tabulka"/>
              <w:rPr>
                <w:szCs w:val="24"/>
                <w:lang w:val="cs-CZ" w:eastAsia="cs-CZ"/>
              </w:rPr>
            </w:pPr>
            <w:r w:rsidRPr="008B53A9">
              <w:rPr>
                <w:szCs w:val="24"/>
                <w:lang w:val="cs-CZ" w:eastAsia="cs-CZ"/>
              </w:rPr>
              <w:t>IP 3 c)</w:t>
            </w:r>
          </w:p>
        </w:tc>
      </w:tr>
      <w:tr w:rsidR="00752339" w:rsidRPr="008B53A9">
        <w:tc>
          <w:tcPr>
            <w:tcW w:w="9212" w:type="dxa"/>
            <w:gridSpan w:val="2"/>
            <w:tcBorders>
              <w:top w:val="nil"/>
              <w:left w:val="single" w:sz="8" w:space="0" w:color="auto"/>
              <w:bottom w:val="single" w:sz="8" w:space="0" w:color="auto"/>
              <w:right w:val="single" w:sz="8" w:space="0" w:color="auto"/>
            </w:tcBorders>
            <w:shd w:val="clear" w:color="auto" w:fill="DBE5F1"/>
            <w:tcMar>
              <w:top w:w="0" w:type="dxa"/>
              <w:left w:w="108" w:type="dxa"/>
              <w:bottom w:w="0" w:type="dxa"/>
              <w:right w:w="108" w:type="dxa"/>
            </w:tcMar>
          </w:tcPr>
          <w:p w:rsidR="00752339" w:rsidRPr="008B53A9" w:rsidRDefault="00752339" w:rsidP="00DF47AD">
            <w:pPr>
              <w:pStyle w:val="Tabulka"/>
              <w:rPr>
                <w:b/>
                <w:bCs/>
                <w:szCs w:val="24"/>
                <w:lang w:val="cs-CZ" w:eastAsia="cs-CZ"/>
              </w:rPr>
            </w:pPr>
            <w:r w:rsidRPr="008B53A9">
              <w:rPr>
                <w:b/>
                <w:bCs/>
                <w:szCs w:val="24"/>
                <w:lang w:val="cs-CZ" w:eastAsia="cs-CZ"/>
              </w:rPr>
              <w:t>Externí faktory, příp. další nezbytná opatření realizovaná mimo OP PIK</w:t>
            </w:r>
          </w:p>
        </w:tc>
      </w:tr>
      <w:tr w:rsidR="00752339" w:rsidRPr="008B53A9">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t>Ekonomická recese; vývoj ekonomiky v členských i nečlenských státech EU, růst cen vstupů, zhoršující se dostupnost kvalitních a kvalifikovaných lidských zdrojů</w:t>
            </w:r>
          </w:p>
        </w:tc>
      </w:tr>
      <w:tr w:rsidR="00752339" w:rsidRPr="008B53A9">
        <w:tc>
          <w:tcPr>
            <w:tcW w:w="9212"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t>Nedostatečné zajištění veletrhů a výstav ze strany veletržní správy; ztráta produktů v rámci přepravy ze strany leteckých společností; nestabilní politická situace.</w:t>
            </w:r>
          </w:p>
        </w:tc>
      </w:tr>
      <w:tr w:rsidR="00752339" w:rsidRPr="008B53A9">
        <w:tc>
          <w:tcPr>
            <w:tcW w:w="9212"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752339" w:rsidRPr="008B53A9" w:rsidRDefault="00752339" w:rsidP="00DF47AD">
            <w:pPr>
              <w:pStyle w:val="Tabulka"/>
              <w:numPr>
                <w:ilvl w:val="0"/>
                <w:numId w:val="84"/>
              </w:numPr>
              <w:adjustRightInd/>
              <w:jc w:val="left"/>
              <w:rPr>
                <w:szCs w:val="24"/>
                <w:lang w:val="cs-CZ" w:eastAsia="cs-CZ"/>
              </w:rPr>
            </w:pPr>
            <w:r w:rsidRPr="008B53A9">
              <w:rPr>
                <w:szCs w:val="24"/>
                <w:lang w:val="cs-CZ" w:eastAsia="cs-CZ"/>
              </w:rPr>
              <w:lastRenderedPageBreak/>
              <w:t>Časté změny legislativy trhu práce, přetrvávání nemotivujícího sociálního systému a neflexibilního trhu práce.</w:t>
            </w:r>
          </w:p>
        </w:tc>
      </w:tr>
    </w:tbl>
    <w:p w:rsidR="00752339" w:rsidRPr="008B53A9" w:rsidRDefault="00752339" w:rsidP="00752339">
      <w:pPr>
        <w:pStyle w:val="Titulek"/>
      </w:pPr>
      <w:r w:rsidRPr="008B53A9">
        <w:t>ICT infrastruktura</w:t>
      </w:r>
    </w:p>
    <w:p w:rsidR="00752339" w:rsidRPr="008B53A9" w:rsidRDefault="00752339" w:rsidP="00752339">
      <w:pPr>
        <w:pStyle w:val="Standardntext"/>
      </w:pPr>
      <w:r w:rsidRPr="008B53A9">
        <w:t>Sofistikované produkty v oblasti informačních komunikačních technologií (ICT) a související služby, jsou považovány za prvky základního významu, bez nichž nelze efektivně realizovat žádné podnikatelské záměry ani zvyšovat kvalitu života společnosti. Jak bylo konstatováno ministry pro informační společnost členských států EU v tzv. Granadské deklaraci z 19. dubna 2010, „</w:t>
      </w:r>
      <w:r w:rsidRPr="008B53A9">
        <w:rPr>
          <w:i/>
        </w:rPr>
        <w:t>ICT sektor je významným činitelem růstu a pracovních míst v hospodářství EU. ICT přispívá 50 procenty růstu produktivity a představuje klíčový zdroj inovací a nových podnikatelských příležitostí.</w:t>
      </w:r>
      <w:r w:rsidRPr="008B53A9">
        <w:t>“ Zároveň bez dostatečně rozvinuté a dostupné technologické základny, tj. zejména bez vybudované adekvátní infrastruktury umožňující vysokorychlostní přístup k internetu, by efekty z využívání ICT ve výrobních i nevýrobních procesech byly na podstatně nižší úrovni. Absence informačních technologií, moderních elektronických komunikací a neadekvátní vzdělanost obyvatelstva ve využívání ICT, jejichž aktivity přímo nebo nepřímo závisí na ICT, by ve všech sektorech omezovala nebo i blokovala většinu vnitrostátních i mezinárodních aktivit České republiky.</w:t>
      </w:r>
    </w:p>
    <w:p w:rsidR="00752339" w:rsidRPr="008B53A9" w:rsidRDefault="00752339" w:rsidP="00752339">
      <w:pPr>
        <w:pStyle w:val="Standardntext"/>
      </w:pPr>
      <w:r w:rsidRPr="008B53A9">
        <w:t xml:space="preserve">Dostupnost vysokorychlostního přístupu k internetu má strategický význam pro růst a inovace České republiky ve všech odvětvích hospodářství a pro sociální a územní soudržnost. Rovněž umožňuje rozvoj nových druhů podnikání a umožňuje produkovat nové digitální služby. Základní infrastruktura pro informační a komunikační technologie nemá v České republice dostatečné geografické pokrytí. V současné době převládá v ČR </w:t>
      </w:r>
      <w:r w:rsidR="008A3638" w:rsidRPr="008B53A9">
        <w:t xml:space="preserve">vysokorychlostní </w:t>
      </w:r>
      <w:r w:rsidRPr="008B53A9">
        <w:t>připojení na bázi ADSL, bezdrátové připojení pomocí technologie WiFi a CATV. Pokud jde o přístupové sítě nové generace (next generation access infrastructures, NGA) pro vysokorychlostní přístup k internetu ČR zaostává za vyspělými zeměmi jak v míře pokrytí, tak v parametrech rychlosti a kvalitě poskytovaných služeb. To ilustruje i následující graf, který zobrazuje</w:t>
      </w:r>
      <w:r w:rsidR="00CA3070" w:rsidRPr="008B53A9">
        <w:t xml:space="preserve"> procentuální </w:t>
      </w:r>
      <w:r w:rsidR="0085332F" w:rsidRPr="008B53A9">
        <w:t xml:space="preserve">míru </w:t>
      </w:r>
      <w:r w:rsidR="00CA3070" w:rsidRPr="008B53A9">
        <w:t>pokrytí vysokorychlostním přístupem k</w:t>
      </w:r>
      <w:r w:rsidR="00C45DC7" w:rsidRPr="008B53A9">
        <w:t> </w:t>
      </w:r>
      <w:r w:rsidR="00CA3070" w:rsidRPr="008B53A9">
        <w:t>intern</w:t>
      </w:r>
      <w:r w:rsidR="00C45DC7" w:rsidRPr="008B53A9">
        <w:t xml:space="preserve">etu (tj. nad 30 Mbit/s) </w:t>
      </w:r>
      <w:r w:rsidR="00CA3070" w:rsidRPr="008B53A9">
        <w:t xml:space="preserve">v domácnostech jednotlivých členských států. </w:t>
      </w:r>
      <w:r w:rsidR="00C45DC7" w:rsidRPr="008B53A9">
        <w:t xml:space="preserve">V ČR disponuje vysokorychlostním přístupem k internetu 49 % domácností, </w:t>
      </w:r>
      <w:r w:rsidR="0085332F" w:rsidRPr="008B53A9">
        <w:t>zatímco v EU to je průměrně</w:t>
      </w:r>
      <w:r w:rsidR="00C45DC7" w:rsidRPr="008B53A9">
        <w:t xml:space="preserve"> 53,8 %</w:t>
      </w:r>
      <w:r w:rsidR="0085332F" w:rsidRPr="008B53A9">
        <w:t xml:space="preserve"> domácností.</w:t>
      </w:r>
    </w:p>
    <w:p w:rsidR="00763D95" w:rsidRPr="008B53A9" w:rsidRDefault="00763D95" w:rsidP="00763D95">
      <w:pPr>
        <w:pStyle w:val="Titulek"/>
        <w:keepNext/>
      </w:pPr>
      <w:r w:rsidRPr="008B53A9">
        <w:lastRenderedPageBreak/>
        <w:t>Obrázek 3: Míra pokrytí vysokorychlostním přístupem k internetu (v % domácností), 2012</w:t>
      </w:r>
    </w:p>
    <w:p w:rsidR="00A95913" w:rsidRPr="008B53A9" w:rsidRDefault="00E51C21" w:rsidP="00752339">
      <w:pPr>
        <w:pStyle w:val="Standardntext"/>
      </w:pPr>
      <w:r w:rsidRPr="008B53A9">
        <w:rPr>
          <w:noProof/>
          <w:lang w:val="cs-CZ" w:eastAsia="cs-CZ"/>
        </w:rPr>
        <w:drawing>
          <wp:inline distT="0" distB="0" distL="0" distR="0" wp14:anchorId="73C73B07" wp14:editId="3D307860">
            <wp:extent cx="5852160" cy="3894455"/>
            <wp:effectExtent l="0" t="0" r="0" b="0"/>
            <wp:docPr id="75"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5852160" cy="3894455"/>
                    </a:xfrm>
                    <a:prstGeom prst="rect">
                      <a:avLst/>
                    </a:prstGeom>
                    <a:noFill/>
                    <a:ln>
                      <a:noFill/>
                    </a:ln>
                  </pic:spPr>
                </pic:pic>
              </a:graphicData>
            </a:graphic>
          </wp:inline>
        </w:drawing>
      </w:r>
    </w:p>
    <w:p w:rsidR="00CA3070" w:rsidRPr="008B53A9" w:rsidRDefault="00CA3070" w:rsidP="00C45DC7">
      <w:pPr>
        <w:pStyle w:val="Standardntext"/>
        <w:spacing w:after="240"/>
      </w:pPr>
      <w:r w:rsidRPr="008B53A9">
        <w:t>Zdroj: Digital Agenda Scoreboard 2013</w:t>
      </w:r>
      <w:r w:rsidR="00C45DC7" w:rsidRPr="008B53A9">
        <w:t xml:space="preserve"> (SWD(2013) 217 final), 12. 6. 2013</w:t>
      </w:r>
    </w:p>
    <w:p w:rsidR="00752339" w:rsidRPr="008B53A9" w:rsidRDefault="00752339" w:rsidP="00752339">
      <w:pPr>
        <w:pStyle w:val="Standardntext"/>
      </w:pPr>
      <w:r w:rsidRPr="008B53A9">
        <w:t xml:space="preserve">Struktura českého hospodářství se svým vysokým podílem regionálně sídlících malých a středních podniků vyžaduje celoplošnou, moderní a kvalitativně vysoce hodnotnou nabídku infrastruktury ICT za konkurenceschopné ceny. Investice do komunikační infrastruktury provádějí na liberalizovaných trzích soukromé subjekty podle hospodářských kritérií, a tudíž především v regionech s vysokou perspektivou poptávky. Návratnost investic do realizace vysokorychlostních přístupových sítí v menších obcích nebo v odlehlých lokalitách je za horizontem reálných možností podnikatelských subjektů. </w:t>
      </w:r>
      <w:r w:rsidR="0085332F" w:rsidRPr="008B53A9">
        <w:t xml:space="preserve">To potvrzuje i graf výše, z něho je patrné, že pokrytí vysokorychlostním přístupem k internetu je ve venkovských oblastech výrazně nižší, než kolik činí míra pokrytí za celou ČR. </w:t>
      </w:r>
      <w:r w:rsidRPr="008B53A9">
        <w:t xml:space="preserve">To dále vede k rozšíření tzv. „digitální propasti“ mezi venkovskými a městskými oblastmi. Méně obydlené oblasti České republiky by tak mohly zůstat v důsledku kapacitně nedostatečného připojení k internetu – dokonce i při stoupající poptávce – dlouhodobě vyloučeny z hospodářského rozvoje. Jako následek trvající stagnace potom hrozí v postižených oblastech růst nezaměstnanosti a úbytek obyvatelstva. Ke strukturálnímu překonání „digitální propasti“ z hlediska dostupnosti vysokorychlostního přístupu k internetu je nutný značný objem finančních prostředků, které nejsou, co se týče trhu, na základě geografické izolace a nepatrné hustoty obyvatelstva venkovských a odlehlých oblastí, v tomto rozsahu k dispozici. </w:t>
      </w:r>
    </w:p>
    <w:p w:rsidR="00752339" w:rsidRPr="008B53A9" w:rsidRDefault="00752339" w:rsidP="00752339">
      <w:pPr>
        <w:pStyle w:val="Standardntext"/>
      </w:pPr>
      <w:r w:rsidRPr="008B53A9">
        <w:t xml:space="preserve">V České republice doposud chyběl aktivní přístup v koordinaci a stimulaci naplňování cílů souvisejících s Digitální agendou pro Evropu na národní úrovni. Minulé regulační zásahy státu nemotivovaly operátory dostatečně k investicím do přístupových sítí nové generace pro vysokorychlostní přístup k internetu. Selhání tržního mechanismu při investování do těchto sítí </w:t>
      </w:r>
      <w:r w:rsidRPr="008B53A9">
        <w:lastRenderedPageBreak/>
        <w:t>v regionech vyvolává nezbytnost spoluúčasti státu, která by pozitivně motivovala soukromé investice.</w:t>
      </w:r>
    </w:p>
    <w:p w:rsidR="00BF34A9" w:rsidRPr="008B53A9" w:rsidRDefault="0085332F" w:rsidP="00752339">
      <w:pPr>
        <w:pStyle w:val="Standardntext"/>
      </w:pPr>
      <w:r w:rsidRPr="008B53A9">
        <w:t>Pokud jde o ICT sektor jako takový</w:t>
      </w:r>
      <w:r w:rsidR="00A74FE6" w:rsidRPr="008B53A9">
        <w:rPr>
          <w:rStyle w:val="Znakapoznpodarou"/>
        </w:rPr>
        <w:footnoteReference w:id="117"/>
      </w:r>
      <w:r w:rsidRPr="008B53A9">
        <w:t>, v</w:t>
      </w:r>
      <w:r w:rsidR="00752339" w:rsidRPr="008B53A9">
        <w:t xml:space="preserve"> České republice došlo v posledním desetiletí k</w:t>
      </w:r>
      <w:r w:rsidRPr="008B53A9">
        <w:t> jeho značnému rozvoji</w:t>
      </w:r>
      <w:r w:rsidR="00752339" w:rsidRPr="008B53A9">
        <w:t xml:space="preserve">, a to jak </w:t>
      </w:r>
      <w:r w:rsidRPr="008B53A9">
        <w:t>ve</w:t>
      </w:r>
      <w:r w:rsidR="00752339" w:rsidRPr="008B53A9">
        <w:t xml:space="preserve"> výrobní části, tak i části služeb. V oblasti ICT sektoru je obecně problém, že řada českých firem jsou pouze dodavateli firem zahraničních. České firmy ve velké míře zůstávají na úrovni tzv. rodinných firem a těm, které chtějí růst, zase chybí zdroje na expanzi na nové trhy. Lze identifikovat nedostatečnou institucionální podporu ICT sektoru, a to zejména proto, že neexistuje jednotná koncepce pro podporu této oblasti. I přes nadprůměrnou produktivitu i dobrou exportní výkonnost těchto podniků, zůstává jejich znalostní intenzita na nízké úrovni se slabým důrazem na specializovanou znalostně náročnou produkci s vysokou přidanou hodnotou.</w:t>
      </w:r>
      <w:r w:rsidR="004C09A9" w:rsidRPr="008B53A9">
        <w:t xml:space="preserve"> Vztáhneme-li přidanou hodnotu sektoru IT služeb k HDP, vykazuje ČR za rok 2012 podle dat ČSÚ hodnotu 2,09 % (např. </w:t>
      </w:r>
      <w:r w:rsidR="00BF34A9" w:rsidRPr="008B53A9">
        <w:t xml:space="preserve">ve Švédsku činí tento poměr 2,5 %, </w:t>
      </w:r>
      <w:r w:rsidR="004C09A9" w:rsidRPr="008B53A9">
        <w:t xml:space="preserve">ve Velké Británii </w:t>
      </w:r>
      <w:r w:rsidR="00BF34A9" w:rsidRPr="008B53A9">
        <w:t>2,9</w:t>
      </w:r>
      <w:r w:rsidR="004C09A9" w:rsidRPr="008B53A9">
        <w:t xml:space="preserve"> %</w:t>
      </w:r>
      <w:r w:rsidR="00BF34A9" w:rsidRPr="008B53A9">
        <w:t xml:space="preserve"> a v</w:t>
      </w:r>
      <w:r w:rsidR="00DC27A8" w:rsidRPr="008B53A9">
        <w:t> </w:t>
      </w:r>
      <w:r w:rsidR="00BF34A9" w:rsidRPr="008B53A9">
        <w:t>Irsku</w:t>
      </w:r>
      <w:r w:rsidR="00DC27A8" w:rsidRPr="008B53A9">
        <w:t>, které je v této oblasti na špičce EU,</w:t>
      </w:r>
      <w:r w:rsidR="00BF34A9" w:rsidRPr="008B53A9">
        <w:t xml:space="preserve"> dokonce 5,1 %</w:t>
      </w:r>
      <w:r w:rsidR="004C09A9" w:rsidRPr="008B53A9">
        <w:t>).</w:t>
      </w:r>
      <w:r w:rsidR="00752339" w:rsidRPr="008B53A9">
        <w:t xml:space="preserve"> </w:t>
      </w:r>
      <w:r w:rsidR="00DC27A8" w:rsidRPr="008B53A9">
        <w:t xml:space="preserve">Podíváme-li se na </w:t>
      </w:r>
      <w:r w:rsidR="00003E04" w:rsidRPr="008B53A9">
        <w:t>tuto problematiku z jiného úhlu pohledu, totiž</w:t>
      </w:r>
      <w:r w:rsidR="00DC27A8" w:rsidRPr="008B53A9">
        <w:t xml:space="preserve"> z hlediska zaměstnanosti, vykazuje ČR v mezinárodním srovnání lehce podprůměrné hodnoty. Jak je patrné z grafu níže, v ČR bylo v roce 2011 zaměstnáno v sektoru IT služeb 2,27 % osob z celkového počtu pracovníků zaměstnaných v podnikatelském sektoru, zatímco v EU to bylo v průměru 2,34 %.</w:t>
      </w:r>
    </w:p>
    <w:p w:rsidR="00763D95" w:rsidRPr="008B53A9" w:rsidRDefault="00763D95" w:rsidP="00763D95">
      <w:pPr>
        <w:pStyle w:val="Titulek"/>
        <w:keepNext/>
      </w:pPr>
      <w:r w:rsidRPr="008B53A9">
        <w:lastRenderedPageBreak/>
        <w:t>Obrázek 4: Zaměstnanost v sektoru IT služeb, 2011</w:t>
      </w:r>
    </w:p>
    <w:p w:rsidR="00BF34A9" w:rsidRPr="008B53A9" w:rsidRDefault="00E51C21" w:rsidP="00752339">
      <w:pPr>
        <w:pStyle w:val="Standardntext"/>
      </w:pPr>
      <w:r w:rsidRPr="008B53A9">
        <w:rPr>
          <w:noProof/>
          <w:lang w:val="cs-CZ" w:eastAsia="cs-CZ"/>
        </w:rPr>
        <w:drawing>
          <wp:inline distT="0" distB="0" distL="0" distR="0" wp14:anchorId="0786C5E2" wp14:editId="58621BC2">
            <wp:extent cx="5841365" cy="4550410"/>
            <wp:effectExtent l="19050" t="19050" r="26035" b="21590"/>
            <wp:docPr id="74"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841365" cy="4550410"/>
                    </a:xfrm>
                    <a:prstGeom prst="rect">
                      <a:avLst/>
                    </a:prstGeom>
                    <a:noFill/>
                    <a:ln w="9525" cmpd="sng">
                      <a:solidFill>
                        <a:srgbClr val="000000"/>
                      </a:solidFill>
                      <a:miter lim="800000"/>
                      <a:headEnd/>
                      <a:tailEnd/>
                    </a:ln>
                    <a:effectLst/>
                  </pic:spPr>
                </pic:pic>
              </a:graphicData>
            </a:graphic>
          </wp:inline>
        </w:drawing>
      </w:r>
    </w:p>
    <w:p w:rsidR="00BF34A9" w:rsidRPr="008B53A9" w:rsidRDefault="00DC27A8" w:rsidP="00DC27A8">
      <w:pPr>
        <w:pStyle w:val="Standardntext"/>
        <w:spacing w:after="240"/>
      </w:pPr>
      <w:r w:rsidRPr="008B53A9">
        <w:t>Zdroj: Informační ekonomika v číslech, ČSÚ</w:t>
      </w:r>
    </w:p>
    <w:p w:rsidR="00752339" w:rsidRPr="008B53A9" w:rsidRDefault="00752339" w:rsidP="00752339">
      <w:pPr>
        <w:pStyle w:val="Standardntext"/>
      </w:pPr>
      <w:r w:rsidRPr="008B53A9">
        <w:t>V pří</w:t>
      </w:r>
      <w:r w:rsidR="00003E04" w:rsidRPr="008B53A9">
        <w:t>padě aplikace sofistikovaných I</w:t>
      </w:r>
      <w:r w:rsidRPr="008B53A9">
        <w:t>T řešení v podnicích má mnoho českých podniků značné rezervy. Níže je uvedeno několik ilustrativních příkladů, které ukazují nízkou míru elektronizace vnitropodnikovýc</w:t>
      </w:r>
      <w:r w:rsidR="00003E04" w:rsidRPr="008B53A9">
        <w:t>h procesů a využívání dalších I</w:t>
      </w:r>
      <w:r w:rsidRPr="008B53A9">
        <w:t>T řešení.</w:t>
      </w:r>
      <w:r w:rsidRPr="008B53A9">
        <w:rPr>
          <w:vertAlign w:val="superscript"/>
        </w:rPr>
        <w:footnoteReference w:id="118"/>
      </w:r>
    </w:p>
    <w:p w:rsidR="00752339" w:rsidRPr="008B53A9" w:rsidRDefault="00752339" w:rsidP="00752339">
      <w:pPr>
        <w:pStyle w:val="Standardntext"/>
      </w:pPr>
      <w:r w:rsidRPr="008B53A9">
        <w:t>Například v oblasti elektronické výměny dat mezi podniky zaostává ČR se svými 23 % podniků uskutečňujících tuto výměnu za průměrem EU, kde tento poměr činí 50 %.  Např. ve srovnání podílu firem využívajících firemní počítačové sítě a s nimi související technologie je výsledek 64,5 % pro ČR oproti 76,5 % pro průměr EU.</w:t>
      </w:r>
    </w:p>
    <w:p w:rsidR="00752339" w:rsidRPr="008B53A9" w:rsidRDefault="00752339" w:rsidP="00752339">
      <w:pPr>
        <w:pStyle w:val="Standardntext"/>
      </w:pPr>
      <w:r w:rsidRPr="008B53A9">
        <w:t xml:space="preserve">Mnoho podniků dnes využívá pro své fungování více samostatných informačních systémů (např. jeden pro řízení výroby, jiný pro logistiku, distribuci, správu majetku, prodej, fakturaci, účetnictví, personalistiku atd.) místo jednoho integrovaného. Pokud však má podnik různé informační systémy uvnitř organizace propojeny a dochází mezi nimi k automatizovanému sdílení dat, usnadňuje a zrychluje tak proces výroby a distribuce. Automatizované sdílení informací o přijatých i zadaných objednávkách elektronickou cestou v rámci informačního systému podniku používalo v lednu 2013 již zmiňovaných 51 % podniků. Softwarovou aplikaci ERP pro sdílení informací mezi různými funkčními oblastmi podniku používalo v lednu 2013 v </w:t>
      </w:r>
      <w:r w:rsidRPr="008B53A9">
        <w:lastRenderedPageBreak/>
        <w:t>České republice jen 24 % podniků. Mezi velikostními kategoriemi jsou v případě využívání ERP aplikace velmi výrazné rozdíly, kdy velkých podniků ji využívá 76 % a z malých pak pouhých 16 %.</w:t>
      </w:r>
    </w:p>
    <w:p w:rsidR="00752339" w:rsidRPr="008B53A9" w:rsidRDefault="00752339" w:rsidP="00752339">
      <w:pPr>
        <w:pStyle w:val="Standardntext"/>
      </w:pPr>
      <w:r w:rsidRPr="008B53A9">
        <w:t>Dalším příkladem je nízká míra využívání elektronického prodeje přes webové stránky podniky nebo pomocí elektronické výměny dat přes internet či privátní mezipodnikové informační sítě. V roce 2012 prodávalo elektronickou cestou své zboží nebo služby 27 % podniků. Jako jednu z nejčastějších překážek, které limitují či zcela znemožňují podniku přijímat objednávky prostřednictvím webových stránek, uvádí podniky příliš vysoké náklady spojené se zavedením elektronického prodeje. S tím souvisí rovněž nízká míra využívání elektronické fakturace. V lednu 2013 zaslala fakturu elektronickou cestou (například klasickým e-mailem s přílohou ve formátu doc nebo pdf) v ČR více než polovina podniků s 10 a více zaměstnanci (56 %) a 79 % podniků fakturu touto cestou přijalo. Pouze 11 % podniků však zaslalo fakturu ve standardizovaném formátu určeném pro automatizované zpracování dat, tj. vystavilo e-fakturu. Pro zvýšení bezpečnosti je možné k zasílaným fakturám připojit elektronický podpis, což v lednu 2013 učinilo pouze 8 % podniků.</w:t>
      </w:r>
    </w:p>
    <w:p w:rsidR="00752339" w:rsidRPr="008B53A9" w:rsidRDefault="00003E04" w:rsidP="00752339">
      <w:pPr>
        <w:pStyle w:val="Standardntext"/>
      </w:pPr>
      <w:r w:rsidRPr="008B53A9">
        <w:t>Z pohledu využívání sdílených I</w:t>
      </w:r>
      <w:r w:rsidR="00752339" w:rsidRPr="008B53A9">
        <w:t>T služeb jsou podniky v ČR značně konzervativní. Například nástup cloud computingu</w:t>
      </w:r>
      <w:r w:rsidR="00752339" w:rsidRPr="008B53A9">
        <w:rPr>
          <w:rStyle w:val="Znakapoznpodarou"/>
        </w:rPr>
        <w:footnoteReference w:id="119"/>
      </w:r>
      <w:r w:rsidR="00752339" w:rsidRPr="008B53A9">
        <w:t xml:space="preserve"> je v České republice oproti světu do značné míry zpožděný. Podle výzkumu provedeného v roce 2010</w:t>
      </w:r>
      <w:r w:rsidR="00752339" w:rsidRPr="008B53A9">
        <w:rPr>
          <w:rStyle w:val="Znakapoznpodarou"/>
        </w:rPr>
        <w:footnoteReference w:id="120"/>
      </w:r>
      <w:r w:rsidR="00752339" w:rsidRPr="008B53A9">
        <w:t xml:space="preserve"> uvádějí pouze 4 % z 600 oslovených firem, že cloud computing využívají a jen 6 % ho plánuje nasadit během dalších 2 let. Může za to i špatná informovanost firem i laické veřejnosti. Z dalšího průzkumu provedeného v září 2011</w:t>
      </w:r>
      <w:r w:rsidR="00752339" w:rsidRPr="008B53A9">
        <w:rPr>
          <w:rStyle w:val="Znakapoznpodarou"/>
        </w:rPr>
        <w:footnoteReference w:id="121"/>
      </w:r>
      <w:r w:rsidR="00752339" w:rsidRPr="008B53A9">
        <w:t xml:space="preserve"> ve spolupráci s českým Googlem a Asociací malých a středních podniků a živnostníků ČR (AMSP ČR) vyšly následující výsledky: 16 % firem termín cloud computing nezná, ale nevědomky ho už využívá; po objasnění termínu projevilo o vyzkoušení cloud computingu zájem až 40 % podnikatelů a firem účastnících se výzkumu; 92 % uživatelů cloudových aplikací z řad malých a středních podniků je spokojených a oceňuje zejména flexibilní přístup k informacím. Pokud jde o datová centra, neexistuje na rozdíl od okolních zemí jejich přímá podpora, a to i přes to, že ČR je svou zeměpisnou polohou, infrastrukturou a úrovní politické stability pro investory velmi zajímavá. Tím je výrazně snížena možnost dosáhnout snížení nákladů firem na IT. Přitom je potřeba počítat s tím, že flexibilita v tomto odvětví umožňuje přesuny datových center z místa na místo mnohem snáze, než je tomu u jiných technologií. Z tohoto důvodu je důležité vytvářet příznivé podmínky pro podnikání v této oblasti.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16"/>
      </w:tblGrid>
      <w:tr w:rsidR="00752339" w:rsidRPr="008B53A9">
        <w:tc>
          <w:tcPr>
            <w:tcW w:w="9212" w:type="dxa"/>
            <w:gridSpan w:val="2"/>
            <w:shd w:val="clear" w:color="auto" w:fill="95B3D7"/>
            <w:vAlign w:val="center"/>
          </w:tcPr>
          <w:p w:rsidR="00752339" w:rsidRPr="008B53A9" w:rsidRDefault="00752339" w:rsidP="00DF47AD">
            <w:pPr>
              <w:pStyle w:val="Tabulka"/>
              <w:rPr>
                <w:rFonts w:ascii="Arial" w:hAnsi="Arial" w:cs="Arial"/>
                <w:b/>
                <w:color w:val="000000"/>
                <w:lang w:val="cs-CZ" w:eastAsia="cs-CZ"/>
              </w:rPr>
            </w:pPr>
            <w:r w:rsidRPr="008B53A9">
              <w:rPr>
                <w:rFonts w:cs="Calibri"/>
                <w:b/>
                <w:lang w:val="cs-CZ" w:eastAsia="cs-CZ"/>
              </w:rPr>
              <w:t>Hlavní identifikované problémy</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Nedostatečné geografické pokrytí vysokorychlostním přístupem k internetu a nedostatečná rychlost a kvalita poskytovaných služeb</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Nedostatečná míra využívání nových ICT trendů jako jsou sdílené služby, sofistikované ICT řešení, datová centra, které zvyšují efektivitu výsledků a zároveň nezvyšují náklady na ICT</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lastRenderedPageBreak/>
              <w:t>Opomíjení sofistikovaných ICT nástrojů v rozhodování a reakci na požadavky trhu (BI, data minning, práce se sociálními sítěmi), nízká míra penetrace cloud řešení, nízká podpora open standardů, téměř žádná interoperabilita, nedostatečné využívání mobilních platforem apod.</w:t>
            </w:r>
          </w:p>
        </w:tc>
      </w:tr>
      <w:tr w:rsidR="00752339" w:rsidRPr="008B53A9">
        <w:tc>
          <w:tcPr>
            <w:tcW w:w="7196" w:type="dxa"/>
            <w:shd w:val="clear" w:color="auto" w:fill="B8CCE4"/>
            <w:vAlign w:val="center"/>
          </w:tcPr>
          <w:p w:rsidR="00752339" w:rsidRPr="008B53A9" w:rsidRDefault="00752339" w:rsidP="00DF47AD">
            <w:pPr>
              <w:pStyle w:val="Tabulka"/>
              <w:rPr>
                <w:rFonts w:cs="Calibri"/>
                <w:b/>
                <w:lang w:val="cs-CZ" w:eastAsia="cs-CZ"/>
              </w:rPr>
            </w:pPr>
            <w:r w:rsidRPr="008B53A9">
              <w:rPr>
                <w:rFonts w:cs="Calibri"/>
                <w:b/>
                <w:lang w:val="cs-CZ" w:eastAsia="cs-CZ"/>
              </w:rPr>
              <w:t>Hlavní příčiny</w:t>
            </w:r>
          </w:p>
        </w:tc>
        <w:tc>
          <w:tcPr>
            <w:tcW w:w="2016" w:type="dxa"/>
            <w:shd w:val="clear" w:color="auto" w:fill="B8CCE4"/>
            <w:vAlign w:val="center"/>
          </w:tcPr>
          <w:p w:rsidR="00752339" w:rsidRPr="008B53A9" w:rsidRDefault="00752339" w:rsidP="00DF47AD">
            <w:pPr>
              <w:pStyle w:val="Tabulka"/>
              <w:rPr>
                <w:rFonts w:cs="Calibri"/>
                <w:b/>
                <w:lang w:val="cs-CZ" w:eastAsia="cs-CZ"/>
              </w:rPr>
            </w:pPr>
            <w:r w:rsidRPr="008B53A9">
              <w:rPr>
                <w:rFonts w:cs="Calibri"/>
                <w:b/>
                <w:lang w:val="cs-CZ" w:eastAsia="cs-CZ"/>
              </w:rPr>
              <w:t>Řešení v rámci OP PIK</w:t>
            </w:r>
          </w:p>
        </w:tc>
      </w:tr>
      <w:tr w:rsidR="00752339" w:rsidRPr="008B53A9">
        <w:tc>
          <w:tcPr>
            <w:tcW w:w="7196" w:type="dxa"/>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Selhání tržního mechanismu při investování do infrastruktury pro vysokorychlostní přístup k internetu v jednotlivých regionech ČR</w:t>
            </w:r>
          </w:p>
        </w:tc>
        <w:tc>
          <w:tcPr>
            <w:tcW w:w="2016" w:type="dxa"/>
            <w:vAlign w:val="center"/>
          </w:tcPr>
          <w:p w:rsidR="00752339" w:rsidRPr="008B53A9" w:rsidRDefault="00752339" w:rsidP="00DF47AD">
            <w:pPr>
              <w:pStyle w:val="Tabulka"/>
              <w:rPr>
                <w:rFonts w:cs="Calibri"/>
                <w:lang w:val="cs-CZ" w:eastAsia="cs-CZ"/>
              </w:rPr>
            </w:pPr>
            <w:r w:rsidRPr="008B53A9">
              <w:rPr>
                <w:rFonts w:cs="Calibri"/>
                <w:lang w:val="cs-CZ" w:eastAsia="cs-CZ"/>
              </w:rPr>
              <w:t>IP 2 a)</w:t>
            </w:r>
          </w:p>
        </w:tc>
      </w:tr>
      <w:tr w:rsidR="00752339" w:rsidRPr="008B53A9">
        <w:tc>
          <w:tcPr>
            <w:tcW w:w="7196" w:type="dxa"/>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České IT firmy nevlastní dostatečný kapitál pro rozvoj produkce s vysokou přidanou hodnotou, který by jim umožnil výraznější expanzi a zvýšil jejich uplatnění ve srovnání s mezinárodní konkurencí</w:t>
            </w:r>
          </w:p>
        </w:tc>
        <w:tc>
          <w:tcPr>
            <w:tcW w:w="2016" w:type="dxa"/>
            <w:vAlign w:val="center"/>
          </w:tcPr>
          <w:p w:rsidR="00752339" w:rsidRPr="008B53A9" w:rsidRDefault="00752339" w:rsidP="00DF47AD">
            <w:pPr>
              <w:pStyle w:val="Tabulka"/>
              <w:rPr>
                <w:rFonts w:cs="Calibri"/>
                <w:lang w:val="cs-CZ" w:eastAsia="cs-CZ"/>
              </w:rPr>
            </w:pPr>
            <w:r w:rsidRPr="008B53A9">
              <w:rPr>
                <w:rFonts w:cs="Calibri"/>
                <w:lang w:val="cs-CZ" w:eastAsia="cs-CZ"/>
              </w:rPr>
              <w:t>IP 2 b)</w:t>
            </w:r>
          </w:p>
        </w:tc>
      </w:tr>
      <w:tr w:rsidR="00752339" w:rsidRPr="008B53A9">
        <w:tc>
          <w:tcPr>
            <w:tcW w:w="9212" w:type="dxa"/>
            <w:gridSpan w:val="2"/>
            <w:shd w:val="clear" w:color="auto" w:fill="DBE5F1"/>
          </w:tcPr>
          <w:p w:rsidR="00752339" w:rsidRPr="008B53A9" w:rsidRDefault="00752339" w:rsidP="00DF47AD">
            <w:pPr>
              <w:pStyle w:val="Tabulka"/>
              <w:rPr>
                <w:rFonts w:cs="Calibri"/>
                <w:b/>
                <w:lang w:val="cs-CZ" w:eastAsia="cs-CZ"/>
              </w:rPr>
            </w:pPr>
            <w:r w:rsidRPr="008B53A9">
              <w:rPr>
                <w:rFonts w:cs="Calibri"/>
                <w:b/>
                <w:lang w:val="cs-CZ" w:eastAsia="cs-CZ"/>
              </w:rPr>
              <w:t>Externí faktory, příp. další nezbytná opatření realizovaná mimo OP PIK</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Neočekávaná změna legislativy, zejména v oblasti vlastnických práv</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Nutnost sjednocení aplikační praxe některých ustanovení zákona o elektronických komunikacích a stavebního zákona a zjednodušení pravidel stavebního a územního řízení pro oblast elektronických komunikací</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Zřízení registru pasivní infrastruktury a zvýšení transparentnosti při plánování budování relevantní infrastruktury využitelné pro sdílení sítí elektronických komunikací</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Neexistence jednotné koncepce pro podporu ICT sektoru v ČR</w:t>
            </w:r>
            <w:r w:rsidRPr="008B53A9">
              <w:rPr>
                <w:rFonts w:cs="Calibri"/>
                <w:lang w:val="cs-CZ" w:eastAsia="cs-CZ"/>
              </w:rPr>
              <w:t xml:space="preserve"> </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Aplikování open standardů pro vývoj ICT řešení, aplikování Evropských norem pro interoperabilitu (program ISA)</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Podpora aplikací v oblasti ICT určených pro veřejnou správu a další podpůrná opatření</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Investiční pobídky pro výstavbu datových center v okolních zemích</w:t>
            </w:r>
          </w:p>
        </w:tc>
      </w:tr>
      <w:tr w:rsidR="00752339" w:rsidRPr="008B53A9">
        <w:tc>
          <w:tcPr>
            <w:tcW w:w="9212" w:type="dxa"/>
            <w:gridSpan w:val="2"/>
          </w:tcPr>
          <w:p w:rsidR="00752339" w:rsidRPr="008B53A9" w:rsidRDefault="00752339" w:rsidP="00DF47AD">
            <w:pPr>
              <w:pStyle w:val="Tabulka"/>
              <w:numPr>
                <w:ilvl w:val="0"/>
                <w:numId w:val="83"/>
              </w:numPr>
              <w:jc w:val="left"/>
              <w:rPr>
                <w:rFonts w:cs="Calibri"/>
                <w:bCs/>
                <w:lang w:val="cs-CZ" w:eastAsia="cs-CZ"/>
              </w:rPr>
            </w:pPr>
            <w:r w:rsidRPr="008B53A9">
              <w:rPr>
                <w:rFonts w:cs="Calibri"/>
                <w:bCs/>
                <w:lang w:val="cs-CZ" w:eastAsia="cs-CZ"/>
              </w:rPr>
              <w:t>Adekvátní vzdělanost obyvatelstva jak v tvorbě (výchova IT specialistů), tak ve využívání sofistikovaných ICT řešení a sdílených služeb (např. informační kampaň objasňující podnikům výhody cloud computingu)</w:t>
            </w:r>
          </w:p>
        </w:tc>
      </w:tr>
    </w:tbl>
    <w:p w:rsidR="00752339" w:rsidRPr="008B53A9" w:rsidRDefault="00752339" w:rsidP="00B55193">
      <w:pPr>
        <w:pStyle w:val="Titulek"/>
        <w:keepNext/>
        <w:keepLines/>
      </w:pPr>
      <w:r w:rsidRPr="008B53A9">
        <w:t xml:space="preserve">Energetická infrastruktura </w:t>
      </w:r>
    </w:p>
    <w:p w:rsidR="00B55193" w:rsidRPr="008B53A9" w:rsidRDefault="00B55193" w:rsidP="00B55193">
      <w:pPr>
        <w:pStyle w:val="Standardntext"/>
      </w:pPr>
      <w:r w:rsidRPr="008B53A9">
        <w:t xml:space="preserve">Energetika je klíčovým odvětvím ekonomiky každé vyspělé země a představuje jednu z významných podmínek ekonomického rozvoje a konkurenceschopnosti. Nakládání energií se dotýká všech sektorů (podnikatelského, veřejného a samozřejmě i domácností) a jejich fungování je bez zajištění dostatku, kvality a cenové dostupnosti energie nemyslitelné. Energie se jako jeden ze základních výrobních vstupů podílí na produktivitě firem a současně firemní sektor spoluurčuje potřeby v oblasti energetiky. </w:t>
      </w:r>
    </w:p>
    <w:p w:rsidR="00B55193" w:rsidRPr="008B53A9" w:rsidRDefault="00B55193" w:rsidP="00B55193">
      <w:pPr>
        <w:pStyle w:val="Standardntext"/>
      </w:pPr>
      <w:r w:rsidRPr="008B53A9">
        <w:t xml:space="preserve">Dle Státní energetické koncepce ČR je současná energetická spotřeba České republiky pokryta z více než 50% domácími zdroji primární energie. Avšak s ohledem na pokles využívání nejvýznamnějšího domácího zdroje energie (hnědé a černé uhlí) je potřeba v příštích desetiletích počítat s nárůstem dovozní energetické závislosti až do výše 65 % do roku 2030 a 70 % do roku 2040. Pro zajištění maximálně možné nezávislosti ČR na cizích energetických zdrojích je proto třeba podporovat optimální využití konvenčních i obnovitelných zdrojů energie na území ČR. Cílová hodnota pro EU vyplývající ze strategie Evropa 2020 činí 20 % podílu energie z obnovitelných zdrojů v roce 2020. Pro Českou republiku byl Evropskou komisí stanoven i s ohledem na omezené možnosti vzhledem ke geografickým podmínkám nižší, minimálně 13 % podíl energie z obnovitelných zdrojů na hrubé konečné spotřebě energie v roce 2020. Podíl energie z OZE od roku 2005 v ČR díky přijaté podpoře setrvale a výrazně </w:t>
      </w:r>
      <w:r w:rsidRPr="008B53A9">
        <w:lastRenderedPageBreak/>
        <w:t xml:space="preserve">stoupal, až dosáhl v roce 2012 11,2 % hrubé domácí konečné spotřeby energie. Cílem ČR je další zvýšení podílu energie z OZE, avšak při přehodnocení formy podpory a minimalizace finančních dopadů OZE na ekonomiku a obyvatelstvo. </w:t>
      </w:r>
    </w:p>
    <w:p w:rsidR="00B55193" w:rsidRPr="008B53A9" w:rsidRDefault="00B55193" w:rsidP="00B55193">
      <w:pPr>
        <w:pStyle w:val="Standardntext"/>
      </w:pPr>
      <w:r w:rsidRPr="008B53A9">
        <w:t>Pokud jde o využití biomasy, existuje v ČR dle analýzy MPO</w:t>
      </w:r>
      <w:r w:rsidRPr="008B53A9">
        <w:rPr>
          <w:rStyle w:val="Znakapoznpodarou"/>
          <w:vertAlign w:val="baseline"/>
        </w:rPr>
        <w:footnoteReference w:id="122"/>
      </w:r>
      <w:r w:rsidRPr="008B53A9">
        <w:t xml:space="preserve"> celkem 166 bioplynových stanic (54 %) o celkovém tepelném výkonu 108 MWth, které jsou s určitou až vysokou pravděpodobností vhodné k vyvedení kogenerační jednotky do blízkého okolí (max. 4 km). Realizací tohoto opatření by mohlo být dosaženo úspor tepla ve výši 2 221 TJ/rok. Jak je patrné z tabulky níže, nejvíce možností využití tepla v okolí bioplynových stanic najdeme v Královéhradeckém, Jihočeském, Pardubickém a Středočeském kraji. V Královéhradeckém kraji to je celých 70 % zařízení. Na druhé straně například na Vysočině, která se pyšní nejvyšším počtem bioplynových stanic, by bylo teplo možné využít pouze v okolí 30 % instalací. Nejvyšší procento možnosti využití tepla nalezneme v Ústeckém kraji, kde existuje teoretická možnost využití tepla nebo vzdálené kogenerace u všech instalací.</w:t>
      </w:r>
    </w:p>
    <w:p w:rsidR="00B55193" w:rsidRPr="008B53A9" w:rsidRDefault="00B55193" w:rsidP="00B55193">
      <w:pPr>
        <w:pStyle w:val="Titulek"/>
        <w:keepNext/>
      </w:pPr>
      <w:r w:rsidRPr="008B53A9">
        <w:t>Obrázek 5: Možnosti využití tepla / vzdálené kogenerace na stávajících bioplynových stanicích z hlediska jednotlivých krajů ČR</w:t>
      </w:r>
    </w:p>
    <w:tbl>
      <w:tblPr>
        <w:tblStyle w:val="Stednstnovn2zvraznn1"/>
        <w:tblW w:w="0" w:type="auto"/>
        <w:tblLook w:val="04A0" w:firstRow="1" w:lastRow="0" w:firstColumn="1" w:lastColumn="0" w:noHBand="0" w:noVBand="1"/>
      </w:tblPr>
      <w:tblGrid>
        <w:gridCol w:w="1879"/>
        <w:gridCol w:w="1523"/>
        <w:gridCol w:w="1312"/>
        <w:gridCol w:w="924"/>
        <w:gridCol w:w="1087"/>
        <w:gridCol w:w="1325"/>
        <w:gridCol w:w="1325"/>
      </w:tblGrid>
      <w:tr w:rsidR="00DF47AD" w:rsidRPr="00110FDD" w:rsidTr="008622D9">
        <w:trPr>
          <w:cnfStyle w:val="100000000000" w:firstRow="1" w:lastRow="0" w:firstColumn="0" w:lastColumn="0" w:oddVBand="0" w:evenVBand="0" w:oddHBand="0" w:evenHBand="0" w:firstRowFirstColumn="0" w:firstRowLastColumn="0" w:lastRowFirstColumn="0" w:lastRowLastColumn="0"/>
          <w:trHeight w:val="1368"/>
        </w:trPr>
        <w:tc>
          <w:tcPr>
            <w:cnfStyle w:val="001000000100" w:firstRow="0" w:lastRow="0" w:firstColumn="1" w:lastColumn="0" w:oddVBand="0" w:evenVBand="0" w:oddHBand="0" w:evenHBand="0" w:firstRowFirstColumn="1" w:firstRowLastColumn="0" w:lastRowFirstColumn="0" w:lastRowLastColumn="0"/>
            <w:tcW w:w="1879" w:type="dxa"/>
            <w:vAlign w:val="center"/>
          </w:tcPr>
          <w:p w:rsidR="00DF47AD" w:rsidRPr="00247CB2" w:rsidRDefault="00DF47AD" w:rsidP="008622D9">
            <w:pPr>
              <w:keepNext/>
              <w:keepLines/>
              <w:jc w:val="center"/>
              <w:rPr>
                <w:rFonts w:asciiTheme="minorHAnsi" w:hAnsiTheme="minorHAnsi" w:cstheme="minorHAnsi"/>
                <w:szCs w:val="22"/>
              </w:rPr>
            </w:pPr>
            <w:r w:rsidRPr="00247CB2">
              <w:rPr>
                <w:rFonts w:asciiTheme="minorHAnsi" w:hAnsiTheme="minorHAnsi" w:cstheme="minorHAnsi"/>
                <w:szCs w:val="22"/>
              </w:rPr>
              <w:t>Kraj</w:t>
            </w:r>
          </w:p>
        </w:tc>
        <w:tc>
          <w:tcPr>
            <w:tcW w:w="1523" w:type="dxa"/>
            <w:vAlign w:val="center"/>
          </w:tcPr>
          <w:p w:rsidR="00DF47AD" w:rsidRPr="00247CB2" w:rsidRDefault="00DF47AD" w:rsidP="008622D9">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47CB2">
              <w:rPr>
                <w:rFonts w:asciiTheme="minorHAnsi" w:hAnsiTheme="minorHAnsi" w:cstheme="minorHAnsi"/>
                <w:szCs w:val="22"/>
              </w:rPr>
              <w:t>Počet bioplynových stanic</w:t>
            </w:r>
          </w:p>
        </w:tc>
        <w:tc>
          <w:tcPr>
            <w:tcW w:w="1312" w:type="dxa"/>
            <w:vAlign w:val="center"/>
          </w:tcPr>
          <w:p w:rsidR="00DF47AD" w:rsidRPr="00247CB2" w:rsidRDefault="00DF47AD" w:rsidP="008622D9">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47CB2">
              <w:rPr>
                <w:rFonts w:asciiTheme="minorHAnsi" w:hAnsiTheme="minorHAnsi" w:cstheme="minorHAnsi"/>
                <w:szCs w:val="22"/>
              </w:rPr>
              <w:t>Celkový instalovaný tepelný výkon (MW)</w:t>
            </w:r>
          </w:p>
        </w:tc>
        <w:tc>
          <w:tcPr>
            <w:tcW w:w="837" w:type="dxa"/>
            <w:vAlign w:val="center"/>
          </w:tcPr>
          <w:p w:rsidR="00DF47AD" w:rsidRPr="00247CB2" w:rsidRDefault="00DF47AD" w:rsidP="008622D9">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47CB2">
              <w:rPr>
                <w:rFonts w:asciiTheme="minorHAnsi" w:hAnsiTheme="minorHAnsi" w:cstheme="minorHAnsi"/>
                <w:szCs w:val="22"/>
              </w:rPr>
              <w:t>„Ano“</w:t>
            </w:r>
            <w:r>
              <w:rPr>
                <w:rStyle w:val="Znakapoznpodarou"/>
                <w:rFonts w:asciiTheme="minorHAnsi" w:hAnsiTheme="minorHAnsi" w:cstheme="minorHAnsi"/>
                <w:szCs w:val="22"/>
              </w:rPr>
              <w:footnoteReference w:id="123"/>
            </w:r>
          </w:p>
        </w:tc>
        <w:tc>
          <w:tcPr>
            <w:tcW w:w="1087" w:type="dxa"/>
            <w:vAlign w:val="center"/>
          </w:tcPr>
          <w:p w:rsidR="00DF47AD" w:rsidRPr="00247CB2" w:rsidRDefault="00DF47AD" w:rsidP="008622D9">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47CB2">
              <w:rPr>
                <w:rFonts w:asciiTheme="minorHAnsi" w:hAnsiTheme="minorHAnsi" w:cstheme="minorHAnsi"/>
                <w:szCs w:val="22"/>
              </w:rPr>
              <w:t>„Ano“ + „Možná“</w:t>
            </w:r>
          </w:p>
        </w:tc>
        <w:tc>
          <w:tcPr>
            <w:tcW w:w="1325" w:type="dxa"/>
            <w:vAlign w:val="center"/>
          </w:tcPr>
          <w:p w:rsidR="00DF47AD" w:rsidRPr="00247CB2" w:rsidRDefault="00DF47AD" w:rsidP="008622D9">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47CB2">
              <w:rPr>
                <w:rFonts w:asciiTheme="minorHAnsi" w:hAnsiTheme="minorHAnsi" w:cstheme="minorHAnsi"/>
                <w:szCs w:val="22"/>
              </w:rPr>
              <w:t>Instalovaný tepelný výkon „ano“ (MW)</w:t>
            </w:r>
          </w:p>
        </w:tc>
        <w:tc>
          <w:tcPr>
            <w:tcW w:w="1325" w:type="dxa"/>
            <w:vAlign w:val="center"/>
          </w:tcPr>
          <w:p w:rsidR="00DF47AD" w:rsidRPr="00247CB2" w:rsidRDefault="00DF47AD" w:rsidP="008622D9">
            <w:pPr>
              <w:keepNext/>
              <w:keepLines/>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2"/>
              </w:rPr>
            </w:pPr>
            <w:r w:rsidRPr="00247CB2">
              <w:rPr>
                <w:rFonts w:asciiTheme="minorHAnsi" w:hAnsiTheme="minorHAnsi" w:cstheme="minorHAnsi"/>
                <w:szCs w:val="22"/>
              </w:rPr>
              <w:t>Instalovaný tepelný výkon „ano“ + „možná“ (MW)</w:t>
            </w:r>
          </w:p>
        </w:tc>
      </w:tr>
      <w:tr w:rsidR="00DF47AD" w:rsidRPr="00110FDD" w:rsidTr="0086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Královéhradecký</w:t>
            </w:r>
          </w:p>
        </w:tc>
        <w:tc>
          <w:tcPr>
            <w:tcW w:w="1523"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27</w:t>
            </w:r>
          </w:p>
        </w:tc>
        <w:tc>
          <w:tcPr>
            <w:tcW w:w="1312"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22,6</w:t>
            </w:r>
          </w:p>
        </w:tc>
        <w:tc>
          <w:tcPr>
            <w:tcW w:w="83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11</w:t>
            </w:r>
          </w:p>
        </w:tc>
        <w:tc>
          <w:tcPr>
            <w:tcW w:w="108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19</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11,4</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17,0</w:t>
            </w:r>
          </w:p>
        </w:tc>
      </w:tr>
      <w:tr w:rsidR="00DF47AD" w:rsidRPr="00110FDD" w:rsidTr="008622D9">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Jihočeský</w:t>
            </w:r>
          </w:p>
        </w:tc>
        <w:tc>
          <w:tcPr>
            <w:tcW w:w="1523"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39</w:t>
            </w:r>
          </w:p>
        </w:tc>
        <w:tc>
          <w:tcPr>
            <w:tcW w:w="1312"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26,9</w:t>
            </w:r>
          </w:p>
        </w:tc>
        <w:tc>
          <w:tcPr>
            <w:tcW w:w="83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8</w:t>
            </w:r>
          </w:p>
        </w:tc>
        <w:tc>
          <w:tcPr>
            <w:tcW w:w="108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19</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5,9</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13,8</w:t>
            </w:r>
          </w:p>
        </w:tc>
      </w:tr>
      <w:tr w:rsidR="00DF47AD" w:rsidRPr="00110FDD" w:rsidTr="0086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Jihomoravský</w:t>
            </w:r>
          </w:p>
        </w:tc>
        <w:tc>
          <w:tcPr>
            <w:tcW w:w="1523"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28</w:t>
            </w:r>
          </w:p>
        </w:tc>
        <w:tc>
          <w:tcPr>
            <w:tcW w:w="1312"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23,4</w:t>
            </w:r>
          </w:p>
        </w:tc>
        <w:tc>
          <w:tcPr>
            <w:tcW w:w="83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7</w:t>
            </w:r>
          </w:p>
        </w:tc>
        <w:tc>
          <w:tcPr>
            <w:tcW w:w="108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14</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3,8</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11,6</w:t>
            </w:r>
          </w:p>
        </w:tc>
      </w:tr>
      <w:tr w:rsidR="00DF47AD" w:rsidRPr="00110FDD" w:rsidTr="008622D9">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Karlovarský</w:t>
            </w:r>
          </w:p>
        </w:tc>
        <w:tc>
          <w:tcPr>
            <w:tcW w:w="1523"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5</w:t>
            </w:r>
          </w:p>
        </w:tc>
        <w:tc>
          <w:tcPr>
            <w:tcW w:w="1312"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4,5</w:t>
            </w:r>
          </w:p>
        </w:tc>
        <w:tc>
          <w:tcPr>
            <w:tcW w:w="83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w:t>
            </w:r>
          </w:p>
        </w:tc>
        <w:tc>
          <w:tcPr>
            <w:tcW w:w="108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4</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1,9</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4,0</w:t>
            </w:r>
          </w:p>
        </w:tc>
      </w:tr>
      <w:tr w:rsidR="00DF47AD" w:rsidRPr="00110FDD" w:rsidTr="0086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Liberecký</w:t>
            </w:r>
          </w:p>
        </w:tc>
        <w:tc>
          <w:tcPr>
            <w:tcW w:w="1523"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4</w:t>
            </w:r>
          </w:p>
        </w:tc>
        <w:tc>
          <w:tcPr>
            <w:tcW w:w="1312"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2,4</w:t>
            </w:r>
          </w:p>
        </w:tc>
        <w:tc>
          <w:tcPr>
            <w:tcW w:w="83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w:t>
            </w:r>
          </w:p>
        </w:tc>
        <w:tc>
          <w:tcPr>
            <w:tcW w:w="108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1,0</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1,5</w:t>
            </w:r>
          </w:p>
        </w:tc>
      </w:tr>
      <w:tr w:rsidR="00DF47AD" w:rsidRPr="00110FDD" w:rsidTr="008622D9">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Moravskoslezský</w:t>
            </w:r>
          </w:p>
        </w:tc>
        <w:tc>
          <w:tcPr>
            <w:tcW w:w="1523"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14</w:t>
            </w:r>
          </w:p>
        </w:tc>
        <w:tc>
          <w:tcPr>
            <w:tcW w:w="1312"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13,8</w:t>
            </w:r>
          </w:p>
        </w:tc>
        <w:tc>
          <w:tcPr>
            <w:tcW w:w="83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10</w:t>
            </w:r>
          </w:p>
        </w:tc>
        <w:tc>
          <w:tcPr>
            <w:tcW w:w="108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12</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9,8</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11,9</w:t>
            </w:r>
          </w:p>
        </w:tc>
      </w:tr>
      <w:tr w:rsidR="00DF47AD" w:rsidRPr="00110FDD" w:rsidTr="0086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Olomoucký</w:t>
            </w:r>
          </w:p>
        </w:tc>
        <w:tc>
          <w:tcPr>
            <w:tcW w:w="1523"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20</w:t>
            </w:r>
          </w:p>
        </w:tc>
        <w:tc>
          <w:tcPr>
            <w:tcW w:w="1312"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16,9</w:t>
            </w:r>
          </w:p>
        </w:tc>
        <w:tc>
          <w:tcPr>
            <w:tcW w:w="83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9</w:t>
            </w:r>
          </w:p>
        </w:tc>
        <w:tc>
          <w:tcPr>
            <w:tcW w:w="108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13</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6,9</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11,2</w:t>
            </w:r>
          </w:p>
        </w:tc>
      </w:tr>
      <w:tr w:rsidR="00DF47AD" w:rsidRPr="00110FDD" w:rsidTr="008622D9">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Pardubický</w:t>
            </w:r>
          </w:p>
        </w:tc>
        <w:tc>
          <w:tcPr>
            <w:tcW w:w="1523"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34</w:t>
            </w:r>
          </w:p>
        </w:tc>
        <w:tc>
          <w:tcPr>
            <w:tcW w:w="1312"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29,4</w:t>
            </w:r>
          </w:p>
        </w:tc>
        <w:tc>
          <w:tcPr>
            <w:tcW w:w="83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11</w:t>
            </w:r>
          </w:p>
        </w:tc>
        <w:tc>
          <w:tcPr>
            <w:tcW w:w="108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19</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10,5</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17,2</w:t>
            </w:r>
          </w:p>
        </w:tc>
      </w:tr>
      <w:tr w:rsidR="00DF47AD" w:rsidRPr="00110FDD" w:rsidTr="0086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Plzeňský</w:t>
            </w:r>
          </w:p>
        </w:tc>
        <w:tc>
          <w:tcPr>
            <w:tcW w:w="1523"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31</w:t>
            </w:r>
          </w:p>
        </w:tc>
        <w:tc>
          <w:tcPr>
            <w:tcW w:w="1312"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23,5</w:t>
            </w:r>
          </w:p>
        </w:tc>
        <w:tc>
          <w:tcPr>
            <w:tcW w:w="83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7</w:t>
            </w:r>
          </w:p>
        </w:tc>
        <w:tc>
          <w:tcPr>
            <w:tcW w:w="108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14</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5,4</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10,7</w:t>
            </w:r>
          </w:p>
        </w:tc>
      </w:tr>
      <w:tr w:rsidR="00DF47AD" w:rsidRPr="00110FDD" w:rsidTr="008622D9">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Středočeský</w:t>
            </w:r>
          </w:p>
        </w:tc>
        <w:tc>
          <w:tcPr>
            <w:tcW w:w="1523"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41</w:t>
            </w:r>
          </w:p>
        </w:tc>
        <w:tc>
          <w:tcPr>
            <w:tcW w:w="1312"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31,1</w:t>
            </w:r>
          </w:p>
        </w:tc>
        <w:tc>
          <w:tcPr>
            <w:tcW w:w="83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8</w:t>
            </w:r>
          </w:p>
        </w:tc>
        <w:tc>
          <w:tcPr>
            <w:tcW w:w="108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19</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7,3</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16,5</w:t>
            </w:r>
          </w:p>
        </w:tc>
      </w:tr>
      <w:tr w:rsidR="00DF47AD" w:rsidRPr="00110FDD" w:rsidTr="0086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Ústecký</w:t>
            </w:r>
          </w:p>
        </w:tc>
        <w:tc>
          <w:tcPr>
            <w:tcW w:w="1523"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8</w:t>
            </w:r>
          </w:p>
        </w:tc>
        <w:tc>
          <w:tcPr>
            <w:tcW w:w="1312"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5,3</w:t>
            </w:r>
          </w:p>
        </w:tc>
        <w:tc>
          <w:tcPr>
            <w:tcW w:w="83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4</w:t>
            </w:r>
          </w:p>
        </w:tc>
        <w:tc>
          <w:tcPr>
            <w:tcW w:w="1087"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8</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2,2</w:t>
            </w:r>
          </w:p>
        </w:tc>
        <w:tc>
          <w:tcPr>
            <w:tcW w:w="1325" w:type="dxa"/>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5,3</w:t>
            </w:r>
          </w:p>
        </w:tc>
      </w:tr>
      <w:tr w:rsidR="00DF47AD" w:rsidRPr="00110FDD" w:rsidTr="008622D9">
        <w:tc>
          <w:tcPr>
            <w:cnfStyle w:val="001000000000" w:firstRow="0" w:lastRow="0" w:firstColumn="1" w:lastColumn="0" w:oddVBand="0" w:evenVBand="0" w:oddHBand="0" w:evenHBand="0" w:firstRowFirstColumn="0" w:firstRowLastColumn="0" w:lastRowFirstColumn="0" w:lastRowLastColumn="0"/>
            <w:tcW w:w="1879" w:type="dxa"/>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Vysočina</w:t>
            </w:r>
          </w:p>
        </w:tc>
        <w:tc>
          <w:tcPr>
            <w:tcW w:w="1523"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52</w:t>
            </w:r>
          </w:p>
        </w:tc>
        <w:tc>
          <w:tcPr>
            <w:tcW w:w="1312"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36,9</w:t>
            </w:r>
          </w:p>
        </w:tc>
        <w:tc>
          <w:tcPr>
            <w:tcW w:w="83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9</w:t>
            </w:r>
          </w:p>
        </w:tc>
        <w:tc>
          <w:tcPr>
            <w:tcW w:w="1087"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17</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6,0</w:t>
            </w:r>
          </w:p>
        </w:tc>
        <w:tc>
          <w:tcPr>
            <w:tcW w:w="1325" w:type="dxa"/>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12,2</w:t>
            </w:r>
          </w:p>
        </w:tc>
      </w:tr>
      <w:tr w:rsidR="00DF47AD" w:rsidRPr="00110FDD" w:rsidTr="008622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dxa"/>
            <w:tcBorders>
              <w:bottom w:val="thickThinSmallGap" w:sz="12" w:space="0" w:color="auto"/>
            </w:tcBorders>
            <w:shd w:val="clear" w:color="auto" w:fill="C6D9F1" w:themeFill="text2" w:themeFillTint="33"/>
          </w:tcPr>
          <w:p w:rsidR="00DF47AD" w:rsidRPr="00247CB2" w:rsidRDefault="00DF47AD" w:rsidP="008622D9">
            <w:pPr>
              <w:keepNext/>
              <w:keepLines/>
              <w:rPr>
                <w:rFonts w:asciiTheme="minorHAnsi" w:hAnsiTheme="minorHAnsi" w:cstheme="minorHAnsi"/>
                <w:color w:val="auto"/>
                <w:sz w:val="22"/>
                <w:szCs w:val="22"/>
              </w:rPr>
            </w:pPr>
            <w:r w:rsidRPr="00247CB2">
              <w:rPr>
                <w:rFonts w:asciiTheme="minorHAnsi" w:hAnsiTheme="minorHAnsi" w:cstheme="minorHAnsi"/>
                <w:color w:val="auto"/>
                <w:sz w:val="22"/>
                <w:szCs w:val="22"/>
              </w:rPr>
              <w:t>Zlínský</w:t>
            </w:r>
          </w:p>
        </w:tc>
        <w:tc>
          <w:tcPr>
            <w:tcW w:w="1523" w:type="dxa"/>
            <w:tcBorders>
              <w:bottom w:val="thickThinSmallGap" w:sz="12" w:space="0" w:color="auto"/>
            </w:tcBorders>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7</w:t>
            </w:r>
          </w:p>
        </w:tc>
        <w:tc>
          <w:tcPr>
            <w:tcW w:w="1312" w:type="dxa"/>
            <w:tcBorders>
              <w:bottom w:val="thickThinSmallGap" w:sz="12" w:space="0" w:color="auto"/>
            </w:tcBorders>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5,2</w:t>
            </w:r>
          </w:p>
        </w:tc>
        <w:tc>
          <w:tcPr>
            <w:tcW w:w="837" w:type="dxa"/>
            <w:tcBorders>
              <w:bottom w:val="thickThinSmallGap" w:sz="12" w:space="0" w:color="auto"/>
            </w:tcBorders>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6</w:t>
            </w:r>
          </w:p>
        </w:tc>
        <w:tc>
          <w:tcPr>
            <w:tcW w:w="1087" w:type="dxa"/>
            <w:tcBorders>
              <w:bottom w:val="thickThinSmallGap" w:sz="12" w:space="0" w:color="auto"/>
            </w:tcBorders>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6</w:t>
            </w:r>
          </w:p>
        </w:tc>
        <w:tc>
          <w:tcPr>
            <w:tcW w:w="1325" w:type="dxa"/>
            <w:tcBorders>
              <w:bottom w:val="thickThinSmallGap" w:sz="12" w:space="0" w:color="auto"/>
            </w:tcBorders>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4,2</w:t>
            </w:r>
          </w:p>
        </w:tc>
        <w:tc>
          <w:tcPr>
            <w:tcW w:w="1325" w:type="dxa"/>
            <w:tcBorders>
              <w:bottom w:val="thickThinSmallGap" w:sz="12" w:space="0" w:color="auto"/>
            </w:tcBorders>
          </w:tcPr>
          <w:p w:rsidR="00DF47AD" w:rsidRPr="00110FDD" w:rsidRDefault="00DF47AD" w:rsidP="008622D9">
            <w:pPr>
              <w:keepNext/>
              <w:keepLines/>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4,2</w:t>
            </w:r>
          </w:p>
        </w:tc>
      </w:tr>
      <w:tr w:rsidR="00DF47AD" w:rsidRPr="00110FDD" w:rsidTr="008622D9">
        <w:tc>
          <w:tcPr>
            <w:cnfStyle w:val="001000000000" w:firstRow="0" w:lastRow="0" w:firstColumn="1" w:lastColumn="0" w:oddVBand="0" w:evenVBand="0" w:oddHBand="0" w:evenHBand="0" w:firstRowFirstColumn="0" w:firstRowLastColumn="0" w:lastRowFirstColumn="0" w:lastRowLastColumn="0"/>
            <w:tcW w:w="1879" w:type="dxa"/>
            <w:tcBorders>
              <w:top w:val="thickThinSmallGap" w:sz="12" w:space="0" w:color="auto"/>
            </w:tcBorders>
            <w:shd w:val="clear" w:color="auto" w:fill="8DB3E2" w:themeFill="text2" w:themeFillTint="66"/>
          </w:tcPr>
          <w:p w:rsidR="00DF47AD" w:rsidRPr="00110FDD" w:rsidRDefault="00DF47AD" w:rsidP="008622D9">
            <w:pPr>
              <w:keepNext/>
              <w:keepLines/>
              <w:rPr>
                <w:rFonts w:asciiTheme="minorHAnsi" w:hAnsiTheme="minorHAnsi" w:cstheme="minorHAnsi"/>
                <w:sz w:val="22"/>
                <w:szCs w:val="22"/>
              </w:rPr>
            </w:pPr>
            <w:r w:rsidRPr="00247CB2">
              <w:rPr>
                <w:rFonts w:asciiTheme="minorHAnsi" w:hAnsiTheme="minorHAnsi" w:cstheme="minorHAnsi"/>
                <w:color w:val="auto"/>
                <w:sz w:val="22"/>
                <w:szCs w:val="22"/>
              </w:rPr>
              <w:t>Česká republika</w:t>
            </w:r>
          </w:p>
        </w:tc>
        <w:tc>
          <w:tcPr>
            <w:tcW w:w="1523" w:type="dxa"/>
            <w:tcBorders>
              <w:top w:val="thickThinSmallGap" w:sz="12" w:space="0" w:color="auto"/>
            </w:tcBorders>
            <w:shd w:val="clear" w:color="auto" w:fill="8DB3E2" w:themeFill="text2" w:themeFillTint="66"/>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310</w:t>
            </w:r>
          </w:p>
        </w:tc>
        <w:tc>
          <w:tcPr>
            <w:tcW w:w="1312" w:type="dxa"/>
            <w:tcBorders>
              <w:top w:val="thickThinSmallGap" w:sz="12" w:space="0" w:color="auto"/>
            </w:tcBorders>
            <w:shd w:val="clear" w:color="auto" w:fill="8DB3E2" w:themeFill="text2" w:themeFillTint="66"/>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242</w:t>
            </w:r>
          </w:p>
        </w:tc>
        <w:tc>
          <w:tcPr>
            <w:tcW w:w="837" w:type="dxa"/>
            <w:tcBorders>
              <w:top w:val="thickThinSmallGap" w:sz="12" w:space="0" w:color="auto"/>
            </w:tcBorders>
            <w:shd w:val="clear" w:color="auto" w:fill="8DB3E2" w:themeFill="text2" w:themeFillTint="66"/>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93</w:t>
            </w:r>
          </w:p>
        </w:tc>
        <w:tc>
          <w:tcPr>
            <w:tcW w:w="1087" w:type="dxa"/>
            <w:tcBorders>
              <w:top w:val="thickThinSmallGap" w:sz="12" w:space="0" w:color="auto"/>
            </w:tcBorders>
            <w:shd w:val="clear" w:color="auto" w:fill="8DB3E2" w:themeFill="text2" w:themeFillTint="66"/>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166</w:t>
            </w:r>
          </w:p>
        </w:tc>
        <w:tc>
          <w:tcPr>
            <w:tcW w:w="1325" w:type="dxa"/>
            <w:tcBorders>
              <w:top w:val="thickThinSmallGap" w:sz="12" w:space="0" w:color="auto"/>
            </w:tcBorders>
            <w:shd w:val="clear" w:color="auto" w:fill="8DB3E2" w:themeFill="text2" w:themeFillTint="66"/>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76</w:t>
            </w:r>
          </w:p>
        </w:tc>
        <w:tc>
          <w:tcPr>
            <w:tcW w:w="1325" w:type="dxa"/>
            <w:tcBorders>
              <w:top w:val="thickThinSmallGap" w:sz="12" w:space="0" w:color="auto"/>
            </w:tcBorders>
            <w:shd w:val="clear" w:color="auto" w:fill="8DB3E2" w:themeFill="text2" w:themeFillTint="66"/>
          </w:tcPr>
          <w:p w:rsidR="00DF47AD" w:rsidRPr="00110FDD" w:rsidRDefault="00DF47AD" w:rsidP="008622D9">
            <w:pPr>
              <w:keepNext/>
              <w:keepLines/>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10FDD">
              <w:rPr>
                <w:rFonts w:asciiTheme="minorHAnsi" w:hAnsiTheme="minorHAnsi" w:cstheme="minorHAnsi"/>
                <w:sz w:val="22"/>
                <w:szCs w:val="22"/>
              </w:rPr>
              <w:t>137</w:t>
            </w:r>
          </w:p>
        </w:tc>
      </w:tr>
    </w:tbl>
    <w:p w:rsidR="00B55193" w:rsidRPr="008B53A9" w:rsidRDefault="00B55193" w:rsidP="00B55193">
      <w:pPr>
        <w:pStyle w:val="Standardntext"/>
        <w:spacing w:after="240"/>
      </w:pPr>
      <w:r w:rsidRPr="008B53A9">
        <w:t>Zdroj: Možnosti využití tepla/ vzdálené kogenerace na zemědělských BPS v České republice, zpracovatel NovaEnergo s.r.o., květen 2013</w:t>
      </w:r>
    </w:p>
    <w:p w:rsidR="00B55193" w:rsidRPr="008B53A9" w:rsidRDefault="00B55193" w:rsidP="00B55193">
      <w:pPr>
        <w:pStyle w:val="Standardntext"/>
      </w:pPr>
      <w:r w:rsidRPr="008B53A9">
        <w:lastRenderedPageBreak/>
        <w:t xml:space="preserve">Dalším identifikovaným problémem je vysoká úroveň energetické náročnosti české ekonomiky. Jak vyplývá z grafu níže, z hlediska energetické náročnosti se ČR v současnosti nachází výrazně nad průměrem EU-27. Pokud jde o konečnou spotřebu energie, spotřebovala ČR </w:t>
      </w:r>
      <w:r w:rsidR="00574840" w:rsidRPr="008B53A9">
        <w:t xml:space="preserve">v sektoru průmyslu a služeb </w:t>
      </w:r>
      <w:r w:rsidRPr="008B53A9">
        <w:t>v roce 201</w:t>
      </w:r>
      <w:r w:rsidR="00574840" w:rsidRPr="008B53A9">
        <w:t>2</w:t>
      </w:r>
      <w:r w:rsidRPr="008B53A9">
        <w:t xml:space="preserve"> </w:t>
      </w:r>
      <w:r w:rsidR="00574840" w:rsidRPr="008B53A9">
        <w:t>zhruba</w:t>
      </w:r>
      <w:r w:rsidRPr="008B53A9">
        <w:t xml:space="preserve"> </w:t>
      </w:r>
      <w:r w:rsidR="00574840" w:rsidRPr="008B53A9">
        <w:t>434 P</w:t>
      </w:r>
      <w:r w:rsidRPr="008B53A9">
        <w:t>J. Důvodem vyšší energetické náročnosti je jak vysoký podíl průmyslu na tvorbě HDP a vysoký podíl průmyslových odvětví s vysokou energetickou náročností, tak i vnitřní dluh podniků spočívající v nízké energetické efektivnosti průmyslových procesů a vysoké energetické náročnosti budov. Návratnost investic do energetické efektivnosti je obvykle o něco delší než investice do vlastní produkce a tempo zvyšování energetické účinnosti je při rozpočtových omezeních firem pomalé. Ceny energií pak představují kritický faktor konkurenceschopnosti firem. Z hlediska spotřeby energie na obyvatele i z hlediska spotřeby elektřiny na obyvatele se ČR nachází zhruba v průměru zemí EU. Nadále však existuje poměrně vysoký potenciál úspor ovlivněný nedostatkem finančních prostředků pro investice do úsporných projektů a nedostatek znalostí v oblasti efektivního využívání energie. Úspory energie budou mít pozitivní vliv jak na kvalitu ovzduší, tak i na snížení produkce CO2 (zde jednoznačná vazba na problémovou oblast Životní prostředí).</w:t>
      </w:r>
    </w:p>
    <w:p w:rsidR="00B55193" w:rsidRPr="008B53A9" w:rsidRDefault="00B55193" w:rsidP="00B55193">
      <w:pPr>
        <w:pStyle w:val="Titulek"/>
        <w:keepNext/>
        <w:rPr>
          <w:rFonts w:cs="Calibri"/>
        </w:rPr>
      </w:pPr>
      <w:r w:rsidRPr="008B53A9">
        <w:rPr>
          <w:rFonts w:cs="Calibri"/>
        </w:rPr>
        <w:t>Obrázek 6: Energetická náročnost jednotlivých zemí EU-28 (v kilogramu ropného ekvivalentu na 1000 EUR), 2012</w:t>
      </w:r>
    </w:p>
    <w:p w:rsidR="00B55193" w:rsidRPr="008B53A9" w:rsidRDefault="00E51C21" w:rsidP="00B55193">
      <w:pPr>
        <w:contextualSpacing/>
        <w:jc w:val="both"/>
        <w:rPr>
          <w:rFonts w:ascii="Calibri" w:hAnsi="Calibri" w:cs="Calibri"/>
        </w:rPr>
      </w:pPr>
      <w:r w:rsidRPr="008B53A9">
        <w:rPr>
          <w:noProof/>
        </w:rPr>
        <w:drawing>
          <wp:inline distT="0" distB="0" distL="0" distR="0" wp14:anchorId="46CFC535" wp14:editId="2BCD5307">
            <wp:extent cx="5838190" cy="3409315"/>
            <wp:effectExtent l="0" t="0" r="10160" b="19685"/>
            <wp:docPr id="73" name="Graf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rsidR="00B55193" w:rsidRPr="008B53A9" w:rsidRDefault="00B55193" w:rsidP="00B55193">
      <w:pPr>
        <w:pStyle w:val="Standardntext"/>
        <w:spacing w:after="240"/>
      </w:pPr>
      <w:r w:rsidRPr="008B53A9">
        <w:t>Zdroj: Eurostat</w:t>
      </w:r>
    </w:p>
    <w:p w:rsidR="00B55193" w:rsidRPr="008B53A9" w:rsidRDefault="00B55193" w:rsidP="00B55193">
      <w:pPr>
        <w:pStyle w:val="Standardntext"/>
      </w:pPr>
      <w:r w:rsidRPr="008B53A9">
        <w:t xml:space="preserve">Díky pozvolnému nárůstu spotřeby elektrické energie, ale i z důvodu vzniku nových zdrojů rozptýlené výroby včetně intermitentních (OZE), vzniká potřeba zvýšení transformačního výkonu přenosové soustavy a distribuční soustavy. Bez rozvoje a modernizace elektrizační soustavy nelze v budoucnu dostatečně uspokojit požadavky rozvíjejících se regionů. Posílení vnitřní i přeshraniční kapacity přenosových vedení elektrické energie je důležité rovněž z pohledu integrace vnitřního evropského trhu s energií. Kvalitní napojení energetických sítí na evropské struktury je významné z hlediska energetické bezpečnosti a zajištění stálosti dodávek při exportu i importu energie. Z hlediska narůstající zátěže pro distribuci a přenos elektrické energie, která zapříčiňuje vysokou ztrátovost, jsou problémovými oblastmi především klíčové </w:t>
      </w:r>
      <w:r w:rsidRPr="008B53A9">
        <w:lastRenderedPageBreak/>
        <w:t xml:space="preserve">uzly soustav a téměř nulové využití inteligentních sítí jako regulačního prvku. V případě distribuční soustavy je přetížením ohroženo zejména vedení a další prvky (např. trafostanice) hlavně v koncových sítích (vn a nn) a v okrajových oblastech. Úroveň kvality v distribučních soustavách je určena ukazateli nepřetržitosti distribuce elektřiny podle § 21 vyhlášky č. 540/2005 Sb., o kvalitě dodávek elektřiny a souvisejících služeb v elektroenergetice. Vyhláškou jsou definovány následující ukazatele nepřetržitosti: (1) průměrný počet přerušení distribuce elektřiny u zákazníků v hodnoceném období (SAIFI) a (2) průměrná souhrnná doba trvání přerušení distribuce elektřiny u zákazníků v hodnoceném období (SAIDI). V roce 2013 dosáhl ukazatel SAIFI počtu </w:t>
      </w:r>
      <w:r w:rsidR="00282CE4" w:rsidRPr="008B53A9">
        <w:t>2,755</w:t>
      </w:r>
      <w:r w:rsidRPr="008B53A9">
        <w:t xml:space="preserve"> přerušení za rok a ukazatel SAIDI délky přerušení </w:t>
      </w:r>
      <w:r w:rsidR="00282CE4" w:rsidRPr="008B53A9">
        <w:t xml:space="preserve">394,33 </w:t>
      </w:r>
      <w:r w:rsidRPr="008B53A9">
        <w:t>min. za rok. Jak vyplývá z grafů níže, hodnoty obou ukazatelů v posledních 3 letech mírně rostou, což potvrzuje narůstající zátěž pro distribuci vedoucí ke snížení bezpečnosti dodávek.</w:t>
      </w:r>
    </w:p>
    <w:p w:rsidR="00B55193" w:rsidRPr="008B53A9" w:rsidRDefault="00B55193" w:rsidP="00B55193">
      <w:pPr>
        <w:pStyle w:val="Titulek"/>
        <w:keepNext/>
        <w:rPr>
          <w:rFonts w:cs="Calibri"/>
        </w:rPr>
      </w:pPr>
      <w:r w:rsidRPr="008B53A9">
        <w:rPr>
          <w:rFonts w:cs="Calibri"/>
        </w:rPr>
        <w:t>Obrázek 7: Dosažené hodnoty ukazatelů nepřetržitosti distribuce elektřiny (SAIFI, SAIDI) napájené z hladiny nízkého napětí v posledních 3 letech</w:t>
      </w:r>
    </w:p>
    <w:p w:rsidR="00B55193" w:rsidRPr="008B53A9" w:rsidRDefault="00B55193" w:rsidP="005D178C">
      <w:pPr>
        <w:pStyle w:val="Titulek"/>
        <w:keepNext/>
        <w:numPr>
          <w:ilvl w:val="0"/>
          <w:numId w:val="86"/>
        </w:numPr>
        <w:spacing w:before="120"/>
        <w:rPr>
          <w:rFonts w:cs="Calibri"/>
        </w:rPr>
      </w:pPr>
      <w:r w:rsidRPr="008B53A9">
        <w:rPr>
          <w:rFonts w:cs="Calibri"/>
        </w:rPr>
        <w:t>Průměrný počet přerušení distribuce elektřiny u zákazníků v hodnoceném období (SAIFI)</w:t>
      </w:r>
    </w:p>
    <w:p w:rsidR="00B55193" w:rsidRPr="008B53A9" w:rsidRDefault="00E51C21" w:rsidP="00B55193">
      <w:pPr>
        <w:pStyle w:val="Standardntext"/>
        <w:jc w:val="center"/>
      </w:pPr>
      <w:r w:rsidRPr="008B53A9">
        <w:rPr>
          <w:noProof/>
          <w:lang w:val="cs-CZ" w:eastAsia="cs-CZ"/>
        </w:rPr>
        <w:drawing>
          <wp:inline distT="0" distB="0" distL="0" distR="0" wp14:anchorId="7EF70609" wp14:editId="65AF86F2">
            <wp:extent cx="5455920" cy="4126230"/>
            <wp:effectExtent l="0" t="0" r="11430" b="26670"/>
            <wp:docPr id="72" name="Graf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rsidR="00B55193" w:rsidRPr="008B53A9" w:rsidRDefault="00B55193" w:rsidP="005D178C">
      <w:pPr>
        <w:pStyle w:val="Titulek"/>
        <w:keepNext/>
        <w:numPr>
          <w:ilvl w:val="0"/>
          <w:numId w:val="86"/>
        </w:numPr>
        <w:spacing w:before="120"/>
        <w:rPr>
          <w:rFonts w:cs="Calibri"/>
        </w:rPr>
      </w:pPr>
      <w:r w:rsidRPr="008B53A9">
        <w:rPr>
          <w:rFonts w:cs="Calibri"/>
        </w:rPr>
        <w:lastRenderedPageBreak/>
        <w:t>Průměrná souhrnná doba trvání přerušení distribuce elektřiny u zákazníků v hodnoceném období (SAIDI)</w:t>
      </w:r>
    </w:p>
    <w:p w:rsidR="00B55193" w:rsidRPr="008B53A9" w:rsidRDefault="00E51C21" w:rsidP="00B55193">
      <w:pPr>
        <w:pStyle w:val="Standardntext"/>
        <w:jc w:val="center"/>
      </w:pPr>
      <w:r w:rsidRPr="008B53A9">
        <w:rPr>
          <w:noProof/>
          <w:lang w:val="cs-CZ" w:eastAsia="cs-CZ"/>
        </w:rPr>
        <w:drawing>
          <wp:inline distT="0" distB="0" distL="0" distR="0" wp14:anchorId="19D8DF89" wp14:editId="30045AA5">
            <wp:extent cx="5449570" cy="4154170"/>
            <wp:effectExtent l="0" t="0" r="17780" b="17780"/>
            <wp:docPr id="3" name="Graf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rsidR="00B55193" w:rsidRPr="008B53A9" w:rsidRDefault="00B55193" w:rsidP="00B55193">
      <w:pPr>
        <w:pStyle w:val="Standardntext"/>
        <w:spacing w:after="240"/>
      </w:pPr>
      <w:r w:rsidRPr="008B53A9">
        <w:t>Zdroj: Energetický regulační úřad ČR, Zpráva o dosažené úrovni nepřetržitosti přenosu nebo distribuce elektřiny za rok 2012; ČEZ Distribuce, a. s., Souhrnná zpráva za rok 2013</w:t>
      </w:r>
      <w:r w:rsidR="00282CE4" w:rsidRPr="008B53A9">
        <w:rPr>
          <w:rStyle w:val="Znakapoznpodarou"/>
        </w:rPr>
        <w:footnoteReference w:id="124"/>
      </w:r>
    </w:p>
    <w:p w:rsidR="00B55193" w:rsidRPr="008B53A9" w:rsidRDefault="00B55193" w:rsidP="00B55193">
      <w:pPr>
        <w:pStyle w:val="Standardntext"/>
        <w:spacing w:after="240"/>
      </w:pPr>
      <w:r w:rsidRPr="008B53A9">
        <w:t>Parametry přenosové soustavy v současné době již neodpovídají rychle se měnící situaci v elektroenergetice. Vedení a uzly v rámci přenosové soustavy jsou ohrožené přetížením v důsledku neplánovaných toků elektřiny z okolních států. Dalším problémem přenosové soustavy je zvyšující se spotřeba elektrické energie v lokalitách bez dostatečných výrobních kapacit, což koresponduje s očekávaným trendem ve všech vyspělých zemích. Posilováním transformací ve stávajících uzlech přenosové soustavy je možno dosáhnout navýšení transformačního výkonu, který v roce 2013 činil 21 680 MVA (mega voltampér).</w:t>
      </w:r>
    </w:p>
    <w:p w:rsidR="00B55193" w:rsidRPr="008B53A9" w:rsidRDefault="00B55193" w:rsidP="00B55193">
      <w:pPr>
        <w:pStyle w:val="Standardntext"/>
      </w:pPr>
      <w:r w:rsidRPr="008B53A9">
        <w:t xml:space="preserve">Slabinou inovačního prostředí pro oblast energetiky, která je jednou ze základních podmínek energetické konkurenceschopnosti v ČR, je nedostatečné využívání nízkouhlíkových technologií. Vyšší míra zavádění inovativních nízkouhlíkových technologií v ČR nemá dostatečnou prioritu a z pohledu firem jsou investice do těchto technologií příliš nákladné a rizikové oproti klasickým investicím do prosté obnovy či rozšíření výrobní produkce, která přináší z ekonomického hlediska krátkodoběji lepší výsledky. Při současném a očekávaném růstu cen energií a surovin bude však tento prvek vnitropodnikové strategie přirozeně nabývat na významu a stane se významným prvkem tržní soutěže, neboť nízkouhlíkové technologie </w:t>
      </w:r>
      <w:r w:rsidRPr="008B53A9">
        <w:lastRenderedPageBreak/>
        <w:t>snižují energetické a materiálové nároky na jednotku produkce, snižují případné poplatky za emise či odpady a otevírají nové příležitosti pro podnikání.</w:t>
      </w:r>
    </w:p>
    <w:p w:rsidR="00B55193" w:rsidRPr="008B53A9" w:rsidRDefault="00B55193" w:rsidP="00B55193">
      <w:pPr>
        <w:pStyle w:val="Standardntext"/>
      </w:pPr>
      <w:r w:rsidRPr="008B53A9">
        <w:t>Výše uvedené platí i pro oblast využívání druhotných energetických zdrojů. Průmysl druhotných surovin</w:t>
      </w:r>
      <w:r w:rsidRPr="008B53A9">
        <w:rPr>
          <w:rStyle w:val="Znakapoznpodarou"/>
          <w:vertAlign w:val="baseline"/>
        </w:rPr>
        <w:footnoteReference w:id="125"/>
      </w:r>
      <w:r w:rsidRPr="008B53A9">
        <w:t xml:space="preserve"> patří v České republice historicky mezi tradiční obory hospodářství. Vzhledem k nedostatečné surovinové základně ČR tvoří druhotné suroviny významnou část surovinové základny pro všechna odvětví průmyslové výroby v ČR. Druhotné suroviny šetří zdroje primárních surovin, které rovnocenně nahrazují, a zároveň usnadňují technologické procesy. Významným přínosem druhotných surovin je snížení energetické a materiálové náročnosti ve všech výrobních odvětvích. Jejich potřeba stále vzrůstá úměrně se zvyšujícími se environmentálními požadavky na průmysl. Druhotné suroviny také snižují emise z průmyslové činnosti a tím následně i imise. Produkce druhotných surovin byla v roce 2012 v ČR ve výši 20,8 mil. tun. Jednalo se především o vedlejší energetické produkty (57 %), které pocházejí z energetiky (popílky, struska, škvára). Dále byly vyprodukovány druhotné suroviny z železných a neželezných kovů (17 %) a ze stavebních hmot (17 %).</w:t>
      </w:r>
    </w:p>
    <w:p w:rsidR="00B55193" w:rsidRPr="008B53A9" w:rsidRDefault="00B55193" w:rsidP="00B55193">
      <w:pPr>
        <w:pStyle w:val="Titulek"/>
        <w:keepNext/>
        <w:keepLines/>
        <w:rPr>
          <w:rFonts w:cs="Calibri"/>
        </w:rPr>
      </w:pPr>
      <w:r w:rsidRPr="008B53A9">
        <w:rPr>
          <w:rFonts w:cs="Calibri"/>
        </w:rPr>
        <w:t>Obrázek 8: Produkce druhotných surovin v ČR (v tis. t), 2012</w:t>
      </w:r>
    </w:p>
    <w:p w:rsidR="00B55193" w:rsidRPr="008B53A9" w:rsidRDefault="00E51C21" w:rsidP="00B55193">
      <w:pPr>
        <w:pStyle w:val="Standardntext"/>
      </w:pPr>
      <w:r w:rsidRPr="008B53A9">
        <w:rPr>
          <w:noProof/>
          <w:lang w:val="cs-CZ" w:eastAsia="cs-CZ"/>
        </w:rPr>
        <w:drawing>
          <wp:inline distT="0" distB="0" distL="0" distR="0" wp14:anchorId="3216378C" wp14:editId="195DB3E7">
            <wp:extent cx="5593715" cy="3335020"/>
            <wp:effectExtent l="19050" t="19050" r="26035" b="17780"/>
            <wp:docPr id="2"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593715" cy="3335020"/>
                    </a:xfrm>
                    <a:prstGeom prst="rect">
                      <a:avLst/>
                    </a:prstGeom>
                    <a:noFill/>
                    <a:ln w="9525" cmpd="sng">
                      <a:solidFill>
                        <a:srgbClr val="000000"/>
                      </a:solidFill>
                      <a:miter lim="800000"/>
                      <a:headEnd/>
                      <a:tailEnd/>
                    </a:ln>
                    <a:effectLst/>
                  </pic:spPr>
                </pic:pic>
              </a:graphicData>
            </a:graphic>
          </wp:inline>
        </w:drawing>
      </w:r>
    </w:p>
    <w:p w:rsidR="00B55193" w:rsidRPr="008B53A9" w:rsidRDefault="00B55193" w:rsidP="00B55193">
      <w:pPr>
        <w:pStyle w:val="Standardntext"/>
        <w:spacing w:after="240"/>
      </w:pPr>
      <w:r w:rsidRPr="008B53A9">
        <w:t>Zdroj: ČSÚ</w:t>
      </w:r>
    </w:p>
    <w:p w:rsidR="00B55193" w:rsidRPr="008B53A9" w:rsidRDefault="00B55193" w:rsidP="00B55193">
      <w:pPr>
        <w:pStyle w:val="Standardntext"/>
        <w:spacing w:after="240"/>
      </w:pPr>
      <w:r w:rsidRPr="008B53A9">
        <w:t xml:space="preserve">Jak potvrzuje i graf výše, množstevně nejvýznamnější komoditou jsou vedlejší energetické produkty, kovy a hmoty ze stavebnictví. Z jiných výrobků po ukončení životnosti (např. odpadní elektrická a elektronická zařízení, odpadní baterie a akumulátory), jejichž produkované množství nebo roční materiálový potenciál je nižší, se však získávají velmi cenné suroviny tj. </w:t>
      </w:r>
      <w:r w:rsidRPr="008B53A9">
        <w:lastRenderedPageBreak/>
        <w:t xml:space="preserve">kovy, z nichž některé byly označeny Evropskou komisí za kritické (tzn., že jejich dostupnost klesá). Význam komodity druhotné suroviny tak určuje nejen produkované množství, ale též obsah látek v nich obsažených. Např. Elektrická a elektronická zařízení obsahují např. hliník, měď, slitiny mědi, cínu, oceli, ušlechtilé kovy, kovy vzácných zemin. Tato zařízení patří mezi zboží, které spotřebitelé často obměňují, a tím je zajištěn trvalý zdroj druhotných surovin. Nízké využití druhotných surovin jako vstupní suroviny pro další výrobu vykazují zejména komodity plasty (15 %), stavební hmoty (11 %) a produkty z energetických procesů (4 %). </w:t>
      </w:r>
    </w:p>
    <w:p w:rsidR="00B55193" w:rsidRPr="008B53A9" w:rsidRDefault="00B55193" w:rsidP="00B55193">
      <w:pPr>
        <w:pStyle w:val="Standardntext"/>
      </w:pPr>
      <w:r w:rsidRPr="008B53A9">
        <w:t>Česká republika má velmi rozvinutý sektor teplárenství, nicméně soustavy zásobování teplem byly budovány od 40. let 20. století převážně do konce 80. let 20. století. Parametry těchto soustav odpovídaly vnějším potřebám, které se po roce 1989 změnily. Rozvody dálkového vytápění jsou realizovány ze 45,3 % jako teplovodní, z 33,3 % jako horkovodní a z 21,4 % jako parní sítě. Parní sítě jsou historicky umístěny v oblastech s dodávkou technologické páry pro průmyslové podniky. Velký počet průmyslových podniků v rámci restrukturalizace průmyslu v 90. letech však zanikl a s tím i potřeba dodávek páry. V případech, kdy došlo k omezení či zrušení odběru technologické páry se tyto sítě mj. z provozně-technických důvodů rekonstruují na horkovodní či teplovodní systémy (včetně navazujících energetických zařízení) z důvodu snížení ztrát a zlepšení provozních parametrů soustavy. Obvyklé ztráty v parních rozvodech jsou indikovány Rozhodnutím ERÚ</w:t>
      </w:r>
      <w:r w:rsidRPr="008B53A9">
        <w:rPr>
          <w:rStyle w:val="Znakapoznpodarou"/>
        </w:rPr>
        <w:footnoteReference w:id="126"/>
      </w:r>
      <w:r w:rsidRPr="008B53A9">
        <w:t xml:space="preserve"> na 9 GJ/m/rok (skutečná hodnota ztrát může být vyšší). Ztráty v horkovodních rozvodech realizovaných předizolovaným potrubím jsou dle katalogů odborných firem</w:t>
      </w:r>
      <w:r w:rsidRPr="008B53A9">
        <w:rPr>
          <w:rStyle w:val="Znakapoznpodarou"/>
        </w:rPr>
        <w:footnoteReference w:id="127"/>
      </w:r>
      <w:r w:rsidRPr="008B53A9">
        <w:t xml:space="preserve"> 1,75 GJ/m/rok. Rekonstrukcí parních rozvodů na horkovodní rozvody by tak došlo k průměrně k úspoře 7,25 GJ/m/rok. Při rekonstrukci všech parních rozvodů určených k rekonstrukci</w:t>
      </w:r>
      <w:r w:rsidRPr="008B53A9">
        <w:rPr>
          <w:rStyle w:val="Znakapoznpodarou"/>
        </w:rPr>
        <w:footnoteReference w:id="128"/>
      </w:r>
      <w:r w:rsidRPr="008B53A9">
        <w:t xml:space="preserve"> by dle Teplárenského sdružení ČR došlo k úspoře primární energie ve výši 7,33 PJ/rok. Průměrná životnost opatření je 30 let, tzn. za dobu živostnosti úsporu 219 PJ primární energie. Z hlediska spotřeby primární energie bylo přitom </w:t>
      </w:r>
      <w:r w:rsidR="00574840" w:rsidRPr="008B53A9">
        <w:t xml:space="preserve">v sektoru průmyslu a služeb </w:t>
      </w:r>
      <w:r w:rsidRPr="008B53A9">
        <w:t>v roce 201</w:t>
      </w:r>
      <w:r w:rsidR="00574840" w:rsidRPr="008B53A9">
        <w:t>2</w:t>
      </w:r>
      <w:r w:rsidRPr="008B53A9">
        <w:t xml:space="preserve"> dosaženo hodnoty </w:t>
      </w:r>
      <w:r w:rsidR="00574840" w:rsidRPr="008B53A9">
        <w:t>380</w:t>
      </w:r>
      <w:r w:rsidRPr="008B53A9">
        <w:t xml:space="preserve"> PJ.</w:t>
      </w:r>
    </w:p>
    <w:p w:rsidR="00B55193" w:rsidRPr="008B53A9" w:rsidRDefault="00B55193" w:rsidP="00B55193">
      <w:pPr>
        <w:pStyle w:val="Standardntext"/>
      </w:pPr>
      <w:r w:rsidRPr="008B53A9">
        <w:t>Výroba elektřiny v ČR je spojena s vysokými ztrátami kolem 500 PJ energie ročně. Ztráty v této oblasti vznikají z fyzikální podstaty odvedením nízkokapacitního tepla do okolního prostředí. Současně je nevyužit v mnoha lokalitách potenciál kombinované výroby elektřiny a tepla (KVET), kde je poptávka po užitečném teple realizována výtopenským režimem. Jak dokládá graf níže, v oblasti kombinované výroby elektřiny a tepla se Česká republika pohybuje jen lehce nad průměrem EU-27</w:t>
      </w:r>
      <w:r w:rsidRPr="008B53A9">
        <w:rPr>
          <w:rStyle w:val="Znakapoznpodarou"/>
        </w:rPr>
        <w:footnoteReference w:id="129"/>
      </w:r>
      <w:r w:rsidRPr="008B53A9">
        <w:t xml:space="preserve">, ovšem oproti zemím s nejrozvinutější KVET dosahuje pouze třetinových či dokonce čtvrtinových výsledků. Rozvodná tepelná zařízení, která umožňují existenci a rozvoj kombinované výroby elektřiny a tepla již v některých případech nevyhovují současným technickým požadavkům na rozvod tepelné energie a docházím ke zvýšeným ztrátám energie. V některých případech bude nutno počítat s řízeným přechodem některých velkých soustav na větší množství menších systémů využívajících menší kogenerační jednotky. Investice do rekonstrukcí tepelných sítí přinášejí efekt snižování ztrát při zásobování energiemi, proto díky nim dochází k zefektivnění samotné výroby energií v rámci vysokoúčinné KVET a tím mj. ke snížení emisí skleníkových plynů a ostatních polutantů. Dle </w:t>
      </w:r>
      <w:r w:rsidRPr="008B53A9">
        <w:lastRenderedPageBreak/>
        <w:t>analýzy potenciálu kombinované výroby elektřiny a tepla</w:t>
      </w:r>
      <w:r w:rsidRPr="008B53A9">
        <w:rPr>
          <w:rStyle w:val="Znakapoznpodarou"/>
        </w:rPr>
        <w:footnoteReference w:id="130"/>
      </w:r>
      <w:r w:rsidRPr="008B53A9">
        <w:t xml:space="preserve"> je ekonomický potenciál rozvoje KVET ve středních zdrojích s instalovaným elektrickým výkonem 1 MW na úrovni 1 464 GWh k roku 2020. Po korekci tohoto potenciálu na současné podmínky (zejména vliv ekonomické krize, vliv zateplování, masivnější nárůst OZE než byl původní předpoklad atd.) lze korigovaný ekonomický potenciál KVET</w:t>
      </w:r>
      <w:r w:rsidRPr="008B53A9">
        <w:rPr>
          <w:rStyle w:val="Znakapoznpodarou"/>
        </w:rPr>
        <w:footnoteReference w:id="131"/>
      </w:r>
      <w:r w:rsidRPr="008B53A9">
        <w:t xml:space="preserve"> do roku 2020 předpokládat na úrovni 732 GWh (439 GWh průmyslové zdroje KVET, 293 GWh teplárenské zdroje KVET). Při naplnění tohoto potenciálu by dle Teplárenského sdružení ČR došlo k úspoře primární energie ve výši 3,87 PJ/rok. Průměrná životnost opatření je 15 let, tzn. za dobu živostnosti úsporu 58 PJ primární energie.</w:t>
      </w:r>
    </w:p>
    <w:p w:rsidR="00B55193" w:rsidRPr="008B53A9" w:rsidRDefault="00B55193" w:rsidP="00B55193">
      <w:pPr>
        <w:pStyle w:val="Titulek"/>
        <w:keepNext/>
        <w:keepLines/>
        <w:rPr>
          <w:rFonts w:cs="Calibri"/>
        </w:rPr>
      </w:pPr>
      <w:r w:rsidRPr="008B53A9">
        <w:rPr>
          <w:rFonts w:cs="Calibri"/>
        </w:rPr>
        <w:t>Obrázek 9: Využití kombinované výroby elektřiny a tepla v jednotlivých zemích EU-28 (v % z hrubé výroby elektřiny), 2011</w:t>
      </w:r>
    </w:p>
    <w:p w:rsidR="00B55193" w:rsidRPr="008B53A9" w:rsidRDefault="00E51C21" w:rsidP="00B55193">
      <w:r w:rsidRPr="008B53A9">
        <w:rPr>
          <w:noProof/>
        </w:rPr>
        <w:drawing>
          <wp:inline distT="0" distB="0" distL="0" distR="0" wp14:anchorId="3ACB67AE" wp14:editId="285551FC">
            <wp:extent cx="5655945" cy="3430905"/>
            <wp:effectExtent l="0" t="0" r="20955" b="17145"/>
            <wp:docPr id="1" name="Graf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B55193" w:rsidRPr="008B53A9" w:rsidRDefault="00B55193" w:rsidP="00B55193">
      <w:pPr>
        <w:pStyle w:val="Standardntext"/>
        <w:spacing w:after="240"/>
      </w:pPr>
      <w:r w:rsidRPr="008B53A9">
        <w:t>Zdroj: Eurostat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2016"/>
      </w:tblGrid>
      <w:tr w:rsidR="00B55193" w:rsidRPr="008B53A9">
        <w:tc>
          <w:tcPr>
            <w:tcW w:w="9212" w:type="dxa"/>
            <w:gridSpan w:val="2"/>
            <w:shd w:val="clear" w:color="auto" w:fill="95B3D7"/>
            <w:vAlign w:val="center"/>
          </w:tcPr>
          <w:p w:rsidR="00B55193" w:rsidRPr="008B53A9" w:rsidRDefault="00B55193" w:rsidP="00FC0044">
            <w:pPr>
              <w:pStyle w:val="Tabulka"/>
              <w:keepNext/>
              <w:keepLines/>
              <w:rPr>
                <w:rFonts w:ascii="Arial" w:hAnsi="Arial" w:cs="Arial"/>
                <w:b/>
                <w:color w:val="000000"/>
                <w:lang w:val="cs-CZ" w:eastAsia="cs-CZ"/>
              </w:rPr>
            </w:pPr>
            <w:r w:rsidRPr="008B53A9">
              <w:rPr>
                <w:rFonts w:cs="Calibri"/>
                <w:b/>
                <w:lang w:val="cs-CZ" w:eastAsia="cs-CZ"/>
              </w:rPr>
              <w:t>Hlavní identifikované problémy</w:t>
            </w:r>
          </w:p>
        </w:tc>
      </w:tr>
      <w:tr w:rsidR="00B55193" w:rsidRPr="008B53A9">
        <w:tc>
          <w:tcPr>
            <w:tcW w:w="9212" w:type="dxa"/>
            <w:gridSpan w:val="2"/>
          </w:tcPr>
          <w:p w:rsidR="00B55193" w:rsidRPr="008B53A9" w:rsidRDefault="00B55193" w:rsidP="005D178C">
            <w:pPr>
              <w:pStyle w:val="Tabulka"/>
              <w:keepNext/>
              <w:keepLines/>
              <w:numPr>
                <w:ilvl w:val="0"/>
                <w:numId w:val="83"/>
              </w:numPr>
              <w:jc w:val="left"/>
              <w:rPr>
                <w:rFonts w:cs="Calibri"/>
                <w:bCs/>
                <w:lang w:val="cs-CZ" w:eastAsia="cs-CZ"/>
              </w:rPr>
            </w:pPr>
            <w:r w:rsidRPr="008B53A9">
              <w:rPr>
                <w:rFonts w:cs="Calibri"/>
                <w:bCs/>
                <w:lang w:val="cs-CZ" w:eastAsia="cs-CZ"/>
              </w:rPr>
              <w:t>Očekávaný nárůst dovozní energetické závislosti</w:t>
            </w:r>
          </w:p>
        </w:tc>
      </w:tr>
      <w:tr w:rsidR="00B55193" w:rsidRPr="008B53A9">
        <w:tc>
          <w:tcPr>
            <w:tcW w:w="9212" w:type="dxa"/>
            <w:gridSpan w:val="2"/>
          </w:tcPr>
          <w:p w:rsidR="00B55193" w:rsidRPr="008B53A9" w:rsidRDefault="00B55193" w:rsidP="005D178C">
            <w:pPr>
              <w:pStyle w:val="Tabulka"/>
              <w:keepNext/>
              <w:keepLines/>
              <w:numPr>
                <w:ilvl w:val="0"/>
                <w:numId w:val="83"/>
              </w:numPr>
              <w:jc w:val="left"/>
              <w:rPr>
                <w:rFonts w:cs="Calibri"/>
                <w:bCs/>
                <w:lang w:val="cs-CZ" w:eastAsia="cs-CZ"/>
              </w:rPr>
            </w:pPr>
            <w:r w:rsidRPr="008B53A9">
              <w:rPr>
                <w:rFonts w:cs="Calibri"/>
                <w:bCs/>
                <w:lang w:val="cs-CZ" w:eastAsia="cs-CZ"/>
              </w:rPr>
              <w:t>Nedostatečné využitý potenciál pro využití OZE, včetně využití tepla / vzdálené kogenerace na stávajících bioplynových stanicích</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Přetrvávající vysoká energetická náročnost hospodářství</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Nedostatečná adaptace přenosových a distribučních sítí na změnu zdrojové základny v energetice a nárůst a změna charakteru odběrných míst - narůstající zátěž pro distribuci a přenos elektrické energie následně vede ke zvýšení ztrátovosti a snížení bezpečnosti dodávek</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Neefektivní využívání zdrojů a nevyhovující technologická řešení výroby</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lastRenderedPageBreak/>
              <w:t>Nízká míra využívání druhotných surovin</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Nedostatečně využitý potenciál kombinované výroby elektřiny a tepla</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Nedostatečně efektivní tepelně rozvodná zařízení (tepelné ztráty)</w:t>
            </w:r>
          </w:p>
        </w:tc>
      </w:tr>
      <w:tr w:rsidR="00B55193" w:rsidRPr="008B53A9">
        <w:tc>
          <w:tcPr>
            <w:tcW w:w="7196" w:type="dxa"/>
            <w:shd w:val="clear" w:color="auto" w:fill="B8CCE4"/>
            <w:vAlign w:val="center"/>
          </w:tcPr>
          <w:p w:rsidR="00B55193" w:rsidRPr="008B53A9" w:rsidRDefault="00B55193" w:rsidP="00B55193">
            <w:pPr>
              <w:pStyle w:val="Tabulka"/>
              <w:rPr>
                <w:rFonts w:cs="Calibri"/>
                <w:b/>
                <w:lang w:val="cs-CZ" w:eastAsia="cs-CZ"/>
              </w:rPr>
            </w:pPr>
            <w:r w:rsidRPr="008B53A9">
              <w:rPr>
                <w:rFonts w:cs="Calibri"/>
                <w:b/>
                <w:lang w:val="cs-CZ" w:eastAsia="cs-CZ"/>
              </w:rPr>
              <w:t>Hlavní příčiny</w:t>
            </w:r>
          </w:p>
        </w:tc>
        <w:tc>
          <w:tcPr>
            <w:tcW w:w="2016" w:type="dxa"/>
            <w:shd w:val="clear" w:color="auto" w:fill="B8CCE4"/>
            <w:vAlign w:val="center"/>
          </w:tcPr>
          <w:p w:rsidR="00B55193" w:rsidRPr="008B53A9" w:rsidRDefault="00B55193" w:rsidP="00B55193">
            <w:pPr>
              <w:pStyle w:val="Tabulka"/>
              <w:rPr>
                <w:rFonts w:cs="Calibri"/>
                <w:b/>
                <w:lang w:val="cs-CZ" w:eastAsia="cs-CZ"/>
              </w:rPr>
            </w:pPr>
            <w:r w:rsidRPr="008B53A9">
              <w:rPr>
                <w:rFonts w:cs="Calibri"/>
                <w:b/>
                <w:lang w:val="cs-CZ" w:eastAsia="cs-CZ"/>
              </w:rPr>
              <w:t>Řešení v rámci OP PIK</w:t>
            </w:r>
          </w:p>
        </w:tc>
      </w:tr>
      <w:tr w:rsidR="00B55193" w:rsidRPr="008B53A9">
        <w:tc>
          <w:tcPr>
            <w:tcW w:w="7196" w:type="dxa"/>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Nízká konkurenceschopnost OZE (daná vysokými náklady na zřízení zdrojů OZE) oproti konvenčním zdrojům</w:t>
            </w:r>
          </w:p>
        </w:tc>
        <w:tc>
          <w:tcPr>
            <w:tcW w:w="2016" w:type="dxa"/>
            <w:vAlign w:val="center"/>
          </w:tcPr>
          <w:p w:rsidR="00B55193" w:rsidRPr="008B53A9" w:rsidRDefault="00B55193" w:rsidP="00B55193">
            <w:pPr>
              <w:pStyle w:val="Tabulka"/>
              <w:rPr>
                <w:rFonts w:cs="Calibri"/>
                <w:lang w:val="cs-CZ" w:eastAsia="cs-CZ"/>
              </w:rPr>
            </w:pPr>
            <w:r w:rsidRPr="008B53A9">
              <w:rPr>
                <w:rFonts w:cs="Calibri"/>
                <w:lang w:val="cs-CZ" w:eastAsia="cs-CZ"/>
              </w:rPr>
              <w:t>IP 4 a)</w:t>
            </w:r>
          </w:p>
        </w:tc>
      </w:tr>
      <w:tr w:rsidR="00B55193" w:rsidRPr="008B53A9">
        <w:tc>
          <w:tcPr>
            <w:tcW w:w="7196" w:type="dxa"/>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Nedostatek finančních prostředků pro investice do úsporných projektů (vysoké vstupní náklady na realizaci projektů úspor ve všech oblastech)</w:t>
            </w:r>
          </w:p>
        </w:tc>
        <w:tc>
          <w:tcPr>
            <w:tcW w:w="2016" w:type="dxa"/>
            <w:vAlign w:val="center"/>
          </w:tcPr>
          <w:p w:rsidR="00B55193" w:rsidRPr="008B53A9" w:rsidRDefault="00B55193" w:rsidP="00B55193">
            <w:pPr>
              <w:pStyle w:val="Tabulka"/>
              <w:rPr>
                <w:rFonts w:cs="Calibri"/>
                <w:lang w:val="cs-CZ" w:eastAsia="cs-CZ"/>
              </w:rPr>
            </w:pPr>
            <w:r w:rsidRPr="008B53A9">
              <w:rPr>
                <w:rFonts w:cs="Calibri"/>
                <w:lang w:val="cs-CZ" w:eastAsia="cs-CZ"/>
              </w:rPr>
              <w:t>IP 4 b)</w:t>
            </w:r>
          </w:p>
        </w:tc>
      </w:tr>
      <w:tr w:rsidR="00B55193" w:rsidRPr="008B53A9">
        <w:tc>
          <w:tcPr>
            <w:tcW w:w="7196" w:type="dxa"/>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Nárůst spotřeby elektrické energie, připojování nových zdrojů rozptýlené výroby (OZE)</w:t>
            </w:r>
          </w:p>
        </w:tc>
        <w:tc>
          <w:tcPr>
            <w:tcW w:w="2016" w:type="dxa"/>
            <w:vAlign w:val="center"/>
          </w:tcPr>
          <w:p w:rsidR="00B55193" w:rsidRPr="008B53A9" w:rsidRDefault="00B55193" w:rsidP="00B55193">
            <w:pPr>
              <w:pStyle w:val="Tabulka"/>
              <w:rPr>
                <w:rFonts w:cs="Calibri"/>
                <w:lang w:val="cs-CZ" w:eastAsia="cs-CZ"/>
              </w:rPr>
            </w:pPr>
            <w:r w:rsidRPr="008B53A9">
              <w:rPr>
                <w:rFonts w:cs="Calibri"/>
                <w:lang w:val="cs-CZ" w:eastAsia="cs-CZ"/>
              </w:rPr>
              <w:t>IP 4 d)</w:t>
            </w:r>
          </w:p>
          <w:p w:rsidR="00B55193" w:rsidRPr="008B53A9" w:rsidRDefault="00B55193" w:rsidP="00B55193">
            <w:pPr>
              <w:pStyle w:val="Tabulka"/>
              <w:rPr>
                <w:rFonts w:cs="Calibri"/>
                <w:lang w:val="cs-CZ" w:eastAsia="cs-CZ"/>
              </w:rPr>
            </w:pPr>
            <w:r w:rsidRPr="008B53A9">
              <w:rPr>
                <w:rFonts w:cs="Calibri"/>
                <w:lang w:val="cs-CZ" w:eastAsia="cs-CZ"/>
              </w:rPr>
              <w:t>IP 7 e)</w:t>
            </w:r>
          </w:p>
        </w:tc>
      </w:tr>
      <w:tr w:rsidR="00B55193" w:rsidRPr="008B53A9">
        <w:tc>
          <w:tcPr>
            <w:tcW w:w="7196" w:type="dxa"/>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Nízký zájem firem v ČR realizovat riskantní a finančně náročné projekty v podobě zavádění nízkouhlíkových technologií v oblasti nakládání energií a při využívání druhotných surovin</w:t>
            </w:r>
          </w:p>
        </w:tc>
        <w:tc>
          <w:tcPr>
            <w:tcW w:w="2016" w:type="dxa"/>
            <w:vAlign w:val="center"/>
          </w:tcPr>
          <w:p w:rsidR="00B55193" w:rsidRPr="008B53A9" w:rsidRDefault="00B55193" w:rsidP="00B55193">
            <w:pPr>
              <w:pStyle w:val="Tabulka"/>
              <w:rPr>
                <w:rFonts w:cs="Calibri"/>
                <w:lang w:val="cs-CZ" w:eastAsia="cs-CZ"/>
              </w:rPr>
            </w:pPr>
            <w:r w:rsidRPr="008B53A9">
              <w:rPr>
                <w:rFonts w:cs="Calibri"/>
                <w:lang w:val="cs-CZ" w:eastAsia="cs-CZ"/>
              </w:rPr>
              <w:t>IP 4 f)</w:t>
            </w:r>
          </w:p>
        </w:tc>
      </w:tr>
      <w:tr w:rsidR="00B55193" w:rsidRPr="008B53A9">
        <w:tc>
          <w:tcPr>
            <w:tcW w:w="7196" w:type="dxa"/>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Technické zaostávání tepelně rozvodných zařízení (restrukturalizace průmyslu v 90. letech, nedostatečné tepelně izolačními parametry, naddimenzování soustav a teploty provozního média)</w:t>
            </w:r>
          </w:p>
        </w:tc>
        <w:tc>
          <w:tcPr>
            <w:tcW w:w="2016" w:type="dxa"/>
            <w:vAlign w:val="center"/>
          </w:tcPr>
          <w:p w:rsidR="00B55193" w:rsidRPr="008B53A9" w:rsidRDefault="00B55193" w:rsidP="00B55193">
            <w:pPr>
              <w:pStyle w:val="Tabulka"/>
              <w:rPr>
                <w:rFonts w:cs="Calibri"/>
                <w:lang w:val="cs-CZ" w:eastAsia="cs-CZ"/>
              </w:rPr>
            </w:pPr>
            <w:r w:rsidRPr="008B53A9">
              <w:rPr>
                <w:rFonts w:cs="Calibri"/>
                <w:lang w:val="cs-CZ" w:eastAsia="cs-CZ"/>
              </w:rPr>
              <w:t>IP 4 g)</w:t>
            </w:r>
          </w:p>
        </w:tc>
      </w:tr>
      <w:tr w:rsidR="00B55193" w:rsidRPr="008B53A9">
        <w:tc>
          <w:tcPr>
            <w:tcW w:w="7196" w:type="dxa"/>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Nízká motivace podnikatelského sektoru v oblasti vyššího využívání KVET s ohledem na finanční možnosti podniků</w:t>
            </w:r>
          </w:p>
        </w:tc>
        <w:tc>
          <w:tcPr>
            <w:tcW w:w="2016" w:type="dxa"/>
            <w:vAlign w:val="center"/>
          </w:tcPr>
          <w:p w:rsidR="00B55193" w:rsidRPr="008B53A9" w:rsidRDefault="00B55193" w:rsidP="00B55193">
            <w:pPr>
              <w:pStyle w:val="Tabulka"/>
              <w:rPr>
                <w:rFonts w:cs="Calibri"/>
                <w:lang w:val="cs-CZ" w:eastAsia="cs-CZ"/>
              </w:rPr>
            </w:pPr>
            <w:r w:rsidRPr="008B53A9">
              <w:rPr>
                <w:rFonts w:cs="Calibri"/>
                <w:lang w:val="cs-CZ" w:eastAsia="cs-CZ"/>
              </w:rPr>
              <w:t>IP 4 g)</w:t>
            </w:r>
          </w:p>
        </w:tc>
      </w:tr>
      <w:tr w:rsidR="00B55193" w:rsidRPr="008B53A9">
        <w:tc>
          <w:tcPr>
            <w:tcW w:w="7196" w:type="dxa"/>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Neplánované přetoky elektrické energie z okolních států</w:t>
            </w:r>
          </w:p>
        </w:tc>
        <w:tc>
          <w:tcPr>
            <w:tcW w:w="2016" w:type="dxa"/>
            <w:vAlign w:val="center"/>
          </w:tcPr>
          <w:p w:rsidR="00B55193" w:rsidRPr="008B53A9" w:rsidRDefault="00B55193" w:rsidP="00B55193">
            <w:pPr>
              <w:pStyle w:val="Tabulka"/>
              <w:rPr>
                <w:rFonts w:cs="Calibri"/>
                <w:lang w:val="cs-CZ" w:eastAsia="cs-CZ"/>
              </w:rPr>
            </w:pPr>
            <w:r w:rsidRPr="008B53A9">
              <w:rPr>
                <w:rFonts w:cs="Calibri"/>
                <w:lang w:val="cs-CZ" w:eastAsia="cs-CZ"/>
              </w:rPr>
              <w:t>IP 7 e)</w:t>
            </w:r>
          </w:p>
        </w:tc>
      </w:tr>
      <w:tr w:rsidR="00B55193" w:rsidRPr="008B53A9">
        <w:tc>
          <w:tcPr>
            <w:tcW w:w="9212" w:type="dxa"/>
            <w:gridSpan w:val="2"/>
            <w:shd w:val="clear" w:color="auto" w:fill="DBE5F1"/>
          </w:tcPr>
          <w:p w:rsidR="00B55193" w:rsidRPr="008B53A9" w:rsidRDefault="00B55193" w:rsidP="00B55193">
            <w:pPr>
              <w:pStyle w:val="Tabulka"/>
              <w:rPr>
                <w:rFonts w:cs="Calibri"/>
                <w:b/>
                <w:lang w:val="cs-CZ" w:eastAsia="cs-CZ"/>
              </w:rPr>
            </w:pPr>
            <w:r w:rsidRPr="008B53A9">
              <w:rPr>
                <w:rFonts w:cs="Calibri"/>
                <w:b/>
                <w:lang w:val="cs-CZ" w:eastAsia="cs-CZ"/>
              </w:rPr>
              <w:t>Externí faktory, příp. další nezbytná opatření realizovaná mimo OP PIK</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Případná změna energetické politiky v ČR</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Zákonná podpora výkupních cen energie v případě OZE</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Nedostatek znalostí v oblasti efektivního využívání energie</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Implementace opatření v oblasti úspor energie zejména v IROP a OP ŽP pro dosažení synergického efektu</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Možné zhoršení situace energetické soustavy v souvislosti s neplánovanými toky elektřiny ze zahraničí</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Legislativní podpora státu v oblasti využití druhotných surovin</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Úprava legislativy ve smyslu snahy o snížení spotřeby primárních paliv</w:t>
            </w:r>
          </w:p>
        </w:tc>
      </w:tr>
      <w:tr w:rsidR="00B55193" w:rsidRPr="008B53A9">
        <w:tc>
          <w:tcPr>
            <w:tcW w:w="9212" w:type="dxa"/>
            <w:gridSpan w:val="2"/>
          </w:tcPr>
          <w:p w:rsidR="00B55193" w:rsidRPr="008B53A9" w:rsidRDefault="00B55193" w:rsidP="005D178C">
            <w:pPr>
              <w:pStyle w:val="Tabulka"/>
              <w:numPr>
                <w:ilvl w:val="0"/>
                <w:numId w:val="83"/>
              </w:numPr>
              <w:jc w:val="left"/>
              <w:rPr>
                <w:rFonts w:cs="Calibri"/>
                <w:bCs/>
                <w:lang w:val="cs-CZ" w:eastAsia="cs-CZ"/>
              </w:rPr>
            </w:pPr>
            <w:r w:rsidRPr="008B53A9">
              <w:rPr>
                <w:rFonts w:cs="Calibri"/>
                <w:bCs/>
                <w:lang w:val="cs-CZ" w:eastAsia="cs-CZ"/>
              </w:rPr>
              <w:t>Podpora přenosových sítí v rámci nástroje CEF, který je však určen na přeshraniční vedení</w:t>
            </w:r>
          </w:p>
        </w:tc>
      </w:tr>
    </w:tbl>
    <w:p w:rsidR="005B16F0" w:rsidRPr="008B53A9" w:rsidRDefault="005B16F0">
      <w:pPr>
        <w:overflowPunct/>
        <w:autoSpaceDE/>
        <w:autoSpaceDN/>
        <w:adjustRightInd/>
        <w:textAlignment w:val="auto"/>
        <w:rPr>
          <w:rFonts w:ascii="Calibri" w:hAnsi="Calibri" w:cs="Calibri"/>
          <w:b/>
          <w:bCs/>
          <w:iCs/>
          <w:sz w:val="26"/>
          <w:szCs w:val="28"/>
        </w:rPr>
      </w:pPr>
    </w:p>
    <w:p w:rsidR="00B55193" w:rsidRPr="008B53A9" w:rsidRDefault="00B55193">
      <w:pPr>
        <w:overflowPunct/>
        <w:autoSpaceDE/>
        <w:autoSpaceDN/>
        <w:adjustRightInd/>
        <w:textAlignment w:val="auto"/>
        <w:rPr>
          <w:rFonts w:ascii="Calibri" w:hAnsi="Calibri" w:cs="Calibri"/>
          <w:b/>
          <w:bCs/>
          <w:iCs/>
          <w:sz w:val="26"/>
          <w:szCs w:val="28"/>
        </w:rPr>
      </w:pPr>
      <w:r w:rsidRPr="008B53A9">
        <w:rPr>
          <w:rFonts w:cs="Calibri"/>
        </w:rPr>
        <w:br w:type="page"/>
      </w:r>
    </w:p>
    <w:p w:rsidR="00D66D7F" w:rsidRPr="008B53A9" w:rsidRDefault="004D0D1E" w:rsidP="00EB6A8A">
      <w:pPr>
        <w:pStyle w:val="Nadpis2"/>
        <w:numPr>
          <w:ilvl w:val="0"/>
          <w:numId w:val="0"/>
        </w:numPr>
        <w:spacing w:after="360"/>
        <w:ind w:left="578" w:hanging="578"/>
      </w:pPr>
      <w:bookmarkStart w:id="152" w:name="_Toc391539707"/>
      <w:r w:rsidRPr="008B53A9">
        <w:rPr>
          <w:rFonts w:cs="Calibri"/>
        </w:rPr>
        <w:lastRenderedPageBreak/>
        <w:t>Nepovinná p</w:t>
      </w:r>
      <w:r w:rsidR="00D66D7F" w:rsidRPr="008B53A9">
        <w:rPr>
          <w:rFonts w:cs="Calibri"/>
        </w:rPr>
        <w:t xml:space="preserve">říloha č. </w:t>
      </w:r>
      <w:r w:rsidR="00811581" w:rsidRPr="008B53A9">
        <w:rPr>
          <w:rFonts w:cs="Calibri"/>
        </w:rPr>
        <w:t>3</w:t>
      </w:r>
      <w:r w:rsidR="00D66D7F" w:rsidRPr="008B53A9">
        <w:rPr>
          <w:rFonts w:cs="Calibri"/>
        </w:rPr>
        <w:t>:</w:t>
      </w:r>
      <w:r w:rsidR="00D66D7F" w:rsidRPr="008B53A9">
        <w:t xml:space="preserve"> </w:t>
      </w:r>
      <w:r w:rsidR="004E5B78" w:rsidRPr="008B53A9">
        <w:t>Základní principy monitorování a vyhodnocování OP PIK</w:t>
      </w:r>
      <w:bookmarkEnd w:id="152"/>
    </w:p>
    <w:p w:rsidR="004E5B78" w:rsidRPr="008B53A9" w:rsidRDefault="004E5B78" w:rsidP="005D178C">
      <w:pPr>
        <w:pStyle w:val="Standardntext"/>
        <w:numPr>
          <w:ilvl w:val="0"/>
          <w:numId w:val="87"/>
        </w:numPr>
        <w:ind w:left="714" w:hanging="357"/>
        <w:rPr>
          <w:b/>
          <w:szCs w:val="22"/>
        </w:rPr>
      </w:pPr>
      <w:r w:rsidRPr="008B53A9">
        <w:rPr>
          <w:b/>
          <w:szCs w:val="22"/>
        </w:rPr>
        <w:t>Východiska</w:t>
      </w:r>
    </w:p>
    <w:p w:rsidR="004E5B78" w:rsidRPr="008B53A9" w:rsidRDefault="004E5B78" w:rsidP="004E5B78">
      <w:pPr>
        <w:pStyle w:val="Standardntext"/>
        <w:rPr>
          <w:szCs w:val="22"/>
        </w:rPr>
      </w:pPr>
      <w:r w:rsidRPr="008B53A9">
        <w:rPr>
          <w:szCs w:val="22"/>
        </w:rPr>
        <w:t>Principy monitorování a vyhodnocování realizace OP PIK v programovacím období 2014-2020 vycházejí zejména z:</w:t>
      </w:r>
    </w:p>
    <w:p w:rsidR="004E5B78" w:rsidRPr="008B53A9" w:rsidRDefault="004E5B78" w:rsidP="005D178C">
      <w:pPr>
        <w:pStyle w:val="Standardntext"/>
        <w:numPr>
          <w:ilvl w:val="0"/>
          <w:numId w:val="88"/>
        </w:numPr>
        <w:rPr>
          <w:b/>
          <w:szCs w:val="22"/>
        </w:rPr>
      </w:pPr>
      <w:r w:rsidRPr="008B53A9">
        <w:rPr>
          <w:b/>
          <w:szCs w:val="22"/>
        </w:rPr>
        <w:t>hlavních doporučení EK pro oblast monitoringu a evaluací formulovaných v příslušných metodických dokumentech</w:t>
      </w:r>
      <w:r w:rsidRPr="008B53A9">
        <w:rPr>
          <w:rStyle w:val="Znakapoznpodarou"/>
          <w:b/>
          <w:szCs w:val="22"/>
        </w:rPr>
        <w:footnoteReference w:id="132"/>
      </w:r>
    </w:p>
    <w:p w:rsidR="004E5B78" w:rsidRPr="008B53A9" w:rsidRDefault="004E5B78" w:rsidP="00FC0044">
      <w:pPr>
        <w:pStyle w:val="Standardntext"/>
      </w:pPr>
      <w:r w:rsidRPr="008B53A9">
        <w:t xml:space="preserve">Programovací období 2014-2020 přináší některé významné změny v přístupech k monitoringu a vyhodnocování kohezní politiky. </w:t>
      </w:r>
      <w:r w:rsidRPr="008B53A9">
        <w:rPr>
          <w:rStyle w:val="longtext"/>
        </w:rPr>
        <w:t>Nejdůležitější z nich je větší důraz na cílenost této politiky s tím, že větší pozornost by měla být věnována výsledkům namísto absorpce finančních zdrojů. Druhým významným prvkem je snaha o jasnější a jednoznačnější odlišení monitoringu od evaluací a větší důraz na hodnocení výsledků kohezní politiky prostřednictvím vhodně zvolených evaluačních metod.</w:t>
      </w:r>
    </w:p>
    <w:p w:rsidR="004E5B78" w:rsidRPr="008B53A9" w:rsidRDefault="004E5B78" w:rsidP="005D178C">
      <w:pPr>
        <w:pStyle w:val="Standardntext"/>
        <w:numPr>
          <w:ilvl w:val="0"/>
          <w:numId w:val="88"/>
        </w:numPr>
        <w:rPr>
          <w:b/>
          <w:szCs w:val="22"/>
        </w:rPr>
      </w:pPr>
      <w:r w:rsidRPr="008B53A9">
        <w:rPr>
          <w:b/>
          <w:szCs w:val="22"/>
        </w:rPr>
        <w:t>zkušeností získaných při implementaci OPPI v programovacím období 2007-2013</w:t>
      </w:r>
    </w:p>
    <w:p w:rsidR="004E5B78" w:rsidRPr="008B53A9" w:rsidRDefault="004E5B78" w:rsidP="005A5DEE">
      <w:pPr>
        <w:pStyle w:val="Standardntext"/>
      </w:pPr>
      <w:r w:rsidRPr="008B53A9">
        <w:t>Programovací období 2007 – 2013 bylo spojováno s nadbytečným množstvím indikátorů na projektové úrovni a příjemci tak shromažďovali množství dat pro účely dalšího zpracování. Ř</w:t>
      </w:r>
      <w:r w:rsidR="0070166B" w:rsidRPr="008B53A9">
        <w:rPr>
          <w:lang w:val="cs-CZ"/>
        </w:rPr>
        <w:t xml:space="preserve">ídící orgán </w:t>
      </w:r>
      <w:r w:rsidRPr="008B53A9">
        <w:t>reagoval na tyto a další podněty a nechal si ve spolupráci s odborníky v dané oblasti zpracovat evaluaci</w:t>
      </w:r>
      <w:r w:rsidRPr="008B53A9">
        <w:rPr>
          <w:rStyle w:val="Znakapoznpodarou"/>
        </w:rPr>
        <w:footnoteReference w:id="133"/>
      </w:r>
      <w:r w:rsidRPr="008B53A9">
        <w:rPr>
          <w:vertAlign w:val="superscript"/>
        </w:rPr>
        <w:t>,</w:t>
      </w:r>
      <w:r w:rsidRPr="008B53A9">
        <w:t xml:space="preserve"> jejíž výstupy, pokud to bylo možné, implementoval. Ve věcném monitoringu se identifikovaly zejména nadbytečné indikátory, nevhodné pro další monitoring. Při konstrukci indikátorové soustavy OP PIK 2014 – 2020 řídící orgán uvedená doporučení zohlednil.</w:t>
      </w:r>
    </w:p>
    <w:p w:rsidR="005A5DEE" w:rsidRPr="008B53A9" w:rsidRDefault="005A5DEE" w:rsidP="005A5DEE">
      <w:pPr>
        <w:pStyle w:val="Standardntext"/>
      </w:pPr>
    </w:p>
    <w:p w:rsidR="004E5B78" w:rsidRPr="008B53A9" w:rsidRDefault="004E5B78" w:rsidP="005D178C">
      <w:pPr>
        <w:pStyle w:val="Standardntext"/>
        <w:numPr>
          <w:ilvl w:val="0"/>
          <w:numId w:val="87"/>
        </w:numPr>
        <w:ind w:left="714" w:hanging="357"/>
        <w:rPr>
          <w:b/>
          <w:szCs w:val="22"/>
        </w:rPr>
      </w:pPr>
      <w:r w:rsidRPr="008B53A9">
        <w:rPr>
          <w:b/>
          <w:szCs w:val="22"/>
        </w:rPr>
        <w:t>Základní principy monitorování OP PIK</w:t>
      </w:r>
    </w:p>
    <w:p w:rsidR="004E5B78" w:rsidRPr="008B53A9" w:rsidRDefault="004E5B78" w:rsidP="004E5B78">
      <w:pPr>
        <w:pStyle w:val="Standardntext"/>
        <w:rPr>
          <w:szCs w:val="22"/>
        </w:rPr>
      </w:pPr>
      <w:r w:rsidRPr="008B53A9">
        <w:rPr>
          <w:szCs w:val="22"/>
        </w:rPr>
        <w:t>Východiskem pro nastavení systému monitorování OP PIK je intervenční logika programu, která na základě situační analýzy a identifikace problémů/potřeb a jejich příčin vymezuje strategii programu a definuje jednotlivé specifické cíle. Při jejich formulaci bylo snahou řídícího orgánu uplatnit následující hlavní principy:</w:t>
      </w:r>
    </w:p>
    <w:p w:rsidR="004E5B78" w:rsidRPr="008B53A9" w:rsidRDefault="004E5B78" w:rsidP="005D178C">
      <w:pPr>
        <w:pStyle w:val="Standardntext"/>
        <w:numPr>
          <w:ilvl w:val="0"/>
          <w:numId w:val="89"/>
        </w:numPr>
        <w:rPr>
          <w:szCs w:val="22"/>
        </w:rPr>
      </w:pPr>
      <w:r w:rsidRPr="008B53A9">
        <w:rPr>
          <w:szCs w:val="22"/>
        </w:rPr>
        <w:t>specifický cíl popisuje změnu včetně jejího směru, kterou chce ČR dosáhnout,</w:t>
      </w:r>
    </w:p>
    <w:p w:rsidR="004E5B78" w:rsidRPr="008B53A9" w:rsidRDefault="004E5B78" w:rsidP="005D178C">
      <w:pPr>
        <w:pStyle w:val="Standardntext"/>
        <w:numPr>
          <w:ilvl w:val="0"/>
          <w:numId w:val="89"/>
        </w:numPr>
        <w:rPr>
          <w:szCs w:val="22"/>
        </w:rPr>
      </w:pPr>
      <w:r w:rsidRPr="008B53A9">
        <w:rPr>
          <w:szCs w:val="22"/>
        </w:rPr>
        <w:t>specifický cíl reflektuje národní/regionální kontext,</w:t>
      </w:r>
    </w:p>
    <w:p w:rsidR="004E5B78" w:rsidRPr="008B53A9" w:rsidRDefault="004E5B78" w:rsidP="005D178C">
      <w:pPr>
        <w:pStyle w:val="Standardntext"/>
        <w:numPr>
          <w:ilvl w:val="0"/>
          <w:numId w:val="89"/>
        </w:numPr>
        <w:rPr>
          <w:szCs w:val="22"/>
        </w:rPr>
      </w:pPr>
      <w:r w:rsidRPr="008B53A9">
        <w:rPr>
          <w:szCs w:val="22"/>
        </w:rPr>
        <w:t>specifický cíl je přesněji vymezený než investiční priorita,</w:t>
      </w:r>
    </w:p>
    <w:p w:rsidR="004E5B78" w:rsidRPr="008B53A9" w:rsidRDefault="004E5B78" w:rsidP="005D178C">
      <w:pPr>
        <w:pStyle w:val="Standardntext"/>
        <w:numPr>
          <w:ilvl w:val="0"/>
          <w:numId w:val="89"/>
        </w:numPr>
        <w:rPr>
          <w:szCs w:val="22"/>
        </w:rPr>
      </w:pPr>
      <w:r w:rsidRPr="008B53A9">
        <w:rPr>
          <w:szCs w:val="22"/>
        </w:rPr>
        <w:t>specifický cíl by neměl v názvu obsahovat podporované aktivity ani kvantifikované hodnoty,</w:t>
      </w:r>
    </w:p>
    <w:p w:rsidR="004E5B78" w:rsidRPr="008B53A9" w:rsidRDefault="004E5B78" w:rsidP="005D178C">
      <w:pPr>
        <w:pStyle w:val="Standardntext"/>
        <w:numPr>
          <w:ilvl w:val="0"/>
          <w:numId w:val="89"/>
        </w:numPr>
        <w:rPr>
          <w:szCs w:val="22"/>
        </w:rPr>
      </w:pPr>
      <w:r w:rsidRPr="008B53A9">
        <w:rPr>
          <w:szCs w:val="22"/>
        </w:rPr>
        <w:t>typy aktivit v rámci dané investiční priority mají přispět k dosažení specifického cíle.</w:t>
      </w:r>
    </w:p>
    <w:p w:rsidR="004E5B78" w:rsidRPr="008B53A9" w:rsidRDefault="004E5B78" w:rsidP="004E5B78">
      <w:pPr>
        <w:pStyle w:val="Standardntext"/>
        <w:rPr>
          <w:szCs w:val="22"/>
        </w:rPr>
      </w:pPr>
      <w:r w:rsidRPr="008B53A9">
        <w:rPr>
          <w:szCs w:val="22"/>
        </w:rPr>
        <w:t>Pro účely monitorování OP PIK byl navržen integrovaný set ukazatelů (společných a specifických), které jsou navzájem logicky provázané a zároveň:</w:t>
      </w:r>
    </w:p>
    <w:p w:rsidR="004E5B78" w:rsidRPr="008B53A9" w:rsidRDefault="004E5B78" w:rsidP="005D178C">
      <w:pPr>
        <w:pStyle w:val="Standardntext"/>
        <w:numPr>
          <w:ilvl w:val="0"/>
          <w:numId w:val="89"/>
        </w:numPr>
        <w:rPr>
          <w:szCs w:val="22"/>
        </w:rPr>
      </w:pPr>
      <w:r w:rsidRPr="008B53A9">
        <w:rPr>
          <w:szCs w:val="22"/>
        </w:rPr>
        <w:lastRenderedPageBreak/>
        <w:t>pokrývají nejdůležitější části/rozsah prioritních os,</w:t>
      </w:r>
    </w:p>
    <w:p w:rsidR="004E5B78" w:rsidRPr="008B53A9" w:rsidRDefault="004E5B78" w:rsidP="005D178C">
      <w:pPr>
        <w:pStyle w:val="Standardntext"/>
        <w:numPr>
          <w:ilvl w:val="0"/>
          <w:numId w:val="89"/>
        </w:numPr>
        <w:rPr>
          <w:szCs w:val="22"/>
        </w:rPr>
      </w:pPr>
      <w:r w:rsidRPr="008B53A9">
        <w:rPr>
          <w:szCs w:val="22"/>
        </w:rPr>
        <w:t>jsou v rámci možností jednoduché,</w:t>
      </w:r>
    </w:p>
    <w:p w:rsidR="004E5B78" w:rsidRPr="008B53A9" w:rsidRDefault="004E5B78" w:rsidP="005D178C">
      <w:pPr>
        <w:pStyle w:val="Standardntext"/>
        <w:numPr>
          <w:ilvl w:val="0"/>
          <w:numId w:val="89"/>
        </w:numPr>
        <w:rPr>
          <w:szCs w:val="22"/>
        </w:rPr>
      </w:pPr>
      <w:r w:rsidRPr="008B53A9">
        <w:rPr>
          <w:szCs w:val="22"/>
        </w:rPr>
        <w:t>kladou důraz na výsledky intervencí,</w:t>
      </w:r>
    </w:p>
    <w:p w:rsidR="004E5B78" w:rsidRPr="008B53A9" w:rsidRDefault="004E5B78" w:rsidP="005D178C">
      <w:pPr>
        <w:pStyle w:val="Standardntext"/>
        <w:numPr>
          <w:ilvl w:val="0"/>
          <w:numId w:val="89"/>
        </w:numPr>
        <w:rPr>
          <w:szCs w:val="22"/>
        </w:rPr>
      </w:pPr>
      <w:r w:rsidRPr="008B53A9">
        <w:rPr>
          <w:szCs w:val="22"/>
        </w:rPr>
        <w:t>výsledkové ukazatele měří změnu situace (regionu, sektoru), ne pouze příjemců podpory,</w:t>
      </w:r>
    </w:p>
    <w:p w:rsidR="004E5B78" w:rsidRPr="008B53A9" w:rsidRDefault="004E5B78" w:rsidP="005D178C">
      <w:pPr>
        <w:pStyle w:val="Standardntext"/>
        <w:numPr>
          <w:ilvl w:val="0"/>
          <w:numId w:val="89"/>
        </w:numPr>
        <w:rPr>
          <w:szCs w:val="22"/>
        </w:rPr>
      </w:pPr>
      <w:r w:rsidRPr="008B53A9">
        <w:rPr>
          <w:szCs w:val="22"/>
        </w:rPr>
        <w:t xml:space="preserve">výstupové ukazatele měří přímé výstupy/produkty realizovaných aktivit. </w:t>
      </w:r>
    </w:p>
    <w:p w:rsidR="004E5B78" w:rsidRPr="008B53A9" w:rsidRDefault="004E5B78" w:rsidP="004E5B78">
      <w:pPr>
        <w:pStyle w:val="Standardntext"/>
        <w:rPr>
          <w:szCs w:val="22"/>
        </w:rPr>
      </w:pPr>
      <w:r w:rsidRPr="008B53A9">
        <w:rPr>
          <w:szCs w:val="22"/>
        </w:rPr>
        <w:t xml:space="preserve">Při formulování výsledků OP PIK a stanovování výsledkových ukazatelů vycházel řídící orgán z předpokladu, že zamýšlený výsledek/změna může být ovlivněn celou řadou různých faktorů. Proto bylo snahou řídícího orgánu v rámci formulování intervenční logiky programu nejprve všechny tyto faktory identifikovat a následně vybrat ty, které budou předmětem intervencí OP PIK. </w:t>
      </w:r>
    </w:p>
    <w:p w:rsidR="004E5B78" w:rsidRPr="008B53A9" w:rsidRDefault="004E5B78" w:rsidP="004E5B78">
      <w:pPr>
        <w:pStyle w:val="Standardntext"/>
        <w:rPr>
          <w:szCs w:val="22"/>
        </w:rPr>
      </w:pPr>
      <w:r w:rsidRPr="008B53A9">
        <w:rPr>
          <w:szCs w:val="22"/>
        </w:rPr>
        <w:t>Výběr výsledkových ukazatelů pro jednotlivé specifické cíle OP PIK vycházel z obecných požadavků na tento typ ukazatelů a použité ukazatele zároveň v maximální možné míře zohledňují možnosti relevantních informačních zdrojů (Český statistický úřad, resortní statistiky, Eurostat aj.).</w:t>
      </w:r>
    </w:p>
    <w:p w:rsidR="004E5B78" w:rsidRPr="008B53A9" w:rsidRDefault="004E5B78" w:rsidP="004E5B78">
      <w:pPr>
        <w:pStyle w:val="Standardntext"/>
        <w:rPr>
          <w:szCs w:val="22"/>
        </w:rPr>
      </w:pPr>
      <w:r w:rsidRPr="008B53A9">
        <w:rPr>
          <w:szCs w:val="22"/>
        </w:rPr>
        <w:t xml:space="preserve">Výstupové ukazatele jsou nastaveny v souladu s metodickými požadavky a doporučením tak, aby podávaly informace o konkrétních výstupech jednotlivých akcí/projektů v rámci operačního programu; jsou vyjádřeny ve fyzikálních nebo peněžních jednotkách. </w:t>
      </w:r>
    </w:p>
    <w:p w:rsidR="004E5B78" w:rsidRPr="008B53A9" w:rsidRDefault="004E5B78" w:rsidP="00EB6A8A">
      <w:pPr>
        <w:pStyle w:val="Standardntext"/>
        <w:spacing w:after="240"/>
        <w:rPr>
          <w:b/>
          <w:szCs w:val="22"/>
        </w:rPr>
      </w:pPr>
      <w:r w:rsidRPr="008B53A9">
        <w:rPr>
          <w:b/>
          <w:szCs w:val="22"/>
        </w:rPr>
        <w:t xml:space="preserve">Intervenční logika programu je založena na premise, že požadovaných výsledků/změn, kterých chce ČR dosáhnout ke konci programovacího období 2014-2020, bude dosaženo společným působením opatření financovaných z OP PIK a dalších faktorů (nástrojů a opatření) realizovaných mimo OP PIK.    </w:t>
      </w:r>
    </w:p>
    <w:p w:rsidR="004E5B78" w:rsidRPr="008B53A9" w:rsidRDefault="004E5B78" w:rsidP="00FC0044">
      <w:pPr>
        <w:pStyle w:val="Standardntext"/>
      </w:pPr>
      <w:r w:rsidRPr="008B53A9">
        <w:t>Cílové hodnoty všech ukazatelů OP PIK byly řídícím orgánem stanoveny na základě daných východisek a kombinací různých přístupů:</w:t>
      </w:r>
    </w:p>
    <w:p w:rsidR="004E5B78" w:rsidRPr="008B53A9" w:rsidRDefault="004E5B78" w:rsidP="005D178C">
      <w:pPr>
        <w:pStyle w:val="Standardntext"/>
        <w:numPr>
          <w:ilvl w:val="0"/>
          <w:numId w:val="91"/>
        </w:numPr>
      </w:pPr>
      <w:r w:rsidRPr="008B53A9">
        <w:t>finanční alokace pro OP PIK 2014-2020;</w:t>
      </w:r>
    </w:p>
    <w:p w:rsidR="004E5B78" w:rsidRPr="008B53A9" w:rsidRDefault="004E5B78" w:rsidP="005D178C">
      <w:pPr>
        <w:pStyle w:val="Standardntext"/>
        <w:numPr>
          <w:ilvl w:val="0"/>
          <w:numId w:val="91"/>
        </w:numPr>
      </w:pPr>
      <w:r w:rsidRPr="008B53A9">
        <w:t>zkušenosti s realizací OPPI 2007–2013, kdy byla provedena analýza dat z monitorovacího systému a zhodnocen věcný pokrok OPPI dle aktuálního stavu realizace;</w:t>
      </w:r>
    </w:p>
    <w:p w:rsidR="004E5B78" w:rsidRPr="008B53A9" w:rsidRDefault="004E5B78" w:rsidP="005D178C">
      <w:pPr>
        <w:pStyle w:val="Standardntext"/>
        <w:numPr>
          <w:ilvl w:val="0"/>
          <w:numId w:val="91"/>
        </w:numPr>
      </w:pPr>
      <w:r w:rsidRPr="008B53A9">
        <w:t>expertní odhady prováděné v rámci pracovních skupin ustanovených k jednotlivým prioritním osám OP PIK;</w:t>
      </w:r>
    </w:p>
    <w:p w:rsidR="004E5B78" w:rsidRPr="008B53A9" w:rsidRDefault="004E5B78" w:rsidP="005D178C">
      <w:pPr>
        <w:pStyle w:val="Standardntext"/>
        <w:numPr>
          <w:ilvl w:val="0"/>
          <w:numId w:val="91"/>
        </w:numPr>
      </w:pPr>
      <w:r w:rsidRPr="008B53A9">
        <w:t>výstupy externě zadané studie „Analýza absorpční kapacity a návrh cílových hodnot indikátorů Operačního programu podnikání a inovace pro konkurenceschopnost 2014-2020“</w:t>
      </w:r>
      <w:r w:rsidR="00EA16D8" w:rsidRPr="008B53A9">
        <w:t xml:space="preserve"> (Závěrečná zpráva, únor 2014) a </w:t>
      </w:r>
      <w:r w:rsidR="00B672B6" w:rsidRPr="008B53A9">
        <w:t xml:space="preserve">„Analýza indikátorů výsledku Operačního programu Podnikání a inovace pro konkurenceschopnost 2014 – 2020“ (Průběžná zpráva, </w:t>
      </w:r>
      <w:r w:rsidR="00EB6A8A" w:rsidRPr="008B53A9">
        <w:t xml:space="preserve">květen </w:t>
      </w:r>
      <w:r w:rsidR="00B672B6" w:rsidRPr="008B53A9">
        <w:t xml:space="preserve">2014), které </w:t>
      </w:r>
      <w:r w:rsidRPr="008B53A9">
        <w:t>ve spolupráci s</w:t>
      </w:r>
      <w:r w:rsidR="00B672B6" w:rsidRPr="008B53A9">
        <w:t> </w:t>
      </w:r>
      <w:r w:rsidRPr="008B53A9">
        <w:t>ŘO</w:t>
      </w:r>
      <w:r w:rsidR="00B672B6" w:rsidRPr="008B53A9">
        <w:t xml:space="preserve"> OP PIK </w:t>
      </w:r>
      <w:r w:rsidRPr="008B53A9">
        <w:t xml:space="preserve">zpracovala </w:t>
      </w:r>
      <w:r w:rsidR="00B672B6" w:rsidRPr="008B53A9">
        <w:t xml:space="preserve">poradenská </w:t>
      </w:r>
      <w:r w:rsidRPr="008B53A9">
        <w:t>společnost HaskoningDHV Czech Republic, spol. s r.o.;</w:t>
      </w:r>
    </w:p>
    <w:p w:rsidR="004E5B78" w:rsidRPr="008B53A9" w:rsidRDefault="004E5B78" w:rsidP="005D178C">
      <w:pPr>
        <w:pStyle w:val="Standardntext"/>
        <w:numPr>
          <w:ilvl w:val="0"/>
          <w:numId w:val="91"/>
        </w:numPr>
      </w:pPr>
      <w:r w:rsidRPr="008B53A9">
        <w:t>zájem ze strany hlavních kategorií potencionálních příjemců podpory v OP PIK indikovaný prostřednictvím partnerů zapojených do přípravy operačního programu.</w:t>
      </w:r>
    </w:p>
    <w:p w:rsidR="004E5B78" w:rsidRPr="008B53A9" w:rsidRDefault="004E5B78" w:rsidP="004E5B78">
      <w:pPr>
        <w:pStyle w:val="Standardntext"/>
      </w:pPr>
    </w:p>
    <w:p w:rsidR="004E5B78" w:rsidRPr="008B53A9" w:rsidRDefault="004E5B78" w:rsidP="004E5B78">
      <w:pPr>
        <w:pStyle w:val="Standardntext"/>
      </w:pPr>
      <w:r w:rsidRPr="008B53A9">
        <w:t xml:space="preserve">V rámci </w:t>
      </w:r>
      <w:r w:rsidRPr="008B53A9">
        <w:rPr>
          <w:u w:val="single"/>
        </w:rPr>
        <w:t>monitoringu</w:t>
      </w:r>
      <w:r w:rsidRPr="008B53A9">
        <w:t xml:space="preserve"> programu bude řídící orgán sledovat, zda jsou realizovány příslušné aktivity/opatření a zda implementace programu probíhá v souladu s očekáváními. Zároveň </w:t>
      </w:r>
      <w:r w:rsidRPr="008B53A9">
        <w:lastRenderedPageBreak/>
        <w:t>budou sledovány hodnoty výsledkových ukazatelů a to, zda se mění žádoucím směrem (pokles nebo naopak nárůst). Hlavním nástrojem pro monitorování OP PIK bude jednotný informační monitorovací systém a pokrok v implementaci programu bude pravidelně vykazován v rámci Ročních a zpráv o realizaci OP PIK, jejichž součástí je i vývoj hodnot ukazatelů. Posuzování stavu realizace OP PIK a jeho finančního i věcného pokroku bude předmětem pravidelných zasedání Monitorovacího výboru OP PIK.</w:t>
      </w:r>
    </w:p>
    <w:p w:rsidR="004E5B78" w:rsidRPr="008B53A9" w:rsidRDefault="004E5B78" w:rsidP="00EB6A8A">
      <w:pPr>
        <w:pStyle w:val="Standardntext"/>
        <w:spacing w:after="240"/>
      </w:pPr>
      <w:r w:rsidRPr="008B53A9">
        <w:t>Podrobná pravidla a postupy monitorování operačního programu vycházejí z příslušných metodických pokynů NOK a jsou detailně rozpracována v řídící dokumentaci k OP PIK (zejm. Operační manuál OP PIK a jeho přílohy). Nastavení řídicích a kontrolních systémů programu v rozsahu procesů souvisejících s monitorováním programu bude rovněž ověřeno prostřednictvím auditu shody provedeným Auditním orgánem.</w:t>
      </w:r>
    </w:p>
    <w:p w:rsidR="004E5B78" w:rsidRPr="008B53A9" w:rsidRDefault="004E5B78" w:rsidP="004E5B78">
      <w:pPr>
        <w:pStyle w:val="Standardntext"/>
        <w:rPr>
          <w:szCs w:val="22"/>
        </w:rPr>
      </w:pPr>
      <w:r w:rsidRPr="008B53A9">
        <w:rPr>
          <w:szCs w:val="22"/>
          <w:u w:val="single"/>
        </w:rPr>
        <w:t>Hodnocení</w:t>
      </w:r>
      <w:r w:rsidRPr="008B53A9">
        <w:rPr>
          <w:szCs w:val="22"/>
        </w:rPr>
        <w:t xml:space="preserve"> výsledků OP PIK vyjádřených změnou hodnot výsledkových ukazatelů je založeno na předpokladu, že tyto změny jsou ovlivňovány jak intervencemi OP PIK, tak i dalšími faktory mimo OP PIK. Úkolem dopadových evaluací proto bude oddělit účinky intervencí OP PIK od působení/vlivu externích faktorů na dosažené výsledky. Tyto evaluace by měly posoudit: i) zda intervence OP PIK měly nějaký účinek (efekt) a pokud ano, jaký, a ii) proč a jak realizovaná opatření vedla k daným efektům?</w:t>
      </w:r>
    </w:p>
    <w:p w:rsidR="004E5B78" w:rsidRPr="008B53A9" w:rsidRDefault="004E5B78" w:rsidP="004E5B78">
      <w:pPr>
        <w:pStyle w:val="Standardntext"/>
        <w:rPr>
          <w:szCs w:val="22"/>
        </w:rPr>
      </w:pPr>
      <w:r w:rsidRPr="008B53A9">
        <w:rPr>
          <w:szCs w:val="22"/>
        </w:rPr>
        <w:t>Hlavním východiskem/rámcem pro provádění hodnocení operačního programu je Evaluační plán OP PIK 2014-2020, jehož úkolem je především:</w:t>
      </w:r>
    </w:p>
    <w:p w:rsidR="004E5B78" w:rsidRPr="008B53A9" w:rsidRDefault="004E5B78" w:rsidP="005D178C">
      <w:pPr>
        <w:pStyle w:val="Standardntext"/>
        <w:numPr>
          <w:ilvl w:val="0"/>
          <w:numId w:val="90"/>
        </w:numPr>
        <w:rPr>
          <w:szCs w:val="22"/>
        </w:rPr>
      </w:pPr>
      <w:r w:rsidRPr="008B53A9">
        <w:rPr>
          <w:szCs w:val="22"/>
        </w:rPr>
        <w:t>zlepšit kvalitu prováděných hodnocení prostřednictvím lepšího plánování evaluačních činností,</w:t>
      </w:r>
    </w:p>
    <w:p w:rsidR="004E5B78" w:rsidRPr="008B53A9" w:rsidRDefault="004E5B78" w:rsidP="005D178C">
      <w:pPr>
        <w:pStyle w:val="Standardntext"/>
        <w:numPr>
          <w:ilvl w:val="0"/>
          <w:numId w:val="90"/>
        </w:numPr>
        <w:rPr>
          <w:szCs w:val="22"/>
        </w:rPr>
      </w:pPr>
      <w:r w:rsidRPr="008B53A9">
        <w:rPr>
          <w:szCs w:val="22"/>
        </w:rPr>
        <w:t>zajistit dostatek informací využitelných pro řízení programu prostřednictvím výstupů z evaluačních aktivit,</w:t>
      </w:r>
    </w:p>
    <w:p w:rsidR="004E5B78" w:rsidRPr="008B53A9" w:rsidRDefault="004E5B78" w:rsidP="005D178C">
      <w:pPr>
        <w:pStyle w:val="Standardntext"/>
        <w:numPr>
          <w:ilvl w:val="0"/>
          <w:numId w:val="90"/>
        </w:numPr>
        <w:rPr>
          <w:szCs w:val="22"/>
        </w:rPr>
      </w:pPr>
      <w:r w:rsidRPr="008B53A9">
        <w:rPr>
          <w:szCs w:val="22"/>
        </w:rPr>
        <w:t>vytvořit rámec pro plánování dopadových evaluací,</w:t>
      </w:r>
    </w:p>
    <w:p w:rsidR="004E5B78" w:rsidRPr="008B53A9" w:rsidRDefault="004E5B78" w:rsidP="005D178C">
      <w:pPr>
        <w:pStyle w:val="Standardntext"/>
        <w:numPr>
          <w:ilvl w:val="0"/>
          <w:numId w:val="90"/>
        </w:numPr>
        <w:rPr>
          <w:szCs w:val="22"/>
        </w:rPr>
      </w:pPr>
      <w:r w:rsidRPr="008B53A9">
        <w:rPr>
          <w:rStyle w:val="hps"/>
        </w:rPr>
        <w:t>zajistit vstupy pro</w:t>
      </w:r>
      <w:r w:rsidRPr="008B53A9">
        <w:t xml:space="preserve"> </w:t>
      </w:r>
      <w:r w:rsidRPr="008B53A9">
        <w:rPr>
          <w:rStyle w:val="hps"/>
        </w:rPr>
        <w:t>výroční zprávy o provádění</w:t>
      </w:r>
      <w:r w:rsidRPr="008B53A9">
        <w:t xml:space="preserve"> </w:t>
      </w:r>
      <w:r w:rsidRPr="008B53A9">
        <w:rPr>
          <w:rStyle w:val="hps"/>
        </w:rPr>
        <w:t>a</w:t>
      </w:r>
      <w:r w:rsidRPr="008B53A9">
        <w:t xml:space="preserve"> </w:t>
      </w:r>
      <w:r w:rsidRPr="008B53A9">
        <w:rPr>
          <w:rStyle w:val="hps"/>
        </w:rPr>
        <w:t>zprávy o pokroku</w:t>
      </w:r>
      <w:r w:rsidRPr="008B53A9">
        <w:t>;</w:t>
      </w:r>
    </w:p>
    <w:p w:rsidR="004E5B78" w:rsidRPr="008B53A9" w:rsidRDefault="004E5B78" w:rsidP="005D178C">
      <w:pPr>
        <w:pStyle w:val="Standardntext"/>
        <w:numPr>
          <w:ilvl w:val="0"/>
          <w:numId w:val="90"/>
        </w:numPr>
        <w:rPr>
          <w:szCs w:val="22"/>
        </w:rPr>
      </w:pPr>
      <w:r w:rsidRPr="008B53A9">
        <w:rPr>
          <w:szCs w:val="22"/>
        </w:rPr>
        <w:t xml:space="preserve">zajistit vstupy pro provádění syntéz poznatků z různých členských států ze strany Komise a pro výměnu zkušeností aj.    </w:t>
      </w:r>
    </w:p>
    <w:p w:rsidR="00D0644D" w:rsidRPr="008B53A9" w:rsidRDefault="004E5B78" w:rsidP="005A5DEE">
      <w:pPr>
        <w:pStyle w:val="Standardntext"/>
      </w:pPr>
      <w:r w:rsidRPr="008B53A9">
        <w:t xml:space="preserve">Evaluační plán OP PIK 2014-2020 </w:t>
      </w:r>
      <w:r w:rsidR="00B672B6" w:rsidRPr="008B53A9">
        <w:t xml:space="preserve">bude </w:t>
      </w:r>
      <w:r w:rsidRPr="008B53A9">
        <w:t xml:space="preserve">zpracováván v souladu s příslušnými metodickými pokyny a doporučeními </w:t>
      </w:r>
      <w:r w:rsidR="00B672B6" w:rsidRPr="008B53A9">
        <w:t>Evropské k</w:t>
      </w:r>
      <w:r w:rsidRPr="008B53A9">
        <w:t xml:space="preserve">omise </w:t>
      </w:r>
      <w:r w:rsidR="00B672B6" w:rsidRPr="008B53A9">
        <w:t>a MMR-</w:t>
      </w:r>
      <w:r w:rsidRPr="008B53A9">
        <w:t>NOK a bude předložen ke schválení Monitorovacímu výboru OP PIK nejpozději do 1 roku od schválení programu (čl. 114, odst.1 Obecného nařízení).</w:t>
      </w:r>
    </w:p>
    <w:p w:rsidR="005A5DEE" w:rsidRPr="008B53A9" w:rsidRDefault="005A5DEE" w:rsidP="005A5DEE">
      <w:pPr>
        <w:pStyle w:val="Standardntext"/>
      </w:pPr>
    </w:p>
    <w:p w:rsidR="00EB6A8A" w:rsidRPr="008B53A9" w:rsidRDefault="00EB6A8A" w:rsidP="005D178C">
      <w:pPr>
        <w:pStyle w:val="Odstavecseseznamem"/>
        <w:numPr>
          <w:ilvl w:val="0"/>
          <w:numId w:val="87"/>
        </w:numPr>
        <w:spacing w:after="120"/>
        <w:ind w:left="714" w:hanging="357"/>
        <w:contextualSpacing w:val="0"/>
        <w:rPr>
          <w:rFonts w:cs="Calibri"/>
          <w:b/>
          <w:sz w:val="24"/>
          <w:szCs w:val="24"/>
        </w:rPr>
      </w:pPr>
      <w:r w:rsidRPr="008B53A9">
        <w:rPr>
          <w:rFonts w:cs="Calibri"/>
          <w:b/>
          <w:sz w:val="24"/>
          <w:szCs w:val="24"/>
        </w:rPr>
        <w:t>Výkonnostní rezerva / výkonnostní rámec</w:t>
      </w:r>
    </w:p>
    <w:p w:rsidR="00BB26D4" w:rsidRPr="008B53A9" w:rsidRDefault="00EB6A8A" w:rsidP="00EB6A8A">
      <w:pPr>
        <w:pStyle w:val="Standardntext"/>
      </w:pPr>
      <w:r w:rsidRPr="008B53A9">
        <w:t xml:space="preserve">Nařízení č. 1303/2013 definuje v čl. 20 tzv. výkonnostní rezervu a v příloze II. způsob stanovení tzv. výkonnostního rámce. Ten se skládá z tzv, milníků stanovených pro každou prioritní osu </w:t>
      </w:r>
      <w:r w:rsidR="00BB26D4" w:rsidRPr="008B53A9">
        <w:t xml:space="preserve">(s výjimkou prioritní osy pro technickou pomoc) pro rok 2018 a cílů stanovených pro rok 2023. </w:t>
      </w:r>
    </w:p>
    <w:p w:rsidR="00BB26D4" w:rsidRPr="008B53A9" w:rsidRDefault="00BB26D4" w:rsidP="00BB26D4">
      <w:pPr>
        <w:pStyle w:val="Standardntext"/>
      </w:pPr>
      <w:r w:rsidRPr="008B53A9">
        <w:t>Milníky jsou průběžné cíle, které jsou případně přímo spojené s dosažením specifického cíle prioritní osy a které vyjadřují zamýšlený pokrok při plnění cílů stanovených pro konec programového období.</w:t>
      </w:r>
    </w:p>
    <w:p w:rsidR="00BB26D4" w:rsidRPr="008B53A9" w:rsidRDefault="00BB26D4" w:rsidP="00BB26D4">
      <w:pPr>
        <w:pStyle w:val="Standardntext"/>
      </w:pPr>
      <w:r w:rsidRPr="008B53A9">
        <w:t xml:space="preserve">V souladu s čl. 22 a přílohou II nařízení č. 1303/2013 musí být milníky a cíle (i) realistické, dosažitelné, relevantní a musí zachycovat podstatné informace o pokroku priority (ii) v souladu </w:t>
      </w:r>
      <w:r w:rsidRPr="008B53A9">
        <w:lastRenderedPageBreak/>
        <w:t>s podstatou a charakterem konkrétních cílů v rámci dané priority (iii) transparentní, s objektivně ověřitelnými cíli a zdrojem údajů, který je jasně určen a je případně veřejně dostupný (iv) ověřitelné, aniž by představovaly nepřiměřenou administrativní zátěž (v) případně ve vzájemném souladu v rámci různých programů.</w:t>
      </w:r>
    </w:p>
    <w:p w:rsidR="00FC0044" w:rsidRPr="008B53A9" w:rsidRDefault="00BE3659" w:rsidP="001011D6">
      <w:pPr>
        <w:pStyle w:val="Standardntext"/>
        <w:spacing w:after="240"/>
      </w:pPr>
      <w:r w:rsidRPr="008B53A9">
        <w:t xml:space="preserve">Pro OP PIK </w:t>
      </w:r>
      <w:r w:rsidR="00BB26D4" w:rsidRPr="008B53A9">
        <w:t>byly stanoveny hodnot</w:t>
      </w:r>
      <w:r w:rsidRPr="008B53A9">
        <w:t>y</w:t>
      </w:r>
      <w:r w:rsidR="00BB26D4" w:rsidRPr="008B53A9">
        <w:t xml:space="preserve"> milníků pro rok 2018 a 2023</w:t>
      </w:r>
      <w:r w:rsidRPr="008B53A9">
        <w:t xml:space="preserve"> (finanční ukazatele „certifikované finanční prostředky“</w:t>
      </w:r>
      <w:r w:rsidR="0070166B" w:rsidRPr="008B53A9">
        <w:rPr>
          <w:lang w:val="cs-CZ"/>
        </w:rPr>
        <w:t xml:space="preserve"> a </w:t>
      </w:r>
      <w:r w:rsidRPr="008B53A9">
        <w:t xml:space="preserve">ukazatele výstupů). V </w:t>
      </w:r>
      <w:r w:rsidR="00BB26D4" w:rsidRPr="008B53A9">
        <w:t xml:space="preserve">případě hodnot </w:t>
      </w:r>
      <w:r w:rsidRPr="008B53A9">
        <w:t xml:space="preserve">milníků </w:t>
      </w:r>
      <w:r w:rsidR="00BB26D4" w:rsidRPr="008B53A9">
        <w:t xml:space="preserve">stanovených pro rok 2018 přitom není započítáno 6 % určených na výkonnostní rezervu programu. </w:t>
      </w:r>
      <w:r w:rsidRPr="008B53A9">
        <w:t>D</w:t>
      </w:r>
      <w:r w:rsidR="00BB26D4" w:rsidRPr="008B53A9">
        <w:t>ále uvedené předpoklady jsou s ohledem na charakter stanovovaných milníků platné pro všechny prioritní osy</w:t>
      </w:r>
      <w:r w:rsidRPr="008B53A9">
        <w:t xml:space="preserve"> operačního programu. </w:t>
      </w:r>
    </w:p>
    <w:p w:rsidR="00BB26D4" w:rsidRPr="008B53A9" w:rsidRDefault="00BB26D4" w:rsidP="00BB26D4">
      <w:pPr>
        <w:pStyle w:val="Standardntext"/>
      </w:pPr>
      <w:r w:rsidRPr="008B53A9">
        <w:t xml:space="preserve">Při kvantifikaci </w:t>
      </w:r>
      <w:r w:rsidRPr="008B53A9">
        <w:rPr>
          <w:u w:val="single"/>
        </w:rPr>
        <w:t>milníků pro rok 2018</w:t>
      </w:r>
      <w:r w:rsidRPr="008B53A9">
        <w:t xml:space="preserve"> byly zohledněny </w:t>
      </w:r>
      <w:r w:rsidR="002E2DCD" w:rsidRPr="008B53A9">
        <w:t xml:space="preserve">následující </w:t>
      </w:r>
      <w:r w:rsidRPr="008B53A9">
        <w:t>předpoklady:</w:t>
      </w:r>
    </w:p>
    <w:p w:rsidR="002E2DCD" w:rsidRPr="008B53A9" w:rsidRDefault="00C3289B" w:rsidP="00C3289B">
      <w:pPr>
        <w:pStyle w:val="Standardntext"/>
        <w:numPr>
          <w:ilvl w:val="0"/>
          <w:numId w:val="98"/>
        </w:numPr>
      </w:pPr>
      <w:r w:rsidRPr="008B53A9">
        <w:rPr>
          <w:lang w:val="cs-CZ"/>
        </w:rPr>
        <w:t>A</w:t>
      </w:r>
      <w:r w:rsidR="00BB26D4" w:rsidRPr="008B53A9">
        <w:t>ktuální finanční plán OP PIK</w:t>
      </w:r>
      <w:r w:rsidRPr="008B53A9">
        <w:rPr>
          <w:lang w:val="cs-CZ"/>
        </w:rPr>
        <w:t>.</w:t>
      </w:r>
    </w:p>
    <w:p w:rsidR="00BB26D4" w:rsidRPr="008B53A9" w:rsidRDefault="00C3289B" w:rsidP="00C3289B">
      <w:pPr>
        <w:pStyle w:val="Standardntext"/>
        <w:numPr>
          <w:ilvl w:val="0"/>
          <w:numId w:val="98"/>
        </w:numPr>
      </w:pPr>
      <w:r w:rsidRPr="008B53A9">
        <w:rPr>
          <w:lang w:val="cs-CZ"/>
        </w:rPr>
        <w:t>Z</w:t>
      </w:r>
      <w:r w:rsidR="002E2DCD" w:rsidRPr="008B53A9">
        <w:t xml:space="preserve">kušenosti s implementací </w:t>
      </w:r>
      <w:r w:rsidR="00BB26D4" w:rsidRPr="008B53A9">
        <w:t>OPPI</w:t>
      </w:r>
      <w:r w:rsidR="002E2DCD" w:rsidRPr="008B53A9">
        <w:t xml:space="preserve"> 2007 – 2013.</w:t>
      </w:r>
    </w:p>
    <w:p w:rsidR="002E2DCD" w:rsidRPr="008B53A9" w:rsidRDefault="002E2DCD" w:rsidP="00C3289B">
      <w:pPr>
        <w:pStyle w:val="Standardntext"/>
        <w:numPr>
          <w:ilvl w:val="0"/>
          <w:numId w:val="98"/>
        </w:numPr>
      </w:pPr>
      <w:r w:rsidRPr="008B53A9">
        <w:t xml:space="preserve">Začátek implementace </w:t>
      </w:r>
      <w:r w:rsidR="00BB26D4" w:rsidRPr="008B53A9">
        <w:t>ve většině specifických cílů</w:t>
      </w:r>
      <w:r w:rsidRPr="008B53A9">
        <w:t xml:space="preserve"> programu počátkem roku 2015; p</w:t>
      </w:r>
      <w:r w:rsidR="00BB26D4" w:rsidRPr="008B53A9">
        <w:t>rvní výzvy budou vyhlášeny pravděpodobně nejdříve v 1. čtvrtletí 2015</w:t>
      </w:r>
      <w:r w:rsidRPr="008B53A9">
        <w:t>, o</w:t>
      </w:r>
      <w:r w:rsidR="00BB26D4" w:rsidRPr="008B53A9">
        <w:t>d nich se bude odvíjet příjem žádostí, hodnocení projektů a následně zahájení realizace prvních podpořených projektů, tj. pravděpodobně ve 2. čtvrtletí 2015</w:t>
      </w:r>
      <w:r w:rsidRPr="008B53A9">
        <w:t>.</w:t>
      </w:r>
    </w:p>
    <w:p w:rsidR="00BB26D4" w:rsidRPr="008B53A9" w:rsidRDefault="00BB26D4" w:rsidP="00C3289B">
      <w:pPr>
        <w:pStyle w:val="Standardntext"/>
        <w:numPr>
          <w:ilvl w:val="0"/>
          <w:numId w:val="98"/>
        </w:numPr>
      </w:pPr>
      <w:r w:rsidRPr="008B53A9">
        <w:t>Při možném předpokladu, že projekty budou dvouleté, to znamená, že první z nich ukončí realizaci nejdříve ve druhé polovině roku 2017 a finanční prostředky tak budou předkládány k certifikaci až v průběhu roku 2017 či dokonce 2018 (např. u delších projektů)</w:t>
      </w:r>
      <w:r w:rsidR="002E2DCD" w:rsidRPr="008B53A9">
        <w:t>.</w:t>
      </w:r>
      <w:r w:rsidRPr="008B53A9">
        <w:t xml:space="preserve"> </w:t>
      </w:r>
    </w:p>
    <w:p w:rsidR="00BB26D4" w:rsidRPr="008B53A9" w:rsidRDefault="00BB26D4" w:rsidP="00C3289B">
      <w:pPr>
        <w:pStyle w:val="Standardntext"/>
        <w:numPr>
          <w:ilvl w:val="0"/>
          <w:numId w:val="98"/>
        </w:numPr>
      </w:pPr>
      <w:r w:rsidRPr="008B53A9">
        <w:t>Není započítána výkonnostní rezerva 6 %.</w:t>
      </w:r>
    </w:p>
    <w:p w:rsidR="0070166B" w:rsidRPr="008B53A9" w:rsidRDefault="0070166B" w:rsidP="001011D6">
      <w:pPr>
        <w:pStyle w:val="Standardntext"/>
        <w:spacing w:after="240"/>
        <w:rPr>
          <w:lang w:val="cs-CZ"/>
        </w:rPr>
      </w:pPr>
      <w:r w:rsidRPr="008B53A9">
        <w:rPr>
          <w:lang w:val="cs-CZ"/>
        </w:rPr>
        <w:t>Pro stanovení milníku pro rok 2018 byla od součtu celkových alokací ERDF jednotlivých prioritních os na roky 2014 (13,45 % prostředků ERDF) a 2015 (13,71 %) odečtena předpokládaná záloha ve výši 10 % prostředků ERDF na program a zároveň 6 % výkonnostní rezervy (ze součtu alokací 2014 a 2015).</w:t>
      </w:r>
    </w:p>
    <w:p w:rsidR="00BB26D4" w:rsidRPr="008B53A9" w:rsidRDefault="00BB26D4" w:rsidP="00BB26D4">
      <w:pPr>
        <w:pStyle w:val="Standardntext"/>
      </w:pPr>
      <w:r w:rsidRPr="008B53A9">
        <w:t xml:space="preserve">Při kvantifikaci </w:t>
      </w:r>
      <w:r w:rsidRPr="008B53A9">
        <w:rPr>
          <w:u w:val="single"/>
        </w:rPr>
        <w:t xml:space="preserve">milníků pro rok 2023 </w:t>
      </w:r>
      <w:r w:rsidRPr="008B53A9">
        <w:t xml:space="preserve">byly zohledněny </w:t>
      </w:r>
      <w:r w:rsidR="002E2DCD" w:rsidRPr="008B53A9">
        <w:t xml:space="preserve">navíc následující </w:t>
      </w:r>
      <w:r w:rsidRPr="008B53A9">
        <w:t>předpoklady:</w:t>
      </w:r>
    </w:p>
    <w:p w:rsidR="00BB26D4" w:rsidRPr="008B53A9" w:rsidRDefault="00BB26D4" w:rsidP="00C3289B">
      <w:pPr>
        <w:pStyle w:val="Standardntext"/>
        <w:numPr>
          <w:ilvl w:val="0"/>
          <w:numId w:val="98"/>
        </w:numPr>
      </w:pPr>
      <w:r w:rsidRPr="008B53A9">
        <w:t xml:space="preserve">Klíčovým předpokladem je naplnění stanovených cílů programu v jednotlivých prioritních </w:t>
      </w:r>
      <w:r w:rsidR="002E2DCD" w:rsidRPr="008B53A9">
        <w:t>osách (finanční i věcné plnění).</w:t>
      </w:r>
    </w:p>
    <w:p w:rsidR="00BB26D4" w:rsidRPr="008B53A9" w:rsidRDefault="00BB26D4" w:rsidP="00C3289B">
      <w:pPr>
        <w:pStyle w:val="Standardntext"/>
        <w:numPr>
          <w:ilvl w:val="0"/>
          <w:numId w:val="98"/>
        </w:numPr>
      </w:pPr>
      <w:r w:rsidRPr="008B53A9">
        <w:t>Započítána je již i výkonnostní rezerva.</w:t>
      </w:r>
    </w:p>
    <w:p w:rsidR="00BB26D4" w:rsidRPr="008B53A9" w:rsidRDefault="00BB26D4" w:rsidP="00BB26D4">
      <w:pPr>
        <w:pStyle w:val="Standardntext"/>
        <w:sectPr w:rsidR="00BB26D4" w:rsidRPr="008B53A9" w:rsidSect="004D0D1E">
          <w:headerReference w:type="default" r:id="rId242"/>
          <w:footerReference w:type="default" r:id="rId243"/>
          <w:pgSz w:w="11906" w:h="16838"/>
          <w:pgMar w:top="1418" w:right="1276" w:bottom="1276" w:left="1418" w:header="709" w:footer="709" w:gutter="0"/>
          <w:cols w:space="708"/>
          <w:docGrid w:linePitch="272"/>
        </w:sectPr>
      </w:pPr>
    </w:p>
    <w:p w:rsidR="007E6584" w:rsidRPr="008B53A9" w:rsidRDefault="004D0D1E" w:rsidP="007E6584">
      <w:pPr>
        <w:pStyle w:val="Nadpis2"/>
        <w:numPr>
          <w:ilvl w:val="0"/>
          <w:numId w:val="0"/>
        </w:numPr>
        <w:ind w:left="576" w:hanging="576"/>
      </w:pPr>
      <w:bookmarkStart w:id="153" w:name="_Toc391539708"/>
      <w:r w:rsidRPr="008B53A9">
        <w:rPr>
          <w:rFonts w:cs="Calibri"/>
        </w:rPr>
        <w:lastRenderedPageBreak/>
        <w:t>Nepovinná p</w:t>
      </w:r>
      <w:r w:rsidR="00D20E3C" w:rsidRPr="008B53A9">
        <w:rPr>
          <w:rFonts w:cs="Calibri"/>
        </w:rPr>
        <w:t xml:space="preserve">říloha č. </w:t>
      </w:r>
      <w:r w:rsidR="00811581" w:rsidRPr="008B53A9">
        <w:rPr>
          <w:rFonts w:cs="Calibri"/>
        </w:rPr>
        <w:t>4</w:t>
      </w:r>
      <w:r w:rsidR="007E6584" w:rsidRPr="008B53A9">
        <w:rPr>
          <w:rFonts w:cs="Calibri"/>
        </w:rPr>
        <w:t>:</w:t>
      </w:r>
      <w:r w:rsidR="007E6584" w:rsidRPr="008B53A9">
        <w:t xml:space="preserve"> </w:t>
      </w:r>
      <w:r w:rsidR="00BD30D0" w:rsidRPr="008B53A9">
        <w:t>Synergie a komplementarity</w:t>
      </w:r>
      <w:bookmarkEnd w:id="153"/>
    </w:p>
    <w:p w:rsidR="00DC4557" w:rsidRPr="008B53A9" w:rsidRDefault="00DC4557" w:rsidP="005F43DF">
      <w:pPr>
        <w:pStyle w:val="Standardntext"/>
        <w:numPr>
          <w:ilvl w:val="0"/>
          <w:numId w:val="30"/>
        </w:numPr>
        <w:rPr>
          <w:b/>
        </w:rPr>
      </w:pPr>
      <w:r w:rsidRPr="008B53A9">
        <w:rPr>
          <w:b/>
        </w:rPr>
        <w:t>Identifikace synergií a komplementarit mezi programy (příp. uvnitř programů)</w:t>
      </w:r>
    </w:p>
    <w:p w:rsidR="00F004B3" w:rsidRPr="008B53A9" w:rsidRDefault="00F004B3" w:rsidP="00F004B3">
      <w:pPr>
        <w:pStyle w:val="Standardntext"/>
        <w:rPr>
          <w:b/>
        </w:rPr>
      </w:pPr>
    </w:p>
    <w:p w:rsidR="00F004B3" w:rsidRPr="008B53A9" w:rsidRDefault="00F004B3" w:rsidP="005D178C">
      <w:pPr>
        <w:pStyle w:val="Standardntext"/>
        <w:keepNext/>
        <w:keepLines/>
        <w:numPr>
          <w:ilvl w:val="0"/>
          <w:numId w:val="95"/>
        </w:numPr>
        <w:rPr>
          <w:b/>
        </w:rPr>
      </w:pPr>
      <w:r w:rsidRPr="008B53A9">
        <w:rPr>
          <w:b/>
        </w:rPr>
        <w:t>Inovace a podnikání</w:t>
      </w:r>
    </w:p>
    <w:p w:rsidR="00F004B3" w:rsidRPr="008B53A9" w:rsidRDefault="00F004B3" w:rsidP="00F004B3">
      <w:pPr>
        <w:pStyle w:val="Standardntext"/>
      </w:pPr>
      <w:r w:rsidRPr="008B53A9">
        <w:t xml:space="preserve">Jde o synergickou vazbu uvnitř Operačního programu, resp. mezi prioritní osou 1 a 2. Příjemci podpory v </w:t>
      </w:r>
      <w:r w:rsidRPr="008B53A9">
        <w:rPr>
          <w:b/>
        </w:rPr>
        <w:t>prioritní ose 2 OP PIK</w:t>
      </w:r>
      <w:r w:rsidRPr="008B53A9">
        <w:t xml:space="preserve"> budou MSP, jejichž pozice na globálním trhu se nachází především v nižších patrech hodnotových řetězců. Jde tak o podnikatelskou sféru převážně výrobního charakteru, která nemá ve svých podnikatelských záměrech významné ambice a  potřeby inovativního charakteru a těží proto z dosavadních zkušeností a obchodních vazeb na další podniky, které jsou umístěny právě na vyšších stupních globálních hodnotových řetězců. I z těchto důvodů je v České republice velmi nízká inovační poptávka. Aktivity specifických cílů 1 a 2 prioritní osy 2 OP PIK tak vytvářejí prostor pro tzv. learning-by-doing, kde se podnikatelé naučí efektivně využívat služby sofistikovaného inovačního poradenství, na jehož základě se jim otevřou dosud nevyužité možnosti pro růst jejich konkurenceschopnosti na mezinárodním trhu. MSP se tak mohou dostat na vyšší stupeň poznání v oblasti inovací a budou mít možnost využít nové směry pro uplatnění svých podnikatelských záměrů v </w:t>
      </w:r>
      <w:r w:rsidRPr="008B53A9">
        <w:rPr>
          <w:b/>
        </w:rPr>
        <w:t>prioritní ose 1 OP PIK</w:t>
      </w:r>
      <w:r w:rsidRPr="008B53A9">
        <w:t>, která je orientována spíše na podnikatelské subjekty se zkušenostmi na poli VaVaI.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40"/>
        <w:gridCol w:w="6205"/>
        <w:gridCol w:w="134"/>
        <w:gridCol w:w="4779"/>
      </w:tblGrid>
      <w:tr w:rsidR="0030490E" w:rsidRPr="008B53A9">
        <w:trPr>
          <w:trHeight w:val="233"/>
        </w:trPr>
        <w:tc>
          <w:tcPr>
            <w:tcW w:w="1101" w:type="pct"/>
            <w:shd w:val="clear" w:color="auto" w:fill="739BCB"/>
            <w:vAlign w:val="center"/>
          </w:tcPr>
          <w:p w:rsidR="0030490E" w:rsidRPr="008B53A9" w:rsidRDefault="0030490E" w:rsidP="0030490E">
            <w:pPr>
              <w:pStyle w:val="Tabulka"/>
              <w:keepNext/>
              <w:keepLines/>
              <w:jc w:val="left"/>
              <w:rPr>
                <w:rFonts w:cs="Calibri"/>
                <w:b/>
                <w:lang w:val="cs-CZ" w:eastAsia="cs-CZ"/>
              </w:rPr>
            </w:pPr>
            <w:r w:rsidRPr="008B53A9">
              <w:rPr>
                <w:rFonts w:cs="Calibri"/>
                <w:b/>
                <w:color w:val="FFFFFF"/>
                <w:lang w:val="cs-CZ" w:eastAsia="cs-CZ"/>
              </w:rPr>
              <w:t>Inovace a podnikání</w:t>
            </w:r>
          </w:p>
        </w:tc>
        <w:tc>
          <w:tcPr>
            <w:tcW w:w="2176" w:type="pct"/>
            <w:tcBorders>
              <w:bottom w:val="single" w:sz="4" w:space="0" w:color="000000"/>
            </w:tcBorders>
            <w:shd w:val="clear" w:color="auto" w:fill="B8CCE4"/>
            <w:vAlign w:val="center"/>
          </w:tcPr>
          <w:p w:rsidR="0030490E" w:rsidRPr="008B53A9" w:rsidRDefault="0030490E" w:rsidP="0030490E">
            <w:pPr>
              <w:pStyle w:val="Tabulka"/>
              <w:keepNext/>
              <w:keepLines/>
              <w:rPr>
                <w:rFonts w:cs="Calibri"/>
                <w:b/>
                <w:lang w:val="cs-CZ" w:eastAsia="cs-CZ"/>
              </w:rPr>
            </w:pPr>
            <w:r w:rsidRPr="008B53A9">
              <w:rPr>
                <w:rFonts w:cs="Calibri"/>
                <w:b/>
                <w:lang w:val="cs-CZ" w:eastAsia="cs-CZ"/>
              </w:rPr>
              <w:t>OP PIK PO 1</w:t>
            </w:r>
          </w:p>
        </w:tc>
        <w:tc>
          <w:tcPr>
            <w:tcW w:w="47" w:type="pct"/>
            <w:tcBorders>
              <w:top w:val="nil"/>
              <w:bottom w:val="nil"/>
            </w:tcBorders>
            <w:shd w:val="clear" w:color="auto" w:fill="auto"/>
            <w:vAlign w:val="center"/>
          </w:tcPr>
          <w:p w:rsidR="0030490E" w:rsidRPr="008B53A9" w:rsidRDefault="0030490E" w:rsidP="0030490E">
            <w:pPr>
              <w:pStyle w:val="Tabulka"/>
              <w:keepNext/>
              <w:keepLines/>
              <w:rPr>
                <w:rFonts w:cs="Calibri"/>
                <w:b/>
                <w:sz w:val="6"/>
                <w:szCs w:val="6"/>
                <w:lang w:val="cs-CZ" w:eastAsia="cs-CZ"/>
              </w:rPr>
            </w:pPr>
          </w:p>
        </w:tc>
        <w:tc>
          <w:tcPr>
            <w:tcW w:w="1676" w:type="pct"/>
            <w:tcBorders>
              <w:bottom w:val="single" w:sz="4" w:space="0" w:color="000000"/>
            </w:tcBorders>
            <w:shd w:val="clear" w:color="auto" w:fill="B8CCE4"/>
            <w:vAlign w:val="center"/>
          </w:tcPr>
          <w:p w:rsidR="0030490E" w:rsidRPr="008B53A9" w:rsidRDefault="0030490E" w:rsidP="0030490E">
            <w:pPr>
              <w:pStyle w:val="Tabulka"/>
              <w:keepNext/>
              <w:keepLines/>
              <w:rPr>
                <w:rFonts w:cs="Calibri"/>
                <w:b/>
                <w:lang w:val="cs-CZ" w:eastAsia="cs-CZ"/>
              </w:rPr>
            </w:pPr>
            <w:r w:rsidRPr="008B53A9">
              <w:rPr>
                <w:rFonts w:cs="Calibri"/>
                <w:b/>
                <w:lang w:val="cs-CZ" w:eastAsia="cs-CZ"/>
              </w:rPr>
              <w:t>OP PIK PO 2</w:t>
            </w:r>
          </w:p>
        </w:tc>
      </w:tr>
      <w:tr w:rsidR="00F4450C" w:rsidRPr="008B53A9">
        <w:trPr>
          <w:trHeight w:val="810"/>
        </w:trPr>
        <w:tc>
          <w:tcPr>
            <w:tcW w:w="1101" w:type="pct"/>
            <w:tcBorders>
              <w:bottom w:val="dotted" w:sz="4" w:space="0" w:color="auto"/>
            </w:tcBorders>
            <w:shd w:val="clear" w:color="auto" w:fill="DBE5F1"/>
            <w:vAlign w:val="center"/>
          </w:tcPr>
          <w:p w:rsidR="00F4450C" w:rsidRPr="008B53A9" w:rsidRDefault="00F4450C" w:rsidP="0030490E">
            <w:pPr>
              <w:pStyle w:val="Tabulka"/>
              <w:jc w:val="left"/>
              <w:rPr>
                <w:rFonts w:cs="Calibri"/>
                <w:b/>
                <w:lang w:val="cs-CZ" w:eastAsia="cs-CZ"/>
              </w:rPr>
            </w:pPr>
            <w:r w:rsidRPr="008B53A9">
              <w:rPr>
                <w:rFonts w:cs="Calibri"/>
                <w:b/>
                <w:lang w:val="cs-CZ" w:eastAsia="cs-CZ"/>
              </w:rPr>
              <w:t>Tematický cíl</w:t>
            </w:r>
            <w:r w:rsidR="002E0DC8" w:rsidRPr="008B53A9">
              <w:rPr>
                <w:rFonts w:cs="Calibri"/>
                <w:b/>
                <w:lang w:val="cs-CZ" w:eastAsia="cs-CZ"/>
              </w:rPr>
              <w:t xml:space="preserve"> / investiční priorita</w:t>
            </w:r>
          </w:p>
        </w:tc>
        <w:tc>
          <w:tcPr>
            <w:tcW w:w="2176" w:type="pct"/>
            <w:tcBorders>
              <w:bottom w:val="dotted" w:sz="4" w:space="0" w:color="auto"/>
              <w:right w:val="single" w:sz="4" w:space="0" w:color="auto"/>
            </w:tcBorders>
            <w:shd w:val="clear" w:color="auto" w:fill="auto"/>
            <w:vAlign w:val="center"/>
          </w:tcPr>
          <w:p w:rsidR="00F4450C" w:rsidRPr="008B53A9" w:rsidRDefault="00ED0E9B" w:rsidP="00ED0E9B">
            <w:pPr>
              <w:pStyle w:val="Tabulka"/>
              <w:jc w:val="left"/>
              <w:rPr>
                <w:rFonts w:cs="Calibri"/>
                <w:lang w:val="cs-CZ" w:eastAsia="cs-CZ"/>
              </w:rPr>
            </w:pPr>
            <w:r w:rsidRPr="008B53A9">
              <w:rPr>
                <w:rFonts w:cs="Calibri"/>
                <w:lang w:val="cs-CZ" w:eastAsia="cs-CZ"/>
              </w:rPr>
              <w:t xml:space="preserve">TC </w:t>
            </w:r>
            <w:r w:rsidR="00F4450C" w:rsidRPr="008B53A9">
              <w:rPr>
                <w:rFonts w:cs="Calibri"/>
                <w:lang w:val="cs-CZ" w:eastAsia="cs-CZ"/>
              </w:rPr>
              <w:t>1</w:t>
            </w:r>
            <w:r w:rsidR="002E0DC8" w:rsidRPr="008B53A9">
              <w:rPr>
                <w:rFonts w:cs="Calibri"/>
                <w:lang w:val="cs-CZ" w:eastAsia="cs-CZ"/>
              </w:rPr>
              <w:t xml:space="preserve"> / </w:t>
            </w:r>
            <w:r w:rsidRPr="008B53A9">
              <w:rPr>
                <w:rFonts w:cs="Calibri"/>
                <w:lang w:val="cs-CZ" w:eastAsia="cs-CZ"/>
              </w:rPr>
              <w:t>1 b)</w:t>
            </w:r>
          </w:p>
        </w:tc>
        <w:tc>
          <w:tcPr>
            <w:tcW w:w="47" w:type="pct"/>
            <w:tcBorders>
              <w:top w:val="nil"/>
              <w:left w:val="single" w:sz="4" w:space="0" w:color="auto"/>
              <w:bottom w:val="nil"/>
              <w:right w:val="single" w:sz="4" w:space="0" w:color="auto"/>
            </w:tcBorders>
            <w:shd w:val="clear" w:color="auto" w:fill="auto"/>
            <w:vAlign w:val="center"/>
          </w:tcPr>
          <w:p w:rsidR="00F4450C" w:rsidRPr="008B53A9" w:rsidRDefault="00F4450C" w:rsidP="0030490E">
            <w:pPr>
              <w:pStyle w:val="Tabulka"/>
              <w:jc w:val="left"/>
              <w:rPr>
                <w:rFonts w:cs="Calibri"/>
                <w:sz w:val="6"/>
                <w:szCs w:val="6"/>
                <w:lang w:val="cs-CZ" w:eastAsia="cs-CZ"/>
              </w:rPr>
            </w:pPr>
          </w:p>
        </w:tc>
        <w:tc>
          <w:tcPr>
            <w:tcW w:w="1676" w:type="pct"/>
            <w:tcBorders>
              <w:left w:val="single" w:sz="4" w:space="0" w:color="auto"/>
              <w:bottom w:val="dotted" w:sz="4" w:space="0" w:color="auto"/>
            </w:tcBorders>
            <w:shd w:val="clear" w:color="auto" w:fill="auto"/>
            <w:vAlign w:val="center"/>
          </w:tcPr>
          <w:p w:rsidR="002E0DC8" w:rsidRPr="008B53A9" w:rsidRDefault="008022FA" w:rsidP="002E0DC8">
            <w:pPr>
              <w:pStyle w:val="Tabulka"/>
              <w:jc w:val="left"/>
              <w:rPr>
                <w:rFonts w:cs="Calibri"/>
                <w:lang w:val="cs-CZ" w:eastAsia="cs-CZ"/>
              </w:rPr>
            </w:pPr>
            <w:r w:rsidRPr="008B53A9">
              <w:rPr>
                <w:rFonts w:cs="Calibri"/>
                <w:lang w:val="cs-CZ" w:eastAsia="cs-CZ"/>
              </w:rPr>
              <w:t xml:space="preserve">TC </w:t>
            </w:r>
            <w:r w:rsidR="00F4450C" w:rsidRPr="008B53A9">
              <w:rPr>
                <w:rFonts w:cs="Calibri"/>
                <w:lang w:val="cs-CZ" w:eastAsia="cs-CZ"/>
              </w:rPr>
              <w:t>3</w:t>
            </w:r>
            <w:r w:rsidR="002E0DC8" w:rsidRPr="008B53A9">
              <w:rPr>
                <w:rFonts w:cs="Calibri"/>
                <w:lang w:val="cs-CZ" w:eastAsia="cs-CZ"/>
              </w:rPr>
              <w:t xml:space="preserve"> / </w:t>
            </w:r>
            <w:r w:rsidR="00ED0E9B" w:rsidRPr="008B53A9">
              <w:rPr>
                <w:rFonts w:cs="Calibri"/>
                <w:lang w:val="cs-CZ" w:eastAsia="cs-CZ"/>
              </w:rPr>
              <w:t>3 a)</w:t>
            </w:r>
          </w:p>
          <w:p w:rsidR="00F4450C" w:rsidRPr="008B53A9" w:rsidRDefault="008022FA" w:rsidP="00ED0E9B">
            <w:pPr>
              <w:pStyle w:val="Tabulka"/>
              <w:jc w:val="left"/>
              <w:rPr>
                <w:rFonts w:cs="Calibri"/>
                <w:lang w:val="cs-CZ" w:eastAsia="cs-CZ"/>
              </w:rPr>
            </w:pPr>
            <w:r w:rsidRPr="008B53A9">
              <w:rPr>
                <w:rFonts w:cs="Calibri"/>
                <w:lang w:val="cs-CZ" w:eastAsia="cs-CZ"/>
              </w:rPr>
              <w:t xml:space="preserve">TC </w:t>
            </w:r>
            <w:r w:rsidR="002E0DC8" w:rsidRPr="008B53A9">
              <w:rPr>
                <w:rFonts w:cs="Calibri"/>
                <w:lang w:val="cs-CZ" w:eastAsia="cs-CZ"/>
              </w:rPr>
              <w:t xml:space="preserve">3 / </w:t>
            </w:r>
            <w:r w:rsidR="00ED0E9B" w:rsidRPr="008B53A9">
              <w:rPr>
                <w:rFonts w:cs="Calibri"/>
                <w:lang w:val="cs-CZ" w:eastAsia="cs-CZ"/>
              </w:rPr>
              <w:t>3 b)</w:t>
            </w:r>
          </w:p>
        </w:tc>
      </w:tr>
      <w:tr w:rsidR="00F4450C" w:rsidRPr="008B53A9">
        <w:trPr>
          <w:trHeight w:val="212"/>
        </w:trPr>
        <w:tc>
          <w:tcPr>
            <w:tcW w:w="1101" w:type="pct"/>
            <w:tcBorders>
              <w:top w:val="dotted" w:sz="4" w:space="0" w:color="auto"/>
              <w:bottom w:val="dotted" w:sz="4" w:space="0" w:color="auto"/>
            </w:tcBorders>
            <w:shd w:val="clear" w:color="auto" w:fill="DBE5F1"/>
            <w:vAlign w:val="center"/>
          </w:tcPr>
          <w:p w:rsidR="00F4450C" w:rsidRPr="008B53A9" w:rsidRDefault="00F4450C" w:rsidP="0030490E">
            <w:pPr>
              <w:pStyle w:val="Tabulka"/>
              <w:jc w:val="left"/>
              <w:rPr>
                <w:rFonts w:cs="Calibri"/>
                <w:b/>
                <w:lang w:val="cs-CZ" w:eastAsia="cs-CZ"/>
              </w:rPr>
            </w:pPr>
            <w:r w:rsidRPr="008B53A9">
              <w:rPr>
                <w:rFonts w:cs="Calibri"/>
                <w:b/>
                <w:lang w:val="cs-CZ" w:eastAsia="cs-CZ"/>
              </w:rPr>
              <w:t>Prioritní osa</w:t>
            </w:r>
          </w:p>
        </w:tc>
        <w:tc>
          <w:tcPr>
            <w:tcW w:w="2176" w:type="pct"/>
            <w:tcBorders>
              <w:top w:val="dotted" w:sz="4" w:space="0" w:color="auto"/>
              <w:bottom w:val="dotted" w:sz="4" w:space="0" w:color="auto"/>
              <w:right w:val="single" w:sz="4" w:space="0" w:color="auto"/>
            </w:tcBorders>
            <w:shd w:val="clear" w:color="auto" w:fill="auto"/>
            <w:vAlign w:val="center"/>
          </w:tcPr>
          <w:p w:rsidR="00F4450C" w:rsidRPr="008B53A9" w:rsidRDefault="00F4450C" w:rsidP="0030490E">
            <w:pPr>
              <w:pStyle w:val="Tabulka"/>
              <w:jc w:val="left"/>
              <w:rPr>
                <w:rFonts w:cs="Calibri"/>
                <w:lang w:val="cs-CZ" w:eastAsia="cs-CZ"/>
              </w:rPr>
            </w:pPr>
            <w:r w:rsidRPr="008B53A9">
              <w:rPr>
                <w:rFonts w:cs="Calibri"/>
                <w:lang w:val="cs-CZ" w:eastAsia="cs-CZ"/>
              </w:rPr>
              <w:t>PO 1: Rozvoj výzkumu a vývoje pro inovace</w:t>
            </w:r>
          </w:p>
        </w:tc>
        <w:tc>
          <w:tcPr>
            <w:tcW w:w="47" w:type="pct"/>
            <w:tcBorders>
              <w:top w:val="nil"/>
              <w:left w:val="single" w:sz="4" w:space="0" w:color="auto"/>
              <w:bottom w:val="nil"/>
              <w:right w:val="single" w:sz="4" w:space="0" w:color="auto"/>
            </w:tcBorders>
            <w:shd w:val="clear" w:color="auto" w:fill="auto"/>
            <w:vAlign w:val="center"/>
          </w:tcPr>
          <w:p w:rsidR="00F4450C" w:rsidRPr="008B53A9" w:rsidRDefault="00F4450C" w:rsidP="0030490E">
            <w:pPr>
              <w:pStyle w:val="Tabulka"/>
              <w:jc w:val="left"/>
              <w:rPr>
                <w:rFonts w:cs="Calibri"/>
                <w:sz w:val="6"/>
                <w:szCs w:val="6"/>
                <w:lang w:val="cs-CZ" w:eastAsia="cs-CZ"/>
              </w:rPr>
            </w:pPr>
          </w:p>
        </w:tc>
        <w:tc>
          <w:tcPr>
            <w:tcW w:w="1676" w:type="pct"/>
            <w:tcBorders>
              <w:top w:val="dotted" w:sz="4" w:space="0" w:color="auto"/>
              <w:left w:val="single" w:sz="4" w:space="0" w:color="auto"/>
              <w:bottom w:val="dotted" w:sz="4" w:space="0" w:color="auto"/>
            </w:tcBorders>
            <w:shd w:val="clear" w:color="auto" w:fill="auto"/>
            <w:vAlign w:val="center"/>
          </w:tcPr>
          <w:p w:rsidR="00F4450C" w:rsidRPr="008B53A9" w:rsidRDefault="00F4450C" w:rsidP="00B117BE">
            <w:pPr>
              <w:pStyle w:val="Tabulka"/>
              <w:jc w:val="left"/>
              <w:rPr>
                <w:rFonts w:cs="Calibri"/>
                <w:lang w:val="cs-CZ" w:eastAsia="cs-CZ"/>
              </w:rPr>
            </w:pPr>
            <w:r w:rsidRPr="008B53A9">
              <w:rPr>
                <w:rFonts w:cs="Calibri"/>
                <w:lang w:val="cs-CZ" w:eastAsia="cs-CZ"/>
              </w:rPr>
              <w:t>PO 2: Rozvoj podnikání a konkurenceschopnosti malých a středních podniků</w:t>
            </w:r>
          </w:p>
        </w:tc>
      </w:tr>
      <w:tr w:rsidR="00F4450C" w:rsidRPr="008B53A9">
        <w:tc>
          <w:tcPr>
            <w:tcW w:w="1101" w:type="pct"/>
            <w:tcBorders>
              <w:top w:val="dotted" w:sz="4" w:space="0" w:color="auto"/>
            </w:tcBorders>
            <w:shd w:val="clear" w:color="auto" w:fill="DBE5F1"/>
            <w:vAlign w:val="center"/>
          </w:tcPr>
          <w:p w:rsidR="00F4450C" w:rsidRPr="008B53A9" w:rsidRDefault="00F4450C" w:rsidP="0030490E">
            <w:pPr>
              <w:pStyle w:val="Tabulka"/>
              <w:jc w:val="left"/>
              <w:rPr>
                <w:rFonts w:cs="Calibri"/>
                <w:b/>
                <w:lang w:val="cs-CZ" w:eastAsia="cs-CZ"/>
              </w:rPr>
            </w:pPr>
            <w:r w:rsidRPr="008B53A9">
              <w:rPr>
                <w:rFonts w:cs="Calibri"/>
                <w:b/>
                <w:lang w:val="cs-CZ" w:eastAsia="cs-CZ"/>
              </w:rPr>
              <w:t>Specifický cíl</w:t>
            </w:r>
          </w:p>
        </w:tc>
        <w:tc>
          <w:tcPr>
            <w:tcW w:w="2176" w:type="pct"/>
            <w:tcBorders>
              <w:top w:val="dotted" w:sz="4" w:space="0" w:color="auto"/>
            </w:tcBorders>
            <w:shd w:val="clear" w:color="auto" w:fill="auto"/>
            <w:vAlign w:val="center"/>
          </w:tcPr>
          <w:p w:rsidR="00F4450C" w:rsidRPr="008B53A9" w:rsidRDefault="00F4450C" w:rsidP="0030490E">
            <w:pPr>
              <w:pStyle w:val="Tabulka"/>
              <w:jc w:val="left"/>
              <w:rPr>
                <w:rFonts w:cs="Calibri"/>
                <w:lang w:val="cs-CZ" w:eastAsia="cs-CZ"/>
              </w:rPr>
            </w:pPr>
            <w:r w:rsidRPr="008B53A9">
              <w:rPr>
                <w:rFonts w:cs="Calibri"/>
                <w:lang w:val="cs-CZ" w:eastAsia="cs-CZ"/>
              </w:rPr>
              <w:t>SC 1.1: Zvýšit inovační výkonnost podniků</w:t>
            </w:r>
          </w:p>
          <w:p w:rsidR="00F4450C" w:rsidRPr="008B53A9" w:rsidRDefault="00F4450C" w:rsidP="0030490E">
            <w:pPr>
              <w:pStyle w:val="Tabulka"/>
              <w:jc w:val="left"/>
              <w:rPr>
                <w:rFonts w:cs="Calibri"/>
                <w:lang w:val="cs-CZ" w:eastAsia="cs-CZ"/>
              </w:rPr>
            </w:pPr>
            <w:r w:rsidRPr="008B53A9">
              <w:rPr>
                <w:rFonts w:cs="Calibri"/>
                <w:lang w:val="cs-CZ" w:eastAsia="cs-CZ"/>
              </w:rPr>
              <w:t>SC 1.2: Zvýšit intenzitu a účinnost spolupráce ve výzkumu, vývoji a inovacích</w:t>
            </w:r>
          </w:p>
        </w:tc>
        <w:tc>
          <w:tcPr>
            <w:tcW w:w="47" w:type="pct"/>
            <w:tcBorders>
              <w:top w:val="nil"/>
              <w:bottom w:val="nil"/>
            </w:tcBorders>
            <w:shd w:val="clear" w:color="auto" w:fill="auto"/>
            <w:vAlign w:val="center"/>
          </w:tcPr>
          <w:p w:rsidR="00F4450C" w:rsidRPr="008B53A9" w:rsidRDefault="00F4450C" w:rsidP="0030490E">
            <w:pPr>
              <w:pStyle w:val="Tabulka"/>
              <w:jc w:val="left"/>
              <w:rPr>
                <w:rFonts w:cs="Calibri"/>
                <w:sz w:val="6"/>
                <w:szCs w:val="6"/>
                <w:lang w:val="cs-CZ" w:eastAsia="cs-CZ"/>
              </w:rPr>
            </w:pPr>
          </w:p>
        </w:tc>
        <w:tc>
          <w:tcPr>
            <w:tcW w:w="1676" w:type="pct"/>
            <w:tcBorders>
              <w:top w:val="dotted" w:sz="4" w:space="0" w:color="auto"/>
            </w:tcBorders>
            <w:shd w:val="clear" w:color="auto" w:fill="auto"/>
            <w:vAlign w:val="center"/>
          </w:tcPr>
          <w:p w:rsidR="00F4450C" w:rsidRPr="008B53A9" w:rsidRDefault="00F4450C" w:rsidP="00F4450C">
            <w:pPr>
              <w:pStyle w:val="Tabulka"/>
              <w:jc w:val="left"/>
              <w:rPr>
                <w:rFonts w:cs="Calibri"/>
                <w:lang w:val="cs-CZ" w:eastAsia="cs-CZ"/>
              </w:rPr>
            </w:pPr>
            <w:r w:rsidRPr="008B53A9">
              <w:rPr>
                <w:rFonts w:cs="Calibri"/>
                <w:lang w:val="cs-CZ" w:eastAsia="cs-CZ"/>
              </w:rPr>
              <w:t xml:space="preserve">SC 2.1: </w:t>
            </w:r>
            <w:r w:rsidR="00CE3F25" w:rsidRPr="008B53A9">
              <w:rPr>
                <w:rFonts w:cs="Calibri"/>
                <w:lang w:val="cs-CZ" w:eastAsia="cs-CZ"/>
              </w:rPr>
              <w:t>Zvýšit konkurenceschopnost začínajících a rozvojových MSP</w:t>
            </w:r>
          </w:p>
          <w:p w:rsidR="00F4450C" w:rsidRPr="008B53A9" w:rsidRDefault="00F4450C" w:rsidP="00F4450C">
            <w:pPr>
              <w:pStyle w:val="Tabulka"/>
              <w:jc w:val="left"/>
              <w:rPr>
                <w:rFonts w:cs="Calibri"/>
                <w:lang w:val="cs-CZ" w:eastAsia="cs-CZ"/>
              </w:rPr>
            </w:pPr>
            <w:r w:rsidRPr="008B53A9">
              <w:rPr>
                <w:rFonts w:cs="Calibri"/>
                <w:lang w:val="cs-CZ" w:eastAsia="cs-CZ"/>
              </w:rPr>
              <w:t>SC 2.2: Zvýšit internacionalizaci malých a středních podniků</w:t>
            </w:r>
          </w:p>
        </w:tc>
      </w:tr>
      <w:tr w:rsidR="00F4450C" w:rsidRPr="008B53A9">
        <w:tc>
          <w:tcPr>
            <w:tcW w:w="1101" w:type="pct"/>
            <w:shd w:val="clear" w:color="auto" w:fill="DBE5F1"/>
            <w:vAlign w:val="center"/>
          </w:tcPr>
          <w:p w:rsidR="00F4450C" w:rsidRPr="008B53A9" w:rsidRDefault="00F4450C" w:rsidP="0030490E">
            <w:pPr>
              <w:pStyle w:val="Tabulka"/>
              <w:jc w:val="left"/>
              <w:rPr>
                <w:rFonts w:cs="Calibri"/>
                <w:b/>
                <w:lang w:val="cs-CZ" w:eastAsia="cs-CZ"/>
              </w:rPr>
            </w:pPr>
            <w:r w:rsidRPr="008B53A9">
              <w:rPr>
                <w:rFonts w:cs="Calibri"/>
                <w:b/>
                <w:lang w:val="cs-CZ" w:eastAsia="cs-CZ"/>
              </w:rPr>
              <w:t>Věcná specifikace (zaměření, aktivity)</w:t>
            </w:r>
          </w:p>
        </w:tc>
        <w:tc>
          <w:tcPr>
            <w:tcW w:w="2176" w:type="pct"/>
            <w:shd w:val="clear" w:color="auto" w:fill="auto"/>
          </w:tcPr>
          <w:p w:rsidR="00F4450C" w:rsidRPr="008B53A9" w:rsidRDefault="00FC0044" w:rsidP="00F4450C">
            <w:pPr>
              <w:pStyle w:val="Tabulka"/>
              <w:jc w:val="left"/>
              <w:rPr>
                <w:rFonts w:cs="Calibri"/>
                <w:lang w:val="cs-CZ" w:eastAsia="cs-CZ"/>
              </w:rPr>
            </w:pPr>
            <w:r w:rsidRPr="008B53A9">
              <w:rPr>
                <w:rFonts w:cs="Calibri"/>
                <w:lang w:val="cs-CZ" w:eastAsia="cs-CZ"/>
              </w:rPr>
              <w:t xml:space="preserve">• </w:t>
            </w:r>
            <w:r w:rsidR="00F4450C" w:rsidRPr="008B53A9">
              <w:rPr>
                <w:rFonts w:cs="Calibri"/>
                <w:lang w:val="cs-CZ" w:eastAsia="cs-CZ"/>
              </w:rPr>
              <w:t>Zakládání a rozvoj podnikových výzkumných a vývojových center ve vazbě na jasně definovanou, životaschopnou strategii firmy.</w:t>
            </w:r>
          </w:p>
          <w:p w:rsidR="00F4450C" w:rsidRPr="008B53A9" w:rsidRDefault="00F4450C" w:rsidP="00F4450C">
            <w:pPr>
              <w:pStyle w:val="Tabulka"/>
              <w:jc w:val="left"/>
              <w:rPr>
                <w:rFonts w:cs="Calibri"/>
                <w:lang w:val="cs-CZ" w:eastAsia="cs-CZ"/>
              </w:rPr>
            </w:pPr>
            <w:r w:rsidRPr="008B53A9">
              <w:rPr>
                <w:rFonts w:cs="Calibri"/>
                <w:lang w:val="cs-CZ" w:eastAsia="cs-CZ"/>
              </w:rPr>
              <w:lastRenderedPageBreak/>
              <w:t>•</w:t>
            </w:r>
            <w:r w:rsidR="00FC0044" w:rsidRPr="008B53A9">
              <w:rPr>
                <w:rFonts w:cs="Calibri"/>
                <w:lang w:val="cs-CZ" w:eastAsia="cs-CZ"/>
              </w:rPr>
              <w:t xml:space="preserve"> </w:t>
            </w:r>
            <w:r w:rsidRPr="008B53A9">
              <w:rPr>
                <w:rFonts w:cs="Calibri"/>
                <w:lang w:val="cs-CZ" w:eastAsia="cs-CZ"/>
              </w:rPr>
              <w:t>Zavádění inovací výrobků a služeb do výroby a jejich uvedení na trh (např. up-scaling, pilotní výrobní linky apod.).</w:t>
            </w:r>
          </w:p>
          <w:p w:rsidR="00F4450C" w:rsidRPr="008B53A9" w:rsidRDefault="00F4450C" w:rsidP="00F4450C">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Zvýšení efektivnosti výrobních procesů, zavádění procesních a marketingových inovací.</w:t>
            </w:r>
          </w:p>
          <w:p w:rsidR="00F4450C" w:rsidRPr="008B53A9" w:rsidRDefault="00F4450C" w:rsidP="00F4450C">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Ochrana duševního vlastnictví v podnicích.</w:t>
            </w:r>
          </w:p>
          <w:p w:rsidR="00F4450C" w:rsidRPr="008B53A9" w:rsidRDefault="00F4450C" w:rsidP="00F4450C">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Průmyslový výzkum a vývoj: realizace projektů aplikovaného výzkumu a experimentálního vývoje - realizovaných zejména ve spolupráci firem a výzkumných institucí, jejichž výsledky povedou následně k zavádění inovací vyšších řádů a k tvorbě produktů konkurenceschopných na světových trzích. Specifická pozornost bude věnována výzkumu v oblasti klíčových průřezových technologií (KETs), které  mají značný potenciál pro urychlení modernizace firemní základny, pro vznik nových průmyslových odvětví v regionech i pro zefektivnění funkcí zajišťovaných veřejným sektorem. Snaha stimulovat KETs souvisí s jejich rolí katalyzátoru technologického pokroku a přínosu pro vznik nových aplikačních oblastí.</w:t>
            </w:r>
          </w:p>
          <w:p w:rsidR="00F4450C" w:rsidRPr="008B53A9" w:rsidRDefault="00F4450C" w:rsidP="00F4450C">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Aktivity, kde inovační poptávku iniciuje veřejný sektor, jakožto významná část aplikační sféry, pomocí nástroje předkomerčního zadávání veřejných zakázek v inovacích („pre-commercial public procurement“, PCP), od fáze iniciace řízení poptávky veřejného sektoru až po samotnou realizaci.</w:t>
            </w:r>
          </w:p>
          <w:p w:rsidR="00F4450C" w:rsidRPr="008B53A9" w:rsidRDefault="00F4450C" w:rsidP="00F4450C">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Tvorba nových a rozšiřování a zvyšování kvality současných služeb podpůrné infrastruktury, tj. vědecko-technických parků, podnikatelských inovačních center, podnikatelských inkubátorů.</w:t>
            </w:r>
          </w:p>
          <w:p w:rsidR="00F4450C" w:rsidRPr="008B53A9" w:rsidRDefault="00F4450C" w:rsidP="00F4450C">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Rozvoj sítí spolupráce, vč. klastrů a technologických platforem (zejména kolektivní výzkum, založený na potřebách většího počtu MSP i větších firem, rozvoj mezisektorové spolupráce a internacionalizace).</w:t>
            </w:r>
          </w:p>
          <w:p w:rsidR="00F4450C" w:rsidRPr="008B53A9" w:rsidRDefault="00F4450C" w:rsidP="00F4450C">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 xml:space="preserve">Vytváření partnerství pro znalostní transfer mezi podniky a univerzitami za účasti kvalifikovaných absolventů, při kterých </w:t>
            </w:r>
            <w:r w:rsidRPr="008B53A9">
              <w:rPr>
                <w:rFonts w:cs="Calibri"/>
                <w:lang w:val="cs-CZ" w:eastAsia="cs-CZ"/>
              </w:rPr>
              <w:lastRenderedPageBreak/>
              <w:t>dochází k přímé aplikaci výzkumných poznatků v podniku, které mají strategický význam pro jeho další rozvoj (KTP / mobilita podniková sféra - akademická sféra).</w:t>
            </w:r>
          </w:p>
          <w:p w:rsidR="00F4450C" w:rsidRPr="008B53A9" w:rsidRDefault="00F4450C" w:rsidP="00F4450C">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Podpořit komunikaci a sdílení poznatků mezi podnikovou a výzkumnou sférou.</w:t>
            </w:r>
          </w:p>
          <w:p w:rsidR="00F4450C" w:rsidRPr="008B53A9" w:rsidRDefault="00F4450C" w:rsidP="00F4450C">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Výstavba sdílené infrastruktury pro průmyslový výzkum.</w:t>
            </w:r>
          </w:p>
          <w:p w:rsidR="00F4450C" w:rsidRPr="008B53A9" w:rsidRDefault="00F4450C" w:rsidP="00FC0044">
            <w:pPr>
              <w:pStyle w:val="Tabulka"/>
              <w:jc w:val="left"/>
              <w:rPr>
                <w:rFonts w:cs="Calibri"/>
                <w:lang w:val="cs-CZ" w:eastAsia="cs-CZ"/>
              </w:rPr>
            </w:pPr>
            <w:r w:rsidRPr="008B53A9">
              <w:rPr>
                <w:rFonts w:cs="Calibri"/>
                <w:lang w:val="cs-CZ" w:eastAsia="cs-CZ"/>
              </w:rPr>
              <w:t>•</w:t>
            </w:r>
            <w:r w:rsidR="00FC0044" w:rsidRPr="008B53A9">
              <w:rPr>
                <w:rFonts w:cs="Calibri"/>
                <w:lang w:val="cs-CZ" w:eastAsia="cs-CZ"/>
              </w:rPr>
              <w:t xml:space="preserve"> </w:t>
            </w:r>
            <w:r w:rsidRPr="008B53A9">
              <w:rPr>
                <w:rFonts w:cs="Calibri"/>
                <w:lang w:val="cs-CZ" w:eastAsia="cs-CZ"/>
              </w:rPr>
              <w:t>Aktivity vedoucí ke komercializaci výsledků výzkumu pomocí aktivit ověření proveditelnosti („proof – of – concept“).</w:t>
            </w:r>
          </w:p>
        </w:tc>
        <w:tc>
          <w:tcPr>
            <w:tcW w:w="47" w:type="pct"/>
            <w:tcBorders>
              <w:top w:val="nil"/>
              <w:bottom w:val="nil"/>
            </w:tcBorders>
            <w:shd w:val="clear" w:color="auto" w:fill="auto"/>
            <w:vAlign w:val="center"/>
          </w:tcPr>
          <w:p w:rsidR="00F4450C" w:rsidRPr="008B53A9" w:rsidRDefault="00F4450C" w:rsidP="0030490E">
            <w:pPr>
              <w:pStyle w:val="Tabulka"/>
              <w:jc w:val="left"/>
              <w:rPr>
                <w:rFonts w:cs="Calibri"/>
                <w:sz w:val="6"/>
                <w:szCs w:val="6"/>
                <w:lang w:val="cs-CZ" w:eastAsia="cs-CZ"/>
              </w:rPr>
            </w:pPr>
          </w:p>
        </w:tc>
        <w:tc>
          <w:tcPr>
            <w:tcW w:w="1676" w:type="pct"/>
            <w:shd w:val="clear" w:color="auto" w:fill="auto"/>
            <w:vAlign w:val="center"/>
          </w:tcPr>
          <w:p w:rsidR="00F4450C" w:rsidRPr="008B53A9" w:rsidRDefault="00FC0044" w:rsidP="00FC0044">
            <w:pPr>
              <w:pStyle w:val="Tabulka"/>
              <w:jc w:val="left"/>
              <w:rPr>
                <w:rFonts w:cs="Calibri"/>
                <w:lang w:val="cs-CZ" w:eastAsia="cs-CZ"/>
              </w:rPr>
            </w:pPr>
            <w:r w:rsidRPr="008B53A9">
              <w:rPr>
                <w:rFonts w:cs="Calibri"/>
                <w:lang w:val="cs-CZ" w:eastAsia="cs-CZ"/>
              </w:rPr>
              <w:t xml:space="preserve">• </w:t>
            </w:r>
            <w:r w:rsidR="00F4450C" w:rsidRPr="008B53A9">
              <w:rPr>
                <w:rFonts w:cs="Calibri"/>
                <w:lang w:val="cs-CZ" w:eastAsia="cs-CZ"/>
              </w:rPr>
              <w:t xml:space="preserve">Realizace podnikatelských záměrů začínajících podniků (do 5 let) a rozvojových podniků prostřednictvím vhodných finančních nástrojů </w:t>
            </w:r>
            <w:r w:rsidR="00F4450C" w:rsidRPr="008B53A9">
              <w:rPr>
                <w:rFonts w:cs="Calibri"/>
                <w:lang w:val="cs-CZ" w:eastAsia="cs-CZ"/>
              </w:rPr>
              <w:lastRenderedPageBreak/>
              <w:t xml:space="preserve">(úvěry, záruky za bankovní úvěry, rizikový kapitál) a dotací </w:t>
            </w:r>
            <w:r w:rsidR="00182C5E" w:rsidRPr="008B53A9">
              <w:rPr>
                <w:rFonts w:cs="Calibri"/>
                <w:lang w:val="cs-CZ" w:eastAsia="cs-CZ"/>
              </w:rPr>
              <w:t>MSP zejména</w:t>
            </w:r>
            <w:r w:rsidR="00F4450C" w:rsidRPr="008B53A9">
              <w:rPr>
                <w:rFonts w:cs="Calibri"/>
                <w:lang w:val="cs-CZ" w:eastAsia="cs-CZ"/>
              </w:rPr>
              <w:t xml:space="preserve"> mikropodniků,</w:t>
            </w:r>
          </w:p>
          <w:p w:rsidR="00F4450C" w:rsidRPr="008B53A9" w:rsidRDefault="00FC0044" w:rsidP="00FC0044">
            <w:pPr>
              <w:pStyle w:val="Tabulka"/>
              <w:jc w:val="left"/>
              <w:rPr>
                <w:rFonts w:cs="Calibri"/>
                <w:lang w:val="cs-CZ" w:eastAsia="cs-CZ"/>
              </w:rPr>
            </w:pPr>
            <w:r w:rsidRPr="008B53A9">
              <w:rPr>
                <w:rFonts w:cs="Calibri"/>
                <w:lang w:val="cs-CZ" w:eastAsia="cs-CZ"/>
              </w:rPr>
              <w:t xml:space="preserve">• </w:t>
            </w:r>
            <w:r w:rsidR="00F4450C" w:rsidRPr="008B53A9">
              <w:rPr>
                <w:rFonts w:cs="Calibri"/>
                <w:lang w:val="cs-CZ" w:eastAsia="cs-CZ"/>
              </w:rPr>
              <w:t>poskytování poradenských služeb a služeb pro začínající podniky (např. prostřednictvím podnikatelských inkubátorů v nemetropolitních, zejména periferních regionech).</w:t>
            </w:r>
          </w:p>
          <w:p w:rsidR="00F4450C" w:rsidRPr="008B53A9" w:rsidRDefault="00FC0044" w:rsidP="00FC0044">
            <w:pPr>
              <w:pStyle w:val="Tabulka"/>
              <w:jc w:val="left"/>
              <w:rPr>
                <w:rFonts w:cs="Calibri"/>
                <w:lang w:val="cs-CZ" w:eastAsia="cs-CZ"/>
              </w:rPr>
            </w:pPr>
            <w:r w:rsidRPr="008B53A9">
              <w:rPr>
                <w:rFonts w:cs="Calibri"/>
                <w:lang w:val="cs-CZ" w:eastAsia="cs-CZ"/>
              </w:rPr>
              <w:t xml:space="preserve">• </w:t>
            </w:r>
            <w:r w:rsidR="00F4450C" w:rsidRPr="008B53A9">
              <w:rPr>
                <w:rFonts w:cs="Calibri"/>
                <w:lang w:val="cs-CZ" w:eastAsia="cs-CZ"/>
              </w:rPr>
              <w:t>Služby pro MSP zaměřené na mezinárodní konkurenceschopnost usnadňující vstup na zahraniční trhy (účast na zahraničních výstavách a veletrzích, včetně organizace seminářů/akcí se zaměřením na konkrétní problematiku týkající se mezinárodní konkurenceschopnosti, např. právní aspekty daného teritoria aj.),</w:t>
            </w:r>
          </w:p>
          <w:p w:rsidR="00F4450C" w:rsidRPr="008B53A9" w:rsidRDefault="00FC0044" w:rsidP="00FC0044">
            <w:pPr>
              <w:pStyle w:val="Tabulka"/>
              <w:jc w:val="left"/>
              <w:rPr>
                <w:rFonts w:cs="Calibri"/>
                <w:lang w:val="cs-CZ" w:eastAsia="cs-CZ"/>
              </w:rPr>
            </w:pPr>
            <w:r w:rsidRPr="008B53A9">
              <w:rPr>
                <w:rFonts w:cs="Calibri"/>
                <w:lang w:val="cs-CZ" w:eastAsia="cs-CZ"/>
              </w:rPr>
              <w:t xml:space="preserve">• </w:t>
            </w:r>
            <w:r w:rsidR="00F4450C" w:rsidRPr="008B53A9">
              <w:rPr>
                <w:rFonts w:cs="Calibri"/>
                <w:lang w:val="cs-CZ" w:eastAsia="cs-CZ"/>
              </w:rPr>
              <w:t>poradenské služby expertů se znalostí mezinárodního prostředí (se specifickou teritoriální znalostí) a poradenské služby pro strategické řízení a management inovací (mentoring, koučin</w:t>
            </w:r>
            <w:r w:rsidR="001F0603" w:rsidRPr="008B53A9">
              <w:rPr>
                <w:rFonts w:cs="Calibri"/>
                <w:lang w:val="cs-CZ" w:eastAsia="cs-CZ"/>
              </w:rPr>
              <w:t>g</w:t>
            </w:r>
            <w:r w:rsidR="00F4450C" w:rsidRPr="008B53A9">
              <w:rPr>
                <w:rFonts w:cs="Calibri"/>
                <w:lang w:val="cs-CZ" w:eastAsia="cs-CZ"/>
              </w:rPr>
              <w:t xml:space="preserve">, foresight ad.), </w:t>
            </w:r>
          </w:p>
          <w:p w:rsidR="00F4450C" w:rsidRPr="008B53A9" w:rsidRDefault="00FC0044" w:rsidP="00FC0044">
            <w:pPr>
              <w:pStyle w:val="Tabulka"/>
              <w:jc w:val="left"/>
              <w:rPr>
                <w:rFonts w:cs="Calibri"/>
                <w:lang w:val="cs-CZ" w:eastAsia="cs-CZ"/>
              </w:rPr>
            </w:pPr>
            <w:r w:rsidRPr="008B53A9">
              <w:rPr>
                <w:rFonts w:cs="Calibri"/>
                <w:lang w:val="cs-CZ" w:eastAsia="cs-CZ"/>
              </w:rPr>
              <w:t xml:space="preserve">• </w:t>
            </w:r>
            <w:r w:rsidR="00F4450C" w:rsidRPr="008B53A9">
              <w:rPr>
                <w:rFonts w:cs="Calibri"/>
                <w:lang w:val="cs-CZ" w:eastAsia="cs-CZ"/>
              </w:rPr>
              <w:t>služby zaměřené na podporu internacionalizace zapojováním MSP do mezinárodní výzkumné spolupráce (</w:t>
            </w:r>
            <w:r w:rsidR="0087102E" w:rsidRPr="008B53A9">
              <w:rPr>
                <w:rFonts w:cs="Calibri"/>
                <w:lang w:val="cs-CZ" w:eastAsia="cs-CZ"/>
              </w:rPr>
              <w:t>Horizont 2020</w:t>
            </w:r>
            <w:r w:rsidR="00F4450C" w:rsidRPr="008B53A9">
              <w:rPr>
                <w:rFonts w:cs="Calibri"/>
                <w:lang w:val="cs-CZ" w:eastAsia="cs-CZ"/>
              </w:rPr>
              <w:t>).</w:t>
            </w:r>
          </w:p>
        </w:tc>
      </w:tr>
      <w:tr w:rsidR="00F4450C" w:rsidRPr="008B53A9">
        <w:tc>
          <w:tcPr>
            <w:tcW w:w="1101" w:type="pct"/>
            <w:shd w:val="clear" w:color="auto" w:fill="DBE5F1"/>
            <w:vAlign w:val="center"/>
          </w:tcPr>
          <w:p w:rsidR="00F4450C" w:rsidRPr="008B53A9" w:rsidRDefault="00F4450C" w:rsidP="0030490E">
            <w:pPr>
              <w:pStyle w:val="Tabulka"/>
              <w:jc w:val="left"/>
              <w:rPr>
                <w:rFonts w:cs="Calibri"/>
                <w:b/>
                <w:lang w:val="cs-CZ" w:eastAsia="cs-CZ"/>
              </w:rPr>
            </w:pPr>
            <w:r w:rsidRPr="008B53A9">
              <w:rPr>
                <w:rFonts w:cs="Calibri"/>
                <w:b/>
                <w:lang w:val="cs-CZ" w:eastAsia="cs-CZ"/>
              </w:rPr>
              <w:lastRenderedPageBreak/>
              <w:t>Implementační prvky</w:t>
            </w:r>
          </w:p>
        </w:tc>
        <w:tc>
          <w:tcPr>
            <w:tcW w:w="2176" w:type="pct"/>
            <w:tcBorders>
              <w:bottom w:val="single" w:sz="4" w:space="0" w:color="auto"/>
            </w:tcBorders>
            <w:shd w:val="clear" w:color="auto" w:fill="auto"/>
            <w:vAlign w:val="center"/>
          </w:tcPr>
          <w:p w:rsidR="00F4450C" w:rsidRPr="008B53A9" w:rsidRDefault="00F4450C" w:rsidP="00F4450C">
            <w:pPr>
              <w:pStyle w:val="Tabulka"/>
              <w:jc w:val="left"/>
              <w:rPr>
                <w:rFonts w:cs="Calibri"/>
                <w:lang w:val="cs-CZ" w:eastAsia="cs-CZ"/>
              </w:rPr>
            </w:pPr>
            <w:r w:rsidRPr="008B53A9">
              <w:rPr>
                <w:rFonts w:cs="Calibri"/>
                <w:lang w:val="cs-CZ" w:eastAsia="cs-CZ"/>
              </w:rPr>
              <w:t>Typy příjemců: Podnikatelské subjekty (zejména malé a střední, v odůvodněných případech velké podniky), sdružení podnikatelů, zájmová sdružení právnických osob, podnikatelská seskupení, vysoké školy a ostatní vzdělávací instituce, výzkumné organizace, výzkumné ústavy, veřejné výzkumné instituce a fyzické osoby, územní samosprávné celky a jejich svazky, neziskové organizace, obecně prospěšné společnosti</w:t>
            </w:r>
          </w:p>
          <w:p w:rsidR="00F4450C" w:rsidRPr="008B53A9" w:rsidRDefault="00F4450C" w:rsidP="00F4450C">
            <w:pPr>
              <w:pStyle w:val="Tabulka"/>
              <w:jc w:val="left"/>
              <w:rPr>
                <w:rFonts w:cs="Calibri"/>
                <w:lang w:val="cs-CZ" w:eastAsia="cs-CZ"/>
              </w:rPr>
            </w:pPr>
            <w:r w:rsidRPr="008B53A9">
              <w:rPr>
                <w:rFonts w:cs="Calibri"/>
                <w:lang w:val="cs-CZ" w:eastAsia="cs-CZ"/>
              </w:rPr>
              <w:t>Cílové území: Území České republiky, mimo území hl. m. Prahy, v případě aktivit „rozvoj sítí spolupráce (klastrů)“ i Praha za využití čl. 70 obecného nařízení.</w:t>
            </w:r>
          </w:p>
        </w:tc>
        <w:tc>
          <w:tcPr>
            <w:tcW w:w="47" w:type="pct"/>
            <w:tcBorders>
              <w:top w:val="nil"/>
              <w:bottom w:val="nil"/>
            </w:tcBorders>
            <w:shd w:val="clear" w:color="auto" w:fill="auto"/>
            <w:vAlign w:val="center"/>
          </w:tcPr>
          <w:p w:rsidR="00F4450C" w:rsidRPr="008B53A9" w:rsidRDefault="00F4450C" w:rsidP="0030490E">
            <w:pPr>
              <w:pStyle w:val="Tabulka"/>
              <w:jc w:val="left"/>
              <w:rPr>
                <w:rFonts w:cs="Calibri"/>
                <w:sz w:val="6"/>
                <w:szCs w:val="6"/>
                <w:lang w:val="cs-CZ" w:eastAsia="cs-CZ"/>
              </w:rPr>
            </w:pPr>
          </w:p>
        </w:tc>
        <w:tc>
          <w:tcPr>
            <w:tcW w:w="1676" w:type="pct"/>
            <w:shd w:val="clear" w:color="auto" w:fill="auto"/>
            <w:vAlign w:val="center"/>
          </w:tcPr>
          <w:p w:rsidR="00F4450C" w:rsidRPr="008B53A9" w:rsidRDefault="00F4450C" w:rsidP="00F4450C">
            <w:pPr>
              <w:pStyle w:val="Tabulka"/>
              <w:jc w:val="left"/>
              <w:rPr>
                <w:rFonts w:cs="Calibri"/>
                <w:lang w:val="cs-CZ" w:eastAsia="cs-CZ"/>
              </w:rPr>
            </w:pPr>
            <w:r w:rsidRPr="008B53A9">
              <w:rPr>
                <w:rFonts w:cs="Calibri"/>
                <w:lang w:val="cs-CZ" w:eastAsia="cs-CZ"/>
              </w:rPr>
              <w:t>Typy příjemců: Podnikatelské subjekty (malé a střední podniky)</w:t>
            </w:r>
          </w:p>
          <w:p w:rsidR="00F4450C" w:rsidRPr="008B53A9" w:rsidRDefault="00F4450C" w:rsidP="00F4450C">
            <w:pPr>
              <w:pStyle w:val="Tabulka"/>
              <w:jc w:val="left"/>
              <w:rPr>
                <w:rFonts w:cs="Calibri"/>
                <w:lang w:val="cs-CZ" w:eastAsia="cs-CZ"/>
              </w:rPr>
            </w:pPr>
            <w:r w:rsidRPr="008B53A9">
              <w:rPr>
                <w:rFonts w:cs="Calibri"/>
                <w:lang w:val="cs-CZ" w:eastAsia="cs-CZ"/>
              </w:rPr>
              <w:t>Cílové území: Území České republiky, mimo území hl. m. Prahy, v případě aktivity „účast na zahraničních veletrzích a výstavách“ i Praha za využití čl. 70 obecného nařízení. Z hlediska územní dimenze se předpokládá směrování prostředků do rozvojových, stabilizovaných a periferních oblastí s potenciálem pro podnikání pro individuální projekty a dále do hospodářsky problémových regionů.</w:t>
            </w:r>
          </w:p>
        </w:tc>
      </w:tr>
      <w:tr w:rsidR="00152A0D" w:rsidRPr="008B53A9">
        <w:tc>
          <w:tcPr>
            <w:tcW w:w="1101" w:type="pct"/>
            <w:shd w:val="clear" w:color="auto" w:fill="DBE5F1"/>
            <w:vAlign w:val="center"/>
          </w:tcPr>
          <w:p w:rsidR="00152A0D" w:rsidRPr="008B53A9" w:rsidRDefault="00152A0D" w:rsidP="0030490E">
            <w:pPr>
              <w:pStyle w:val="Tabulka"/>
              <w:jc w:val="left"/>
              <w:rPr>
                <w:rFonts w:cs="Calibri"/>
                <w:b/>
                <w:lang w:val="cs-CZ" w:eastAsia="cs-CZ"/>
              </w:rPr>
            </w:pPr>
            <w:r w:rsidRPr="008B53A9">
              <w:rPr>
                <w:rFonts w:cs="Calibri"/>
                <w:b/>
                <w:lang w:val="cs-CZ" w:eastAsia="cs-CZ"/>
              </w:rPr>
              <w:t>Synergie/komplementarita</w:t>
            </w:r>
          </w:p>
        </w:tc>
        <w:tc>
          <w:tcPr>
            <w:tcW w:w="2176" w:type="pct"/>
            <w:tcBorders>
              <w:tr2bl w:val="single" w:sz="4" w:space="0" w:color="auto"/>
            </w:tcBorders>
            <w:shd w:val="clear" w:color="auto" w:fill="auto"/>
            <w:vAlign w:val="center"/>
          </w:tcPr>
          <w:p w:rsidR="00152A0D" w:rsidRPr="008B53A9" w:rsidRDefault="00152A0D" w:rsidP="00F4450C">
            <w:pPr>
              <w:pStyle w:val="Tabulka"/>
              <w:jc w:val="left"/>
              <w:rPr>
                <w:rFonts w:cs="Calibri"/>
                <w:lang w:val="cs-CZ" w:eastAsia="cs-CZ"/>
              </w:rPr>
            </w:pPr>
          </w:p>
        </w:tc>
        <w:tc>
          <w:tcPr>
            <w:tcW w:w="47" w:type="pct"/>
            <w:tcBorders>
              <w:top w:val="nil"/>
              <w:bottom w:val="nil"/>
            </w:tcBorders>
            <w:shd w:val="clear" w:color="auto" w:fill="auto"/>
            <w:vAlign w:val="center"/>
          </w:tcPr>
          <w:p w:rsidR="00152A0D" w:rsidRPr="008B53A9" w:rsidRDefault="00152A0D" w:rsidP="0030490E">
            <w:pPr>
              <w:pStyle w:val="Tabulka"/>
              <w:jc w:val="left"/>
              <w:rPr>
                <w:rFonts w:cs="Calibri"/>
                <w:sz w:val="6"/>
                <w:szCs w:val="6"/>
                <w:lang w:val="cs-CZ" w:eastAsia="cs-CZ"/>
              </w:rPr>
            </w:pPr>
          </w:p>
        </w:tc>
        <w:tc>
          <w:tcPr>
            <w:tcW w:w="1676" w:type="pct"/>
            <w:shd w:val="clear" w:color="auto" w:fill="auto"/>
            <w:vAlign w:val="center"/>
          </w:tcPr>
          <w:p w:rsidR="00152A0D" w:rsidRPr="008B53A9" w:rsidRDefault="00152A0D" w:rsidP="00F4450C">
            <w:pPr>
              <w:pStyle w:val="Tabulka"/>
              <w:jc w:val="left"/>
              <w:rPr>
                <w:rFonts w:cs="Calibri"/>
                <w:lang w:val="cs-CZ" w:eastAsia="cs-CZ"/>
              </w:rPr>
            </w:pPr>
            <w:r w:rsidRPr="008B53A9">
              <w:rPr>
                <w:rFonts w:cs="Calibri"/>
                <w:lang w:val="cs-CZ" w:eastAsia="cs-CZ"/>
              </w:rPr>
              <w:t>synergie</w:t>
            </w:r>
          </w:p>
        </w:tc>
      </w:tr>
      <w:tr w:rsidR="00F4450C" w:rsidRPr="008B53A9">
        <w:tc>
          <w:tcPr>
            <w:tcW w:w="1101" w:type="pct"/>
            <w:shd w:val="clear" w:color="auto" w:fill="DBE5F1"/>
            <w:vAlign w:val="center"/>
          </w:tcPr>
          <w:p w:rsidR="00F4450C" w:rsidRPr="008B53A9" w:rsidRDefault="00F4450C" w:rsidP="0030490E">
            <w:pPr>
              <w:pStyle w:val="Tabulka"/>
              <w:jc w:val="left"/>
              <w:rPr>
                <w:rFonts w:cs="Calibri"/>
                <w:b/>
                <w:lang w:val="cs-CZ" w:eastAsia="cs-CZ"/>
              </w:rPr>
            </w:pPr>
            <w:r w:rsidRPr="008B53A9">
              <w:rPr>
                <w:rFonts w:cs="Calibri"/>
                <w:b/>
                <w:lang w:val="cs-CZ" w:eastAsia="cs-CZ"/>
              </w:rPr>
              <w:t>Mechanismus koordinace</w:t>
            </w:r>
          </w:p>
        </w:tc>
        <w:tc>
          <w:tcPr>
            <w:tcW w:w="3899" w:type="pct"/>
            <w:gridSpan w:val="3"/>
            <w:shd w:val="clear" w:color="auto" w:fill="auto"/>
            <w:vAlign w:val="center"/>
          </w:tcPr>
          <w:p w:rsidR="00F4450C" w:rsidRPr="008B53A9" w:rsidRDefault="00F4450C" w:rsidP="00F4450C">
            <w:pPr>
              <w:pStyle w:val="Tabulka"/>
              <w:jc w:val="left"/>
              <w:rPr>
                <w:rFonts w:cs="Calibri"/>
                <w:lang w:val="cs-CZ" w:eastAsia="cs-CZ"/>
              </w:rPr>
            </w:pPr>
            <w:r w:rsidRPr="008B53A9">
              <w:rPr>
                <w:rFonts w:cs="Calibri"/>
                <w:lang w:val="cs-CZ" w:eastAsia="cs-CZ"/>
              </w:rPr>
              <w:t xml:space="preserve">Koordinace výzev, nastavení systému výběru a hodnocení projektů </w:t>
            </w:r>
          </w:p>
          <w:p w:rsidR="00F4450C" w:rsidRPr="008B53A9" w:rsidRDefault="00F4450C" w:rsidP="00F4450C">
            <w:pPr>
              <w:pStyle w:val="Tabulka"/>
              <w:jc w:val="left"/>
              <w:rPr>
                <w:rFonts w:cs="Calibri"/>
                <w:lang w:val="cs-CZ" w:eastAsia="cs-CZ"/>
              </w:rPr>
            </w:pPr>
            <w:r w:rsidRPr="008B53A9">
              <w:rPr>
                <w:rFonts w:cs="Calibri"/>
                <w:lang w:val="cs-CZ" w:eastAsia="cs-CZ"/>
              </w:rPr>
              <w:t>Zodpovědný orgán: ŘO</w:t>
            </w:r>
          </w:p>
        </w:tc>
      </w:tr>
    </w:tbl>
    <w:p w:rsidR="0030490E" w:rsidRPr="008B53A9" w:rsidRDefault="0030490E" w:rsidP="00F004B3">
      <w:pPr>
        <w:pStyle w:val="Standardntext"/>
        <w:rPr>
          <w:b/>
        </w:rPr>
      </w:pPr>
    </w:p>
    <w:p w:rsidR="00F004B3" w:rsidRPr="008B53A9" w:rsidRDefault="00F004B3" w:rsidP="005D178C">
      <w:pPr>
        <w:pStyle w:val="Standardntext"/>
        <w:keepNext/>
        <w:keepLines/>
        <w:numPr>
          <w:ilvl w:val="0"/>
          <w:numId w:val="95"/>
        </w:numPr>
        <w:rPr>
          <w:b/>
        </w:rPr>
      </w:pPr>
      <w:r w:rsidRPr="008B53A9">
        <w:rPr>
          <w:b/>
        </w:rPr>
        <w:lastRenderedPageBreak/>
        <w:t>Výzkum, vývoj a inovace</w:t>
      </w:r>
    </w:p>
    <w:p w:rsidR="00F004B3" w:rsidRPr="008B53A9" w:rsidRDefault="00F004B3" w:rsidP="00F004B3">
      <w:pPr>
        <w:pStyle w:val="Standardntext"/>
        <w:keepNext/>
        <w:keepLines/>
      </w:pPr>
      <w:r w:rsidRPr="008B53A9">
        <w:t xml:space="preserve">V této oblasti má OP PIK jednoznačnou vazbu na </w:t>
      </w:r>
      <w:r w:rsidRPr="008B53A9">
        <w:rPr>
          <w:b/>
        </w:rPr>
        <w:t>OP VVV</w:t>
      </w:r>
      <w:r w:rsidRPr="008B53A9">
        <w:t>. OP VVV je orientován na posílení základů znalostní ekonomiky, konkrétně pak na zvýšení kvality vzdělání a lidských zdrojů pro potřeby znalostní ekonomiky a zlepšení prostředí podporujícího transformaci těchto výsledků do inovací. OP VVV se tak v této oblasti bude zaměřovat na spolupráci výzkumných organizací a podniků ve velmi rané fázi výzkumu, kdy je riziko vysoké a potenciál uplatnění až v dlouhodobém horizontu. OP PIK bude naproti tomu podporovat opatření pro zvýšení inovační výkonnosti podniků, zvýšení intenzity a využití výsledků aplikovaného výzkumu a experimentálního vývoje v praxi a do rozvoje spolupráce mezi podnikatelským sektorem a veřejnými, vzdělávacími a vědecko-výzkumnými institucemi.</w:t>
      </w:r>
    </w:p>
    <w:p w:rsidR="00F004B3" w:rsidRPr="008B53A9" w:rsidRDefault="00F004B3" w:rsidP="00F004B3">
      <w:pPr>
        <w:pStyle w:val="Standardntext"/>
      </w:pPr>
      <w:r w:rsidRPr="008B53A9">
        <w:t xml:space="preserve">Spolupráce obou operačních programů tak zajistí vytvoření vhodného prostředí pro realizaci kvalitních projektů v oblasti VaVaI, které svým potenciálem zajistí strukturální posun ČR směrem ke znalostní ekonomice. Synergické projekty více propojí nabídkovou a poptávkovou stranu trhu znalostní ekonomiky a povedou ke zvýšení využití výsledků veřejného výzkumu. Základem vzájemné spolupráce je </w:t>
      </w:r>
      <w:r w:rsidRPr="008B53A9">
        <w:rPr>
          <w:i/>
        </w:rPr>
        <w:t>Memorandum o spolupráci při přípravě a budoucí realizaci OP PIK a OP VVV</w:t>
      </w:r>
      <w:r w:rsidRPr="008B53A9">
        <w:t xml:space="preserve"> uzavřené na úrovni příslušných ministrů. Na jeho základě dojde následně po schválení obou operačních programů k uzavření Dohody o spolupráci, která bude obsahovat klíčové aspekty spolupráce obsažené v Memorandu, včetně ustanovení o zapojení řídících orgánů obou operačních programů do případných budoucích revizí těchto programů.</w:t>
      </w:r>
    </w:p>
    <w:p w:rsidR="00F004B3" w:rsidRPr="008B53A9" w:rsidRDefault="00F004B3" w:rsidP="00F004B3">
      <w:pPr>
        <w:pStyle w:val="Standardntext"/>
      </w:pPr>
      <w:r w:rsidRPr="008B53A9">
        <w:t>Na základě dosavadních dohod mezi oběma řídicími orgány došlo k vytvoření logicky navazující struktury podpory výzkumu, vývoje a inovací v ČR z ESIF, eliminující překryvy a naopak vytvářející synergie (prioritní osa 1 OP PIK - návaznost na specifický cíl 1 a 2 prioritní osy 1 OP VVV a na specifický cíl 5 prioritní osy 2 OP VVV).</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40"/>
        <w:gridCol w:w="6205"/>
        <w:gridCol w:w="134"/>
        <w:gridCol w:w="4779"/>
      </w:tblGrid>
      <w:tr w:rsidR="00D51A7B" w:rsidRPr="008B53A9">
        <w:trPr>
          <w:trHeight w:val="233"/>
        </w:trPr>
        <w:tc>
          <w:tcPr>
            <w:tcW w:w="1101" w:type="pct"/>
            <w:shd w:val="clear" w:color="auto" w:fill="739BCB"/>
            <w:vAlign w:val="center"/>
          </w:tcPr>
          <w:p w:rsidR="00D51A7B" w:rsidRPr="008B53A9" w:rsidRDefault="00BB130E" w:rsidP="00BB130E">
            <w:pPr>
              <w:pStyle w:val="Tabulka"/>
              <w:keepNext/>
              <w:keepLines/>
              <w:jc w:val="left"/>
              <w:rPr>
                <w:rFonts w:cs="Calibri"/>
                <w:b/>
                <w:lang w:val="cs-CZ" w:eastAsia="cs-CZ"/>
              </w:rPr>
            </w:pPr>
            <w:r w:rsidRPr="008B53A9">
              <w:rPr>
                <w:rFonts w:cs="Calibri"/>
                <w:b/>
                <w:color w:val="FFFFFF"/>
                <w:lang w:val="cs-CZ" w:eastAsia="cs-CZ"/>
              </w:rPr>
              <w:t>Výzkum, vývoj a inovace</w:t>
            </w:r>
          </w:p>
        </w:tc>
        <w:tc>
          <w:tcPr>
            <w:tcW w:w="2176" w:type="pct"/>
            <w:tcBorders>
              <w:bottom w:val="single" w:sz="4" w:space="0" w:color="000000"/>
            </w:tcBorders>
            <w:shd w:val="clear" w:color="auto" w:fill="B8CCE4"/>
            <w:vAlign w:val="center"/>
          </w:tcPr>
          <w:p w:rsidR="00D51A7B" w:rsidRPr="008B53A9" w:rsidRDefault="00D51A7B" w:rsidP="00BB130E">
            <w:pPr>
              <w:pStyle w:val="Tabulka"/>
              <w:keepNext/>
              <w:keepLines/>
              <w:rPr>
                <w:rFonts w:cs="Calibri"/>
                <w:b/>
                <w:lang w:val="cs-CZ" w:eastAsia="cs-CZ"/>
              </w:rPr>
            </w:pPr>
            <w:r w:rsidRPr="008B53A9">
              <w:rPr>
                <w:rFonts w:cs="Calibri"/>
                <w:b/>
                <w:lang w:val="cs-CZ" w:eastAsia="cs-CZ"/>
              </w:rPr>
              <w:t>OP PIK</w:t>
            </w:r>
          </w:p>
        </w:tc>
        <w:tc>
          <w:tcPr>
            <w:tcW w:w="47" w:type="pct"/>
            <w:tcBorders>
              <w:top w:val="nil"/>
              <w:bottom w:val="nil"/>
            </w:tcBorders>
            <w:shd w:val="clear" w:color="auto" w:fill="auto"/>
            <w:vAlign w:val="center"/>
          </w:tcPr>
          <w:p w:rsidR="00D51A7B" w:rsidRPr="008B53A9" w:rsidRDefault="00D51A7B" w:rsidP="00BB130E">
            <w:pPr>
              <w:pStyle w:val="Tabulka"/>
              <w:keepNext/>
              <w:keepLines/>
              <w:rPr>
                <w:rFonts w:cs="Calibri"/>
                <w:b/>
                <w:sz w:val="6"/>
                <w:szCs w:val="6"/>
                <w:lang w:val="cs-CZ" w:eastAsia="cs-CZ"/>
              </w:rPr>
            </w:pPr>
          </w:p>
        </w:tc>
        <w:tc>
          <w:tcPr>
            <w:tcW w:w="1676" w:type="pct"/>
            <w:tcBorders>
              <w:bottom w:val="single" w:sz="4" w:space="0" w:color="000000"/>
            </w:tcBorders>
            <w:shd w:val="clear" w:color="auto" w:fill="B8CCE4"/>
            <w:vAlign w:val="center"/>
          </w:tcPr>
          <w:p w:rsidR="00D51A7B" w:rsidRPr="008B53A9" w:rsidRDefault="00D51A7B" w:rsidP="00BB130E">
            <w:pPr>
              <w:pStyle w:val="Tabulka"/>
              <w:keepNext/>
              <w:keepLines/>
              <w:rPr>
                <w:rFonts w:cs="Calibri"/>
                <w:b/>
                <w:lang w:val="cs-CZ" w:eastAsia="cs-CZ"/>
              </w:rPr>
            </w:pPr>
            <w:r w:rsidRPr="008B53A9">
              <w:rPr>
                <w:rFonts w:cs="Calibri"/>
                <w:b/>
                <w:lang w:val="cs-CZ" w:eastAsia="cs-CZ"/>
              </w:rPr>
              <w:t>OP VVV</w:t>
            </w:r>
          </w:p>
        </w:tc>
      </w:tr>
      <w:tr w:rsidR="00D51A7B" w:rsidRPr="008B53A9">
        <w:trPr>
          <w:trHeight w:val="810"/>
        </w:trPr>
        <w:tc>
          <w:tcPr>
            <w:tcW w:w="1101" w:type="pct"/>
            <w:tcBorders>
              <w:bottom w:val="dotted" w:sz="4" w:space="0" w:color="auto"/>
            </w:tcBorders>
            <w:shd w:val="clear" w:color="auto" w:fill="DBE5F1"/>
            <w:vAlign w:val="center"/>
          </w:tcPr>
          <w:p w:rsidR="00D51A7B" w:rsidRPr="008B53A9" w:rsidRDefault="002E0DC8" w:rsidP="00267430">
            <w:pPr>
              <w:pStyle w:val="Tabulka"/>
              <w:jc w:val="left"/>
              <w:rPr>
                <w:rFonts w:cs="Calibri"/>
                <w:b/>
                <w:lang w:val="cs-CZ" w:eastAsia="cs-CZ"/>
              </w:rPr>
            </w:pPr>
            <w:r w:rsidRPr="008B53A9">
              <w:rPr>
                <w:rFonts w:cs="Calibri"/>
                <w:b/>
                <w:lang w:val="cs-CZ" w:eastAsia="cs-CZ"/>
              </w:rPr>
              <w:t>Tematický cíl / investiční priorita</w:t>
            </w:r>
          </w:p>
        </w:tc>
        <w:tc>
          <w:tcPr>
            <w:tcW w:w="2176" w:type="pct"/>
            <w:tcBorders>
              <w:bottom w:val="dotted" w:sz="4" w:space="0" w:color="auto"/>
              <w:right w:val="single" w:sz="4" w:space="0" w:color="auto"/>
            </w:tcBorders>
            <w:shd w:val="clear" w:color="auto" w:fill="auto"/>
            <w:vAlign w:val="center"/>
          </w:tcPr>
          <w:p w:rsidR="00D51A7B" w:rsidRPr="008B53A9" w:rsidRDefault="008022FA" w:rsidP="00ED0E9B">
            <w:pPr>
              <w:pStyle w:val="Tabulka"/>
              <w:jc w:val="left"/>
              <w:rPr>
                <w:rFonts w:cs="Calibri"/>
                <w:lang w:val="cs-CZ" w:eastAsia="cs-CZ"/>
              </w:rPr>
            </w:pPr>
            <w:r w:rsidRPr="008B53A9">
              <w:rPr>
                <w:rFonts w:cs="Calibri"/>
                <w:lang w:val="cs-CZ" w:eastAsia="cs-CZ"/>
              </w:rPr>
              <w:t xml:space="preserve">TC </w:t>
            </w:r>
            <w:r w:rsidR="00D51A7B" w:rsidRPr="008B53A9">
              <w:rPr>
                <w:rFonts w:cs="Calibri"/>
                <w:lang w:val="cs-CZ" w:eastAsia="cs-CZ"/>
              </w:rPr>
              <w:t>1</w:t>
            </w:r>
            <w:r w:rsidR="002E0DC8" w:rsidRPr="008B53A9">
              <w:rPr>
                <w:rFonts w:cs="Calibri"/>
                <w:lang w:val="cs-CZ" w:eastAsia="cs-CZ"/>
              </w:rPr>
              <w:t xml:space="preserve"> / </w:t>
            </w:r>
            <w:r w:rsidR="00ED0E9B" w:rsidRPr="008B53A9">
              <w:rPr>
                <w:rFonts w:cs="Calibri"/>
                <w:lang w:val="cs-CZ" w:eastAsia="cs-CZ"/>
              </w:rPr>
              <w:t>1 b)</w:t>
            </w:r>
          </w:p>
        </w:tc>
        <w:tc>
          <w:tcPr>
            <w:tcW w:w="47" w:type="pct"/>
            <w:tcBorders>
              <w:top w:val="nil"/>
              <w:left w:val="single" w:sz="4" w:space="0" w:color="auto"/>
              <w:bottom w:val="nil"/>
              <w:right w:val="single" w:sz="4" w:space="0" w:color="auto"/>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1676" w:type="pct"/>
            <w:tcBorders>
              <w:left w:val="single" w:sz="4" w:space="0" w:color="auto"/>
              <w:bottom w:val="dotted" w:sz="4" w:space="0" w:color="auto"/>
            </w:tcBorders>
            <w:shd w:val="clear" w:color="auto" w:fill="auto"/>
            <w:vAlign w:val="center"/>
          </w:tcPr>
          <w:p w:rsidR="00D51A7B" w:rsidRPr="008B53A9" w:rsidRDefault="008022FA" w:rsidP="00267430">
            <w:pPr>
              <w:pStyle w:val="Tabulka"/>
              <w:jc w:val="left"/>
              <w:rPr>
                <w:rFonts w:cs="Calibri"/>
                <w:lang w:val="cs-CZ" w:eastAsia="cs-CZ"/>
              </w:rPr>
            </w:pPr>
            <w:r w:rsidRPr="008B53A9">
              <w:rPr>
                <w:rFonts w:cs="Calibri"/>
                <w:lang w:val="cs-CZ" w:eastAsia="cs-CZ"/>
              </w:rPr>
              <w:t xml:space="preserve">TC </w:t>
            </w:r>
            <w:r w:rsidR="00D51A7B" w:rsidRPr="008B53A9">
              <w:rPr>
                <w:rFonts w:cs="Calibri"/>
                <w:lang w:val="cs-CZ" w:eastAsia="cs-CZ"/>
              </w:rPr>
              <w:t>1</w:t>
            </w:r>
            <w:r w:rsidR="002E0DC8" w:rsidRPr="008B53A9">
              <w:rPr>
                <w:rFonts w:cs="Calibri"/>
                <w:lang w:val="cs-CZ" w:eastAsia="cs-CZ"/>
              </w:rPr>
              <w:t xml:space="preserve"> / </w:t>
            </w:r>
            <w:r w:rsidR="00ED0E9B" w:rsidRPr="008B53A9">
              <w:rPr>
                <w:rFonts w:cs="Calibri"/>
                <w:lang w:val="cs-CZ" w:eastAsia="cs-CZ"/>
              </w:rPr>
              <w:t>1 a)</w:t>
            </w:r>
          </w:p>
          <w:p w:rsidR="00D51A7B" w:rsidRPr="008B53A9" w:rsidRDefault="00D51A7B" w:rsidP="00D10CE5">
            <w:pPr>
              <w:pStyle w:val="Tabulka"/>
              <w:jc w:val="left"/>
              <w:rPr>
                <w:rFonts w:cs="Calibri"/>
                <w:lang w:val="cs-CZ" w:eastAsia="cs-CZ"/>
              </w:rPr>
            </w:pPr>
            <w:r w:rsidRPr="008B53A9">
              <w:rPr>
                <w:rFonts w:cs="Calibri"/>
                <w:lang w:val="cs-CZ" w:eastAsia="cs-CZ"/>
              </w:rPr>
              <w:t>TC 10</w:t>
            </w:r>
            <w:r w:rsidR="002E0DC8" w:rsidRPr="008B53A9">
              <w:rPr>
                <w:rFonts w:cs="Calibri"/>
                <w:lang w:val="cs-CZ" w:eastAsia="cs-CZ"/>
              </w:rPr>
              <w:t xml:space="preserve"> / </w:t>
            </w:r>
            <w:r w:rsidR="00D10CE5" w:rsidRPr="008B53A9">
              <w:rPr>
                <w:rFonts w:cs="Calibri"/>
                <w:lang w:val="cs-CZ" w:eastAsia="cs-CZ"/>
              </w:rPr>
              <w:t>čl. 3 odst. c) písm. ii) nařízení o ESF</w:t>
            </w:r>
          </w:p>
        </w:tc>
      </w:tr>
      <w:tr w:rsidR="00D51A7B" w:rsidRPr="008B53A9">
        <w:trPr>
          <w:trHeight w:val="212"/>
        </w:trPr>
        <w:tc>
          <w:tcPr>
            <w:tcW w:w="1101" w:type="pct"/>
            <w:tcBorders>
              <w:top w:val="dotted" w:sz="4" w:space="0" w:color="auto"/>
              <w:bottom w:val="dotted" w:sz="4" w:space="0" w:color="auto"/>
            </w:tcBorders>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Prioritní osa</w:t>
            </w:r>
          </w:p>
        </w:tc>
        <w:tc>
          <w:tcPr>
            <w:tcW w:w="2176" w:type="pct"/>
            <w:tcBorders>
              <w:top w:val="dotted" w:sz="4" w:space="0" w:color="auto"/>
              <w:bottom w:val="dotted" w:sz="4" w:space="0" w:color="auto"/>
              <w:righ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1: Rozvoj výzkumu a vývoje pro inovace</w:t>
            </w:r>
          </w:p>
        </w:tc>
        <w:tc>
          <w:tcPr>
            <w:tcW w:w="47" w:type="pct"/>
            <w:tcBorders>
              <w:top w:val="nil"/>
              <w:left w:val="single" w:sz="4" w:space="0" w:color="auto"/>
              <w:bottom w:val="nil"/>
              <w:right w:val="single" w:sz="4" w:space="0" w:color="auto"/>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1676" w:type="pct"/>
            <w:tcBorders>
              <w:top w:val="dotted" w:sz="4" w:space="0" w:color="auto"/>
              <w:left w:val="single" w:sz="4" w:space="0" w:color="auto"/>
              <w:bottom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1: Posilování kapacit pro kvalitní výzkum</w:t>
            </w:r>
          </w:p>
          <w:p w:rsidR="00D51A7B" w:rsidRPr="008B53A9" w:rsidRDefault="00D51A7B" w:rsidP="00267430">
            <w:pPr>
              <w:pStyle w:val="Tabulka"/>
              <w:jc w:val="left"/>
              <w:rPr>
                <w:rFonts w:cs="Calibri"/>
                <w:lang w:val="cs-CZ" w:eastAsia="cs-CZ"/>
              </w:rPr>
            </w:pPr>
            <w:r w:rsidRPr="008B53A9">
              <w:rPr>
                <w:rFonts w:cs="Calibri"/>
                <w:lang w:val="cs-CZ" w:eastAsia="cs-CZ"/>
              </w:rPr>
              <w:t>PO 2: Rozvoj vysokých škol a lidských zdrojů pro výzkum a vývoj</w:t>
            </w:r>
          </w:p>
        </w:tc>
      </w:tr>
      <w:tr w:rsidR="00D51A7B" w:rsidRPr="008B53A9">
        <w:tc>
          <w:tcPr>
            <w:tcW w:w="1101" w:type="pct"/>
            <w:tcBorders>
              <w:top w:val="dotted" w:sz="4" w:space="0" w:color="auto"/>
            </w:tcBorders>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Specifický cíl</w:t>
            </w:r>
          </w:p>
        </w:tc>
        <w:tc>
          <w:tcPr>
            <w:tcW w:w="2176"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SC 1.1: Zvýšit inovační výkonnost podniků</w:t>
            </w:r>
          </w:p>
          <w:p w:rsidR="00D51A7B" w:rsidRPr="008B53A9" w:rsidRDefault="00D51A7B" w:rsidP="00267430">
            <w:pPr>
              <w:pStyle w:val="Tabulka"/>
              <w:jc w:val="left"/>
              <w:rPr>
                <w:rFonts w:cs="Calibri"/>
                <w:lang w:val="cs-CZ" w:eastAsia="cs-CZ"/>
              </w:rPr>
            </w:pPr>
            <w:r w:rsidRPr="008B53A9">
              <w:rPr>
                <w:rFonts w:cs="Calibri"/>
                <w:lang w:val="cs-CZ" w:eastAsia="cs-CZ"/>
              </w:rPr>
              <w:t>SC 1.2: Zvýšit intenzitu a účinnost spolupráce ve výzkumu, vývoji a inovacích</w:t>
            </w:r>
          </w:p>
        </w:tc>
        <w:tc>
          <w:tcPr>
            <w:tcW w:w="47"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1676"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SC 1.1: Posílit excelenci ve výzkumu</w:t>
            </w:r>
          </w:p>
          <w:p w:rsidR="00D51A7B" w:rsidRPr="008B53A9" w:rsidRDefault="00D51A7B" w:rsidP="00267430">
            <w:pPr>
              <w:pStyle w:val="Tabulka"/>
              <w:jc w:val="left"/>
              <w:rPr>
                <w:rFonts w:cs="Calibri"/>
                <w:lang w:val="cs-CZ" w:eastAsia="cs-CZ"/>
              </w:rPr>
            </w:pPr>
            <w:r w:rsidRPr="008B53A9">
              <w:rPr>
                <w:rFonts w:cs="Calibri"/>
                <w:lang w:val="cs-CZ" w:eastAsia="cs-CZ"/>
              </w:rPr>
              <w:t>SC 1.2: Zvýšit přínosy výzkumu pro společnost</w:t>
            </w:r>
          </w:p>
          <w:p w:rsidR="00D51A7B" w:rsidRPr="008B53A9" w:rsidRDefault="00D51A7B" w:rsidP="00267430">
            <w:pPr>
              <w:pStyle w:val="Tabulka"/>
              <w:jc w:val="left"/>
              <w:rPr>
                <w:rFonts w:cs="Calibri"/>
                <w:lang w:val="cs-CZ" w:eastAsia="cs-CZ"/>
              </w:rPr>
            </w:pPr>
            <w:r w:rsidRPr="008B53A9">
              <w:rPr>
                <w:rFonts w:cs="Calibri"/>
                <w:lang w:val="cs-CZ" w:eastAsia="cs-CZ"/>
              </w:rPr>
              <w:t xml:space="preserve">SC 2.5: Zlepšit podmínky pro výuku spojenou s výzkumem a pro rozvoj lidských zdrojů v oblasti </w:t>
            </w:r>
            <w:r w:rsidRPr="008B53A9">
              <w:rPr>
                <w:rFonts w:cs="Calibri"/>
                <w:lang w:val="cs-CZ" w:eastAsia="cs-CZ"/>
              </w:rPr>
              <w:lastRenderedPageBreak/>
              <w:t>výzkumu a vývoje</w:t>
            </w:r>
          </w:p>
        </w:tc>
      </w:tr>
      <w:tr w:rsidR="00D51A7B" w:rsidRPr="008B53A9">
        <w:tc>
          <w:tcPr>
            <w:tcW w:w="1101" w:type="pct"/>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lastRenderedPageBreak/>
              <w:t>Věcná specifikace (zaměření, aktivity)</w:t>
            </w:r>
          </w:p>
        </w:tc>
        <w:tc>
          <w:tcPr>
            <w:tcW w:w="2176" w:type="pct"/>
            <w:shd w:val="clear" w:color="auto" w:fill="auto"/>
          </w:tcPr>
          <w:p w:rsidR="00CD62FB" w:rsidRPr="008B53A9" w:rsidRDefault="00CD62FB" w:rsidP="00113E40">
            <w:pPr>
              <w:pStyle w:val="Tabulka"/>
              <w:jc w:val="left"/>
              <w:rPr>
                <w:rFonts w:cs="Calibri"/>
                <w:lang w:val="cs-CZ" w:eastAsia="cs-CZ"/>
              </w:rPr>
            </w:pPr>
            <w:r w:rsidRPr="008B53A9">
              <w:rPr>
                <w:rFonts w:cs="Calibri"/>
                <w:lang w:val="cs-CZ" w:eastAsia="cs-CZ"/>
              </w:rPr>
              <w:t xml:space="preserve">SC 1.1 </w:t>
            </w:r>
          </w:p>
          <w:p w:rsidR="00CD62FB" w:rsidRPr="008B53A9" w:rsidRDefault="00CD62FB" w:rsidP="00113E40">
            <w:pPr>
              <w:pStyle w:val="Tabulka"/>
              <w:jc w:val="left"/>
              <w:rPr>
                <w:rFonts w:cs="Calibri"/>
                <w:lang w:val="cs-CZ" w:eastAsia="cs-CZ"/>
              </w:rPr>
            </w:pPr>
            <w:r w:rsidRPr="008B53A9">
              <w:rPr>
                <w:rFonts w:cs="Calibri"/>
                <w:lang w:val="cs-CZ" w:eastAsia="cs-CZ"/>
              </w:rPr>
              <w:t>Typové projekty: zakládání a rozvoj podnikových výzkumných a vývojových center, zavádění inovací ve vazbě na jasně definovanou, životaschopnou strategii rozvoje vlastní konkurenční výhody firmy.</w:t>
            </w:r>
          </w:p>
          <w:p w:rsidR="00CD62FB" w:rsidRPr="008B53A9" w:rsidRDefault="00CD62FB" w:rsidP="00113E40">
            <w:pPr>
              <w:pStyle w:val="Tabulka"/>
              <w:jc w:val="left"/>
              <w:rPr>
                <w:rFonts w:cs="Calibri"/>
                <w:lang w:val="cs-CZ" w:eastAsia="cs-CZ"/>
              </w:rPr>
            </w:pPr>
            <w:r w:rsidRPr="008B53A9">
              <w:rPr>
                <w:rFonts w:cs="Calibri"/>
                <w:lang w:val="cs-CZ" w:eastAsia="cs-CZ"/>
              </w:rPr>
              <w:t>Projekty aplikovaného výzkumu a experimentálního vývoje v podnikovém sektoru, realizovaných zejména ve spolupráci firem a výzkumných institucí, jejichž výsledky povedou následně k zavádění inovací vyšších řádů a k tvorbě produktů konkurenceschopných na světových trzích.</w:t>
            </w:r>
          </w:p>
          <w:p w:rsidR="00CD62FB" w:rsidRPr="008B53A9" w:rsidRDefault="00CD62FB" w:rsidP="00113E40">
            <w:pPr>
              <w:pStyle w:val="Tabulka"/>
              <w:jc w:val="left"/>
              <w:rPr>
                <w:rFonts w:cs="Calibri"/>
                <w:lang w:val="cs-CZ" w:eastAsia="cs-CZ"/>
              </w:rPr>
            </w:pPr>
            <w:r w:rsidRPr="008B53A9">
              <w:rPr>
                <w:rFonts w:cs="Calibri"/>
                <w:lang w:val="cs-CZ" w:eastAsia="cs-CZ"/>
              </w:rPr>
              <w:t>Příjemci: MSP, velké firmy</w:t>
            </w:r>
          </w:p>
          <w:p w:rsidR="00CD62FB" w:rsidRPr="008B53A9" w:rsidRDefault="00CD62FB" w:rsidP="00113E40">
            <w:pPr>
              <w:pStyle w:val="Tabulka"/>
              <w:jc w:val="left"/>
              <w:rPr>
                <w:rFonts w:cs="Calibri"/>
                <w:lang w:val="cs-CZ" w:eastAsia="cs-CZ"/>
              </w:rPr>
            </w:pPr>
            <w:r w:rsidRPr="008B53A9">
              <w:rPr>
                <w:rFonts w:cs="Calibri"/>
                <w:lang w:val="cs-CZ" w:eastAsia="cs-CZ"/>
              </w:rPr>
              <w:t xml:space="preserve">Bonifikace: bude poskytována pouze v případě prokázané synergie s projekty OP VVV. </w:t>
            </w:r>
          </w:p>
          <w:p w:rsidR="00CD62FB" w:rsidRPr="008B53A9" w:rsidRDefault="00113E40" w:rsidP="00113E40">
            <w:pPr>
              <w:pStyle w:val="Tabulka"/>
              <w:jc w:val="left"/>
              <w:rPr>
                <w:rFonts w:cs="Calibri"/>
                <w:lang w:val="cs-CZ" w:eastAsia="cs-CZ"/>
              </w:rPr>
            </w:pPr>
            <w:r w:rsidRPr="008B53A9">
              <w:rPr>
                <w:rFonts w:cs="Calibri"/>
                <w:lang w:val="cs-CZ" w:eastAsia="cs-CZ"/>
              </w:rPr>
              <w:t>SC</w:t>
            </w:r>
            <w:r w:rsidR="00CD62FB" w:rsidRPr="008B53A9">
              <w:rPr>
                <w:rFonts w:cs="Calibri"/>
                <w:lang w:val="cs-CZ" w:eastAsia="cs-CZ"/>
              </w:rPr>
              <w:t xml:space="preserve"> 1.2 </w:t>
            </w:r>
          </w:p>
          <w:p w:rsidR="00CD62FB" w:rsidRPr="008B53A9" w:rsidRDefault="00CD62FB" w:rsidP="00113E40">
            <w:pPr>
              <w:pStyle w:val="Tabulka"/>
              <w:jc w:val="left"/>
              <w:rPr>
                <w:rFonts w:cs="Calibri"/>
                <w:lang w:val="cs-CZ" w:eastAsia="cs-CZ"/>
              </w:rPr>
            </w:pPr>
            <w:r w:rsidRPr="008B53A9">
              <w:rPr>
                <w:rFonts w:cs="Calibri"/>
                <w:lang w:val="cs-CZ" w:eastAsia="cs-CZ"/>
              </w:rPr>
              <w:t>Typové projekty: Rozvoj služeb podpůrné infrastruktury, sítí spolupráce, vč. klastrů, vytváření partnerství pro znalostní transfer mezi podniky a univerzitami za účasti kvalifikovaných absolventů (KTP).</w:t>
            </w:r>
          </w:p>
          <w:p w:rsidR="00CD62FB" w:rsidRPr="008B53A9" w:rsidRDefault="00CD62FB" w:rsidP="00113E40">
            <w:pPr>
              <w:pStyle w:val="Tabulka"/>
              <w:jc w:val="left"/>
              <w:rPr>
                <w:rFonts w:cs="Calibri"/>
                <w:lang w:val="cs-CZ" w:eastAsia="cs-CZ"/>
              </w:rPr>
            </w:pPr>
            <w:r w:rsidRPr="008B53A9">
              <w:rPr>
                <w:rFonts w:cs="Calibri"/>
                <w:lang w:val="cs-CZ" w:eastAsia="cs-CZ"/>
              </w:rPr>
              <w:t>Příjemci: MSP, velké firmy</w:t>
            </w:r>
          </w:p>
          <w:p w:rsidR="00D51A7B" w:rsidRPr="008B53A9" w:rsidRDefault="00CD62FB" w:rsidP="00113E40">
            <w:pPr>
              <w:pStyle w:val="Tabulka"/>
              <w:jc w:val="left"/>
              <w:rPr>
                <w:rFonts w:cs="Calibri"/>
                <w:lang w:val="cs-CZ" w:eastAsia="cs-CZ"/>
              </w:rPr>
            </w:pPr>
            <w:r w:rsidRPr="008B53A9">
              <w:rPr>
                <w:rFonts w:cs="Calibri"/>
                <w:lang w:val="cs-CZ" w:eastAsia="cs-CZ"/>
              </w:rPr>
              <w:t>Bonifikace: bude poskytována pouze v případě prokázané synergie s projekty OP VVV.</w:t>
            </w:r>
          </w:p>
        </w:tc>
        <w:tc>
          <w:tcPr>
            <w:tcW w:w="47"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1676" w:type="pct"/>
            <w:shd w:val="clear" w:color="auto" w:fill="auto"/>
            <w:vAlign w:val="center"/>
          </w:tcPr>
          <w:p w:rsidR="00CD62FB" w:rsidRPr="008B53A9" w:rsidRDefault="00CD62FB" w:rsidP="00CD62FB">
            <w:pPr>
              <w:pStyle w:val="Tabulka"/>
              <w:jc w:val="left"/>
              <w:rPr>
                <w:rFonts w:cs="Calibri"/>
                <w:lang w:val="cs-CZ" w:eastAsia="cs-CZ"/>
              </w:rPr>
            </w:pPr>
            <w:r w:rsidRPr="008B53A9">
              <w:rPr>
                <w:rFonts w:cs="Calibri"/>
                <w:lang w:val="cs-CZ" w:eastAsia="cs-CZ"/>
              </w:rPr>
              <w:t xml:space="preserve">SC 1.1 </w:t>
            </w:r>
          </w:p>
          <w:p w:rsidR="00CD62FB" w:rsidRPr="008B53A9" w:rsidRDefault="00CD62FB" w:rsidP="00CD62FB">
            <w:pPr>
              <w:pStyle w:val="Tabulka"/>
              <w:jc w:val="left"/>
              <w:rPr>
                <w:rFonts w:cs="Calibri"/>
                <w:lang w:val="cs-CZ" w:eastAsia="cs-CZ"/>
              </w:rPr>
            </w:pPr>
            <w:r w:rsidRPr="008B53A9">
              <w:rPr>
                <w:rFonts w:cs="Calibri"/>
                <w:lang w:val="cs-CZ" w:eastAsia="cs-CZ"/>
              </w:rPr>
              <w:t>Typové projekty: Dobudování, upgrade a doplnění strategicky významných infrastruktur VaV, navázání strategických partnerství a programů výzkumné spolupráce s předními zahraničními pracovišti (v EU i mimo) a rozvoj výzkumné spolupráce s těmito pracovišti</w:t>
            </w:r>
          </w:p>
          <w:p w:rsidR="00CD62FB" w:rsidRPr="008B53A9" w:rsidRDefault="00CD62FB" w:rsidP="00CD62FB">
            <w:pPr>
              <w:pStyle w:val="Tabulka"/>
              <w:jc w:val="left"/>
              <w:rPr>
                <w:rFonts w:cs="Calibri"/>
                <w:lang w:val="cs-CZ" w:eastAsia="cs-CZ"/>
              </w:rPr>
            </w:pPr>
            <w:r w:rsidRPr="008B53A9">
              <w:rPr>
                <w:rFonts w:cs="Calibri"/>
                <w:lang w:val="cs-CZ" w:eastAsia="cs-CZ"/>
              </w:rPr>
              <w:t>Příjemci: VŠ, VVI, soukromé výzkumné ústavy, orgány státní správy, soukromé podniky a další subjekty specifikované v OP VVV</w:t>
            </w:r>
          </w:p>
          <w:p w:rsidR="00CD62FB" w:rsidRPr="008B53A9" w:rsidRDefault="00CD62FB" w:rsidP="00CD62FB">
            <w:pPr>
              <w:pStyle w:val="Tabulka"/>
              <w:jc w:val="left"/>
              <w:rPr>
                <w:rFonts w:cs="Calibri"/>
                <w:lang w:val="cs-CZ" w:eastAsia="cs-CZ"/>
              </w:rPr>
            </w:pPr>
            <w:r w:rsidRPr="008B53A9">
              <w:rPr>
                <w:rFonts w:cs="Calibri"/>
                <w:lang w:val="cs-CZ" w:eastAsia="cs-CZ"/>
              </w:rPr>
              <w:t xml:space="preserve">SC 1.2 </w:t>
            </w:r>
          </w:p>
          <w:p w:rsidR="00CD62FB" w:rsidRPr="008B53A9" w:rsidRDefault="00CD62FB" w:rsidP="00CD62FB">
            <w:pPr>
              <w:pStyle w:val="Tabulka"/>
              <w:jc w:val="left"/>
              <w:rPr>
                <w:rFonts w:cs="Calibri"/>
                <w:lang w:val="cs-CZ" w:eastAsia="cs-CZ"/>
              </w:rPr>
            </w:pPr>
            <w:r w:rsidRPr="008B53A9">
              <w:rPr>
                <w:rFonts w:cs="Calibri"/>
                <w:lang w:val="cs-CZ" w:eastAsia="cs-CZ"/>
              </w:rPr>
              <w:t xml:space="preserve">Typové projekty: Projekty vytváření a rozvoje dlouhodobých partnerství veřejného a soukromého sektoru pro realizaci hraničního orientovaného výzkumu. </w:t>
            </w:r>
          </w:p>
          <w:p w:rsidR="00CD62FB" w:rsidRPr="008B53A9" w:rsidRDefault="00CD62FB" w:rsidP="00CD62FB">
            <w:pPr>
              <w:pStyle w:val="Tabulka"/>
              <w:jc w:val="left"/>
              <w:rPr>
                <w:rFonts w:cs="Calibri"/>
                <w:lang w:val="cs-CZ" w:eastAsia="cs-CZ"/>
              </w:rPr>
            </w:pPr>
            <w:r w:rsidRPr="008B53A9">
              <w:rPr>
                <w:rFonts w:cs="Calibri"/>
                <w:lang w:val="cs-CZ" w:eastAsia="cs-CZ"/>
              </w:rPr>
              <w:t xml:space="preserve">Podpora projektů synergických a komplementárních k aktivitám realizovaným v rámci existujících iniciativ EU na podporu výzkumu a inovací (zejména aktivit rámcového programu </w:t>
            </w:r>
            <w:r w:rsidR="0087102E" w:rsidRPr="008B53A9">
              <w:rPr>
                <w:rFonts w:cs="Calibri"/>
                <w:lang w:val="cs-CZ" w:eastAsia="cs-CZ"/>
              </w:rPr>
              <w:t>Horizont 2020</w:t>
            </w:r>
            <w:r w:rsidRPr="008B53A9">
              <w:rPr>
                <w:rFonts w:cs="Calibri"/>
                <w:lang w:val="cs-CZ" w:eastAsia="cs-CZ"/>
              </w:rPr>
              <w:t xml:space="preserve">,). </w:t>
            </w:r>
          </w:p>
          <w:p w:rsidR="00CD62FB" w:rsidRPr="008B53A9" w:rsidRDefault="00CD62FB" w:rsidP="00CD62FB">
            <w:pPr>
              <w:pStyle w:val="Tabulka"/>
              <w:jc w:val="left"/>
              <w:rPr>
                <w:rFonts w:cs="Calibri"/>
                <w:lang w:val="cs-CZ" w:eastAsia="cs-CZ"/>
              </w:rPr>
            </w:pPr>
            <w:r w:rsidRPr="008B53A9">
              <w:rPr>
                <w:rFonts w:cs="Calibri"/>
                <w:lang w:val="cs-CZ" w:eastAsia="cs-CZ"/>
              </w:rPr>
              <w:t xml:space="preserve">Aktivity nastavení dlouhodobé výzkumné spolupráce mezi relevantními subjekty v procesu </w:t>
            </w:r>
            <w:r w:rsidR="00092326" w:rsidRPr="008B53A9">
              <w:rPr>
                <w:rFonts w:cs="Calibri"/>
                <w:lang w:val="cs-CZ" w:eastAsia="cs-CZ"/>
              </w:rPr>
              <w:t>RIS3</w:t>
            </w:r>
            <w:r w:rsidRPr="008B53A9">
              <w:rPr>
                <w:rFonts w:cs="Calibri"/>
                <w:lang w:val="cs-CZ" w:eastAsia="cs-CZ"/>
              </w:rPr>
              <w:t xml:space="preserve"> s jasným napojením na koncepční dokumenty na regionální úrovni či národní úrovni - mohou vzniknout nové výzvy definované systémem „bottom-up“. </w:t>
            </w:r>
          </w:p>
          <w:p w:rsidR="00CD62FB" w:rsidRPr="008B53A9" w:rsidRDefault="00CD62FB" w:rsidP="00CD62FB">
            <w:pPr>
              <w:pStyle w:val="Tabulka"/>
              <w:jc w:val="left"/>
              <w:rPr>
                <w:rFonts w:cs="Calibri"/>
                <w:lang w:val="cs-CZ" w:eastAsia="cs-CZ"/>
              </w:rPr>
            </w:pPr>
            <w:r w:rsidRPr="008B53A9">
              <w:rPr>
                <w:rFonts w:cs="Calibri"/>
                <w:lang w:val="cs-CZ" w:eastAsia="cs-CZ"/>
              </w:rPr>
              <w:t>Příjemci: VŠ, VVI, soukromé výzkumné ústavy, orgány státní správy, soukromé podniky a další subjekty specifikované v OP VVV</w:t>
            </w:r>
          </w:p>
          <w:p w:rsidR="00CD62FB" w:rsidRPr="008B53A9" w:rsidRDefault="00CD62FB" w:rsidP="00CD62FB">
            <w:pPr>
              <w:pStyle w:val="Tabulka"/>
              <w:jc w:val="left"/>
              <w:rPr>
                <w:rFonts w:cs="Calibri"/>
                <w:lang w:val="cs-CZ" w:eastAsia="cs-CZ"/>
              </w:rPr>
            </w:pPr>
            <w:r w:rsidRPr="008B53A9">
              <w:rPr>
                <w:rFonts w:cs="Calibri"/>
                <w:lang w:val="cs-CZ" w:eastAsia="cs-CZ"/>
              </w:rPr>
              <w:lastRenderedPageBreak/>
              <w:t>SC 2.5</w:t>
            </w:r>
          </w:p>
          <w:p w:rsidR="00D51A7B" w:rsidRPr="008B53A9" w:rsidRDefault="00CD62FB" w:rsidP="00092326">
            <w:pPr>
              <w:pStyle w:val="Tabulka"/>
              <w:jc w:val="left"/>
              <w:rPr>
                <w:rFonts w:cs="Calibri"/>
                <w:lang w:val="cs-CZ" w:eastAsia="cs-CZ"/>
              </w:rPr>
            </w:pPr>
            <w:r w:rsidRPr="008B53A9">
              <w:rPr>
                <w:rFonts w:cs="Calibri"/>
                <w:lang w:val="cs-CZ" w:eastAsia="cs-CZ"/>
              </w:rPr>
              <w:t xml:space="preserve">Vytvoření či modernizace výzkumně orientovaných studijních programů s důrazem na problémově orientovaný výzkum, sepjetí s praxí vč. problematiky transferu znalostí. Podpora rozvoje lidských zdrojů pro VaV včetně posilování mezisektorové mobility (VO-podniky) se zaměřením na mobilitu pracovníků výzkumných organizací či do výzkumných organizací například prostřednictvím nástrojů typu „profesorských židlí“. Podpora lidských zdrojů pro efektivní implementaci </w:t>
            </w:r>
            <w:r w:rsidR="00092326" w:rsidRPr="008B53A9">
              <w:rPr>
                <w:rFonts w:cs="Calibri"/>
                <w:lang w:val="cs-CZ" w:eastAsia="cs-CZ"/>
              </w:rPr>
              <w:t>RIS3</w:t>
            </w:r>
            <w:r w:rsidRPr="008B53A9">
              <w:rPr>
                <w:rFonts w:cs="Calibri"/>
                <w:lang w:val="cs-CZ" w:eastAsia="cs-CZ"/>
              </w:rPr>
              <w:t xml:space="preserve"> na národní i regionální úrovni včetně podpory specializovaných školení, stáží apod.</w:t>
            </w:r>
          </w:p>
        </w:tc>
      </w:tr>
      <w:tr w:rsidR="00D51A7B" w:rsidRPr="008B53A9">
        <w:tc>
          <w:tcPr>
            <w:tcW w:w="1101" w:type="pct"/>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lastRenderedPageBreak/>
              <w:t>Implementační prvky</w:t>
            </w:r>
          </w:p>
        </w:tc>
        <w:tc>
          <w:tcPr>
            <w:tcW w:w="2176" w:type="pct"/>
            <w:shd w:val="clear" w:color="auto" w:fill="auto"/>
            <w:vAlign w:val="center"/>
          </w:tcPr>
          <w:p w:rsidR="00D51A7B" w:rsidRPr="008B53A9" w:rsidRDefault="001D7D9F" w:rsidP="00267430">
            <w:pPr>
              <w:pStyle w:val="Tabulka"/>
              <w:jc w:val="left"/>
              <w:rPr>
                <w:rFonts w:cs="Calibri"/>
                <w:lang w:val="cs-CZ" w:eastAsia="cs-CZ"/>
              </w:rPr>
            </w:pPr>
            <w:r w:rsidRPr="008B53A9">
              <w:rPr>
                <w:rFonts w:cs="Calibri"/>
                <w:lang w:val="cs-CZ" w:eastAsia="cs-CZ"/>
              </w:rPr>
              <w:t xml:space="preserve">Typy příjemců: Podnikatelské subjekty (zejména malé a střední, v odůvodněných případech velké podniky), </w:t>
            </w:r>
            <w:r w:rsidR="005B730F" w:rsidRPr="008B53A9">
              <w:rPr>
                <w:rFonts w:cs="Calibri"/>
                <w:lang w:val="cs-CZ" w:eastAsia="cs-CZ"/>
              </w:rPr>
              <w:t>sdružení podnikatelů, zájmová sdružení právnických osob,</w:t>
            </w:r>
            <w:r w:rsidRPr="008B53A9">
              <w:rPr>
                <w:rFonts w:cs="Calibri"/>
                <w:lang w:val="cs-CZ" w:eastAsia="cs-CZ"/>
              </w:rPr>
              <w:t xml:space="preserve"> podnikatelská seskupení, vysoké školy a ostatní vzdělávací instituce, výzkumné organizace, výzkumné ústavy, veřejné výzkumné instituce a fyzické osoby, územní samosprávné celky a jejich svazky, neziskové organizace, obecně prospěšné společnosti</w:t>
            </w:r>
          </w:p>
          <w:p w:rsidR="001D7D9F" w:rsidRPr="008B53A9" w:rsidRDefault="001D7D9F" w:rsidP="008D522A">
            <w:pPr>
              <w:pStyle w:val="Tabulka"/>
              <w:jc w:val="left"/>
              <w:rPr>
                <w:rFonts w:cs="Calibri"/>
                <w:lang w:val="cs-CZ" w:eastAsia="cs-CZ"/>
              </w:rPr>
            </w:pPr>
            <w:r w:rsidRPr="008B53A9">
              <w:rPr>
                <w:rFonts w:cs="Calibri"/>
                <w:lang w:val="cs-CZ" w:eastAsia="cs-CZ"/>
              </w:rPr>
              <w:t xml:space="preserve">Cílové území: Území České republiky, mimo území hl. m. Prahy, v případě aktivit „rozvoj sítí spolupráce (klastrů)“ i Praha za využití </w:t>
            </w:r>
            <w:r w:rsidR="00804219" w:rsidRPr="008B53A9">
              <w:rPr>
                <w:rFonts w:cs="Calibri"/>
                <w:lang w:val="cs-CZ" w:eastAsia="cs-CZ"/>
              </w:rPr>
              <w:t>čl. 7</w:t>
            </w:r>
            <w:r w:rsidRPr="008B53A9">
              <w:rPr>
                <w:rFonts w:cs="Calibri"/>
                <w:lang w:val="cs-CZ" w:eastAsia="cs-CZ"/>
              </w:rPr>
              <w:t>0 obecného nařízení.</w:t>
            </w:r>
          </w:p>
        </w:tc>
        <w:tc>
          <w:tcPr>
            <w:tcW w:w="47"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1676" w:type="pct"/>
            <w:shd w:val="clear" w:color="auto" w:fill="auto"/>
            <w:vAlign w:val="center"/>
          </w:tcPr>
          <w:p w:rsidR="00D51A7B" w:rsidRPr="008B53A9" w:rsidRDefault="001D7D9F" w:rsidP="001D7D9F">
            <w:pPr>
              <w:pStyle w:val="Tabulka"/>
              <w:jc w:val="left"/>
              <w:rPr>
                <w:rFonts w:cs="Calibri"/>
                <w:lang w:val="cs-CZ" w:eastAsia="cs-CZ"/>
              </w:rPr>
            </w:pPr>
            <w:r w:rsidRPr="008B53A9">
              <w:rPr>
                <w:rFonts w:cs="Calibri"/>
                <w:lang w:val="cs-CZ" w:eastAsia="cs-CZ"/>
              </w:rPr>
              <w:t xml:space="preserve">Typy příjemců: </w:t>
            </w:r>
            <w:r w:rsidR="001062D3" w:rsidRPr="008B53A9">
              <w:rPr>
                <w:rFonts w:cs="Calibri"/>
                <w:lang w:val="cs-CZ" w:eastAsia="cs-CZ"/>
              </w:rPr>
              <w:t xml:space="preserve">Subjekty splňující definici Výzkumné organizace dle Rámce pro státní podporu Výzkumu, vývoje a inovací; </w:t>
            </w:r>
            <w:r w:rsidR="001062D3" w:rsidRPr="008B53A9">
              <w:rPr>
                <w:rFonts w:cs="Calibri"/>
                <w:szCs w:val="24"/>
                <w:lang w:val="cs-CZ" w:eastAsia="cs-CZ"/>
              </w:rPr>
              <w:t>další subjekty provádějící výzkum či neformální vzdělávání (propagace/popularizace výsledků VaVaI); orgány státní správy a samosprávy, jim podřízené či jimi zřízené organizace; další subjekty zapojené do řízení a implementace RIS3 strategií na národní a regionální úrovni</w:t>
            </w:r>
          </w:p>
          <w:p w:rsidR="001D7D9F" w:rsidRPr="008B53A9" w:rsidRDefault="001D7D9F" w:rsidP="001D7D9F">
            <w:pPr>
              <w:pStyle w:val="Tabulka"/>
              <w:jc w:val="left"/>
              <w:rPr>
                <w:rFonts w:cs="Calibri"/>
                <w:lang w:val="cs-CZ" w:eastAsia="cs-CZ"/>
              </w:rPr>
            </w:pPr>
            <w:r w:rsidRPr="008B53A9">
              <w:rPr>
                <w:rFonts w:cs="Calibri"/>
                <w:lang w:val="cs-CZ" w:eastAsia="cs-CZ"/>
              </w:rPr>
              <w:t>Cílové území: regiony, jejichž HDP na obyvatele je méně než 75 % průměru HDP v EU27</w:t>
            </w:r>
          </w:p>
        </w:tc>
      </w:tr>
      <w:tr w:rsidR="00152A0D" w:rsidRPr="008B53A9">
        <w:tc>
          <w:tcPr>
            <w:tcW w:w="1101" w:type="pct"/>
            <w:shd w:val="clear" w:color="auto" w:fill="DBE5F1"/>
            <w:vAlign w:val="center"/>
          </w:tcPr>
          <w:p w:rsidR="00152A0D" w:rsidRPr="008B53A9" w:rsidRDefault="00152A0D" w:rsidP="00152A0D">
            <w:pPr>
              <w:pStyle w:val="Tabulka"/>
              <w:jc w:val="left"/>
              <w:rPr>
                <w:rFonts w:cs="Calibri"/>
                <w:b/>
                <w:lang w:val="cs-CZ" w:eastAsia="cs-CZ"/>
              </w:rPr>
            </w:pPr>
            <w:r w:rsidRPr="008B53A9">
              <w:rPr>
                <w:rFonts w:cs="Calibri"/>
                <w:b/>
                <w:lang w:val="cs-CZ" w:eastAsia="cs-CZ"/>
              </w:rPr>
              <w:t>Synergie/komplementarita</w:t>
            </w:r>
          </w:p>
        </w:tc>
        <w:tc>
          <w:tcPr>
            <w:tcW w:w="2176" w:type="pct"/>
            <w:tcBorders>
              <w:tr2bl w:val="single" w:sz="4" w:space="0" w:color="auto"/>
            </w:tcBorders>
            <w:shd w:val="clear" w:color="auto" w:fill="auto"/>
            <w:vAlign w:val="center"/>
          </w:tcPr>
          <w:p w:rsidR="00152A0D" w:rsidRPr="008B53A9" w:rsidRDefault="00152A0D" w:rsidP="00152A0D">
            <w:pPr>
              <w:pStyle w:val="Tabulka"/>
              <w:jc w:val="left"/>
              <w:rPr>
                <w:rFonts w:cs="Calibri"/>
                <w:lang w:val="cs-CZ" w:eastAsia="cs-CZ"/>
              </w:rPr>
            </w:pPr>
          </w:p>
        </w:tc>
        <w:tc>
          <w:tcPr>
            <w:tcW w:w="47" w:type="pct"/>
            <w:tcBorders>
              <w:top w:val="nil"/>
              <w:bottom w:val="nil"/>
            </w:tcBorders>
            <w:shd w:val="clear" w:color="auto" w:fill="auto"/>
            <w:vAlign w:val="center"/>
          </w:tcPr>
          <w:p w:rsidR="00152A0D" w:rsidRPr="008B53A9" w:rsidRDefault="00152A0D" w:rsidP="00152A0D">
            <w:pPr>
              <w:pStyle w:val="Tabulka"/>
              <w:jc w:val="left"/>
              <w:rPr>
                <w:rFonts w:cs="Calibri"/>
                <w:sz w:val="6"/>
                <w:szCs w:val="6"/>
                <w:lang w:val="cs-CZ" w:eastAsia="cs-CZ"/>
              </w:rPr>
            </w:pPr>
          </w:p>
        </w:tc>
        <w:tc>
          <w:tcPr>
            <w:tcW w:w="1676" w:type="pct"/>
            <w:shd w:val="clear" w:color="auto" w:fill="auto"/>
            <w:vAlign w:val="center"/>
          </w:tcPr>
          <w:p w:rsidR="00152A0D" w:rsidRPr="008B53A9" w:rsidRDefault="00152A0D" w:rsidP="00152A0D">
            <w:pPr>
              <w:pStyle w:val="Tabulka"/>
              <w:jc w:val="left"/>
              <w:rPr>
                <w:rFonts w:cs="Calibri"/>
                <w:lang w:val="cs-CZ" w:eastAsia="cs-CZ"/>
              </w:rPr>
            </w:pPr>
            <w:r w:rsidRPr="008B53A9">
              <w:rPr>
                <w:rFonts w:cs="Calibri"/>
                <w:lang w:val="cs-CZ" w:eastAsia="cs-CZ"/>
              </w:rPr>
              <w:t>synergie</w:t>
            </w:r>
          </w:p>
        </w:tc>
      </w:tr>
      <w:tr w:rsidR="00F254AC" w:rsidRPr="008B53A9">
        <w:tc>
          <w:tcPr>
            <w:tcW w:w="1101" w:type="pct"/>
            <w:shd w:val="clear" w:color="auto" w:fill="DBE5F1"/>
            <w:vAlign w:val="center"/>
          </w:tcPr>
          <w:p w:rsidR="00F254AC" w:rsidRPr="008B53A9" w:rsidRDefault="00F254AC" w:rsidP="00267430">
            <w:pPr>
              <w:pStyle w:val="Tabulka"/>
              <w:jc w:val="left"/>
              <w:rPr>
                <w:rFonts w:cs="Calibri"/>
                <w:b/>
                <w:lang w:val="cs-CZ" w:eastAsia="cs-CZ"/>
              </w:rPr>
            </w:pPr>
            <w:r w:rsidRPr="008B53A9">
              <w:rPr>
                <w:rFonts w:cs="Calibri"/>
                <w:b/>
                <w:lang w:val="cs-CZ" w:eastAsia="cs-CZ"/>
              </w:rPr>
              <w:t>Mechanismus koordinace</w:t>
            </w:r>
          </w:p>
        </w:tc>
        <w:tc>
          <w:tcPr>
            <w:tcW w:w="3899" w:type="pct"/>
            <w:gridSpan w:val="3"/>
            <w:shd w:val="clear" w:color="auto" w:fill="auto"/>
            <w:vAlign w:val="center"/>
          </w:tcPr>
          <w:p w:rsidR="00CD62FB" w:rsidRPr="008B53A9" w:rsidRDefault="00CD62FB" w:rsidP="00BC6E42">
            <w:pPr>
              <w:pStyle w:val="Tabulka"/>
              <w:jc w:val="left"/>
              <w:rPr>
                <w:rFonts w:cs="Calibri"/>
                <w:lang w:val="cs-CZ" w:eastAsia="cs-CZ"/>
              </w:rPr>
            </w:pPr>
            <w:r w:rsidRPr="008B53A9">
              <w:rPr>
                <w:rFonts w:cs="Calibri"/>
                <w:lang w:val="cs-CZ" w:eastAsia="cs-CZ"/>
              </w:rPr>
              <w:t xml:space="preserve">Obdobně jako v programovacím období 2007 – 2013 je počítáno se dvěma typy synergií a to vertikální a horizontální. </w:t>
            </w:r>
          </w:p>
          <w:p w:rsidR="00CD62FB" w:rsidRPr="008B53A9" w:rsidRDefault="00CD62FB" w:rsidP="00BC6E42">
            <w:pPr>
              <w:pStyle w:val="Tabulka"/>
              <w:jc w:val="left"/>
              <w:rPr>
                <w:rFonts w:cs="Calibri"/>
                <w:lang w:val="cs-CZ" w:eastAsia="cs-CZ"/>
              </w:rPr>
            </w:pPr>
            <w:r w:rsidRPr="008B53A9">
              <w:rPr>
                <w:rFonts w:cs="Calibri"/>
                <w:lang w:val="cs-CZ" w:eastAsia="cs-CZ"/>
              </w:rPr>
              <w:t>Vertikální synergie znamená, že definice opatření, programů, projektů i jednotlivých výzev vzniká po konzultaci a s přispěním podnikatelského sektoru a jejich zástupců – Hospodářskou komorou, Svazem průmyslu a dopravy, oborovými asociacemi a dalšími hospodářskými a sociálními partnery. V rámci tohoto typu synergie je uplatněn tzv. princip partnerství.</w:t>
            </w:r>
          </w:p>
          <w:p w:rsidR="00CD62FB" w:rsidRPr="008B53A9" w:rsidRDefault="00CD62FB" w:rsidP="00BC6E42">
            <w:pPr>
              <w:pStyle w:val="Tabulka"/>
              <w:jc w:val="left"/>
              <w:rPr>
                <w:rFonts w:cs="Calibri"/>
                <w:lang w:val="cs-CZ" w:eastAsia="cs-CZ"/>
              </w:rPr>
            </w:pPr>
            <w:r w:rsidRPr="008B53A9">
              <w:rPr>
                <w:rFonts w:cs="Calibri"/>
                <w:lang w:val="cs-CZ" w:eastAsia="cs-CZ"/>
              </w:rPr>
              <w:t xml:space="preserve">Horizontální synergie vzniknou mezi jednotlivými operačními programy zejména formou navazujících projektů a souběžně </w:t>
            </w:r>
            <w:r w:rsidRPr="008B53A9">
              <w:rPr>
                <w:rFonts w:cs="Calibri"/>
                <w:lang w:val="cs-CZ" w:eastAsia="cs-CZ"/>
              </w:rPr>
              <w:lastRenderedPageBreak/>
              <w:t>připravovaných projektů. Efekty horizontální synergie budou stanoveny indikativně a budou plánovány a sledovány v rámci tzv. synergických projektů.</w:t>
            </w:r>
          </w:p>
          <w:p w:rsidR="00CD62FB" w:rsidRPr="008B53A9" w:rsidRDefault="00CD62FB" w:rsidP="00BC6E42">
            <w:pPr>
              <w:pStyle w:val="Tabulka"/>
              <w:jc w:val="left"/>
              <w:rPr>
                <w:rFonts w:cs="Calibri"/>
                <w:lang w:val="cs-CZ" w:eastAsia="cs-CZ"/>
              </w:rPr>
            </w:pPr>
            <w:r w:rsidRPr="008B53A9">
              <w:rPr>
                <w:rFonts w:cs="Calibri"/>
                <w:b/>
                <w:i/>
                <w:lang w:val="cs-CZ" w:eastAsia="cs-CZ"/>
              </w:rPr>
              <w:t>Memorandum o spolupráci při přípravě a budoucí realizaci OP PIK a OP VVV</w:t>
            </w:r>
            <w:r w:rsidRPr="008B53A9">
              <w:rPr>
                <w:rFonts w:cs="Calibri"/>
                <w:b/>
                <w:lang w:val="cs-CZ" w:eastAsia="cs-CZ"/>
              </w:rPr>
              <w:t xml:space="preserve"> </w:t>
            </w:r>
            <w:r w:rsidRPr="008B53A9">
              <w:rPr>
                <w:rFonts w:cs="Calibri"/>
                <w:lang w:val="cs-CZ" w:eastAsia="cs-CZ"/>
              </w:rPr>
              <w:t>zakotvuje</w:t>
            </w:r>
            <w:r w:rsidRPr="008B53A9">
              <w:rPr>
                <w:rFonts w:cs="Calibri"/>
                <w:b/>
                <w:lang w:val="cs-CZ" w:eastAsia="cs-CZ"/>
              </w:rPr>
              <w:t xml:space="preserve"> </w:t>
            </w:r>
            <w:r w:rsidRPr="008B53A9">
              <w:rPr>
                <w:rFonts w:cs="Calibri"/>
                <w:lang w:val="cs-CZ" w:eastAsia="cs-CZ"/>
              </w:rPr>
              <w:t xml:space="preserve">klíčové aspekty spolupráce při přípravě a budoucí realizaci obou operačních programů. </w:t>
            </w:r>
            <w:r w:rsidRPr="008B53A9">
              <w:rPr>
                <w:rFonts w:cs="Calibri"/>
                <w:b/>
                <w:lang w:val="cs-CZ" w:eastAsia="cs-CZ"/>
              </w:rPr>
              <w:t xml:space="preserve">Klíčové aspekty spolupráce při přípravě OP PIK a OP VVV </w:t>
            </w:r>
            <w:r w:rsidRPr="008B53A9">
              <w:rPr>
                <w:rFonts w:cs="Calibri"/>
                <w:lang w:val="cs-CZ" w:eastAsia="cs-CZ"/>
              </w:rPr>
              <w:t>tvoří zejména:</w:t>
            </w:r>
          </w:p>
          <w:p w:rsidR="00CD62FB" w:rsidRPr="008B53A9" w:rsidRDefault="00CD62FB" w:rsidP="005F43DF">
            <w:pPr>
              <w:pStyle w:val="Tabulka"/>
              <w:numPr>
                <w:ilvl w:val="0"/>
                <w:numId w:val="59"/>
              </w:numPr>
              <w:jc w:val="left"/>
              <w:rPr>
                <w:rFonts w:cs="Calibri"/>
                <w:lang w:val="cs-CZ" w:eastAsia="cs-CZ"/>
              </w:rPr>
            </w:pPr>
            <w:r w:rsidRPr="008B53A9">
              <w:rPr>
                <w:rFonts w:cs="Calibri"/>
                <w:lang w:val="cs-CZ" w:eastAsia="cs-CZ"/>
              </w:rPr>
              <w:t>příprava věcného zaměření příslušných oblastí intervencí;</w:t>
            </w:r>
          </w:p>
          <w:p w:rsidR="00CD62FB" w:rsidRPr="008B53A9" w:rsidRDefault="00CD62FB" w:rsidP="005F43DF">
            <w:pPr>
              <w:pStyle w:val="Tabulka"/>
              <w:numPr>
                <w:ilvl w:val="0"/>
                <w:numId w:val="59"/>
              </w:numPr>
              <w:jc w:val="left"/>
              <w:rPr>
                <w:rFonts w:cs="Calibri"/>
                <w:lang w:val="cs-CZ" w:eastAsia="cs-CZ"/>
              </w:rPr>
            </w:pPr>
            <w:r w:rsidRPr="008B53A9">
              <w:rPr>
                <w:rFonts w:cs="Calibri"/>
                <w:lang w:val="cs-CZ" w:eastAsia="cs-CZ"/>
              </w:rPr>
              <w:t>členství v relevantních platformách ustavených MPO a MŠMT pro přípravu OP PIK a OP VVV;</w:t>
            </w:r>
          </w:p>
          <w:p w:rsidR="00CD62FB" w:rsidRPr="008B53A9" w:rsidRDefault="00CD62FB" w:rsidP="005F43DF">
            <w:pPr>
              <w:pStyle w:val="Tabulka"/>
              <w:numPr>
                <w:ilvl w:val="0"/>
                <w:numId w:val="59"/>
              </w:numPr>
              <w:jc w:val="left"/>
              <w:rPr>
                <w:rFonts w:cs="Calibri"/>
                <w:lang w:val="cs-CZ" w:eastAsia="cs-CZ"/>
              </w:rPr>
            </w:pPr>
            <w:r w:rsidRPr="008B53A9">
              <w:rPr>
                <w:rFonts w:cs="Calibri"/>
                <w:lang w:val="cs-CZ" w:eastAsia="cs-CZ"/>
              </w:rPr>
              <w:t>podíl na přípravě souvisejících podkladů a spolupráce na vypořádání připomínek k OP PIK a OP VVV.</w:t>
            </w:r>
          </w:p>
          <w:p w:rsidR="00CD62FB" w:rsidRPr="008B53A9" w:rsidRDefault="00CD62FB" w:rsidP="00BC6E42">
            <w:pPr>
              <w:pStyle w:val="Tabulka"/>
              <w:jc w:val="left"/>
              <w:rPr>
                <w:rFonts w:cs="Calibri"/>
                <w:lang w:val="cs-CZ" w:eastAsia="cs-CZ"/>
              </w:rPr>
            </w:pPr>
            <w:r w:rsidRPr="008B53A9">
              <w:rPr>
                <w:rFonts w:cs="Calibri"/>
                <w:lang w:val="cs-CZ" w:eastAsia="cs-CZ"/>
              </w:rPr>
              <w:t xml:space="preserve">Mezi </w:t>
            </w:r>
            <w:r w:rsidRPr="008B53A9">
              <w:rPr>
                <w:rFonts w:cs="Calibri"/>
                <w:b/>
                <w:lang w:val="cs-CZ" w:eastAsia="cs-CZ"/>
              </w:rPr>
              <w:t xml:space="preserve">klíčové aspekty spolupráce při budoucí realizaci OP PIK a OP VVV </w:t>
            </w:r>
            <w:r w:rsidRPr="008B53A9">
              <w:rPr>
                <w:rFonts w:cs="Calibri"/>
                <w:lang w:val="cs-CZ" w:eastAsia="cs-CZ"/>
              </w:rPr>
              <w:t>patří zejména:</w:t>
            </w:r>
          </w:p>
          <w:p w:rsidR="009742AA" w:rsidRPr="008B53A9" w:rsidRDefault="009742AA" w:rsidP="005F43DF">
            <w:pPr>
              <w:pStyle w:val="Tabulka"/>
              <w:numPr>
                <w:ilvl w:val="0"/>
                <w:numId w:val="60"/>
              </w:numPr>
              <w:jc w:val="left"/>
              <w:rPr>
                <w:rFonts w:cs="Calibri"/>
                <w:lang w:val="cs-CZ" w:eastAsia="cs-CZ"/>
              </w:rPr>
            </w:pPr>
            <w:r w:rsidRPr="008B53A9">
              <w:rPr>
                <w:rFonts w:cs="Calibri"/>
                <w:lang w:val="cs-CZ" w:eastAsia="cs-CZ"/>
              </w:rPr>
              <w:t>společný zprostředkující subjekt (TA ČR) pro oba ŘO;</w:t>
            </w:r>
          </w:p>
          <w:p w:rsidR="00CD62FB" w:rsidRPr="008B53A9" w:rsidRDefault="00CD62FB" w:rsidP="005F43DF">
            <w:pPr>
              <w:pStyle w:val="Tabulka"/>
              <w:numPr>
                <w:ilvl w:val="0"/>
                <w:numId w:val="60"/>
              </w:numPr>
              <w:jc w:val="left"/>
              <w:rPr>
                <w:rFonts w:cs="Calibri"/>
                <w:lang w:val="cs-CZ" w:eastAsia="cs-CZ"/>
              </w:rPr>
            </w:pPr>
            <w:r w:rsidRPr="008B53A9">
              <w:rPr>
                <w:rFonts w:cs="Calibri"/>
                <w:lang w:val="cs-CZ" w:eastAsia="cs-CZ"/>
              </w:rPr>
              <w:t>podíl na koordinaci vyhlašování výzev a plánu čerpání;</w:t>
            </w:r>
          </w:p>
          <w:p w:rsidR="00CD62FB" w:rsidRPr="008B53A9" w:rsidRDefault="00CD62FB" w:rsidP="005F43DF">
            <w:pPr>
              <w:pStyle w:val="Tabulka"/>
              <w:numPr>
                <w:ilvl w:val="0"/>
                <w:numId w:val="60"/>
              </w:numPr>
              <w:jc w:val="left"/>
              <w:rPr>
                <w:rFonts w:cs="Calibri"/>
                <w:lang w:val="cs-CZ" w:eastAsia="cs-CZ"/>
              </w:rPr>
            </w:pPr>
            <w:r w:rsidRPr="008B53A9">
              <w:rPr>
                <w:rFonts w:cs="Calibri"/>
                <w:lang w:val="cs-CZ" w:eastAsia="cs-CZ"/>
              </w:rPr>
              <w:t xml:space="preserve">garance věcného obsahu zaměření výzev k předkládání projektů s ohledem na naplňování plánovaných hodnot monitorovacích ukazatelů, plánu čerpání a milníků implementace; </w:t>
            </w:r>
          </w:p>
          <w:p w:rsidR="00CD62FB" w:rsidRPr="008B53A9" w:rsidRDefault="00CD62FB" w:rsidP="005F43DF">
            <w:pPr>
              <w:pStyle w:val="Tabulka"/>
              <w:numPr>
                <w:ilvl w:val="0"/>
                <w:numId w:val="60"/>
              </w:numPr>
              <w:jc w:val="left"/>
              <w:rPr>
                <w:rFonts w:cs="Calibri"/>
                <w:lang w:val="cs-CZ" w:eastAsia="cs-CZ"/>
              </w:rPr>
            </w:pPr>
            <w:r w:rsidRPr="008B53A9">
              <w:rPr>
                <w:rFonts w:cs="Calibri"/>
                <w:lang w:val="cs-CZ" w:eastAsia="cs-CZ"/>
              </w:rPr>
              <w:t>podíl na nastavení technických parametrů výzev (alokace finančních prostředků, stanovení formy výzvy, územní zaměření, specifikace oprávněných žadatelů a příjemců atd.);</w:t>
            </w:r>
          </w:p>
          <w:p w:rsidR="00CD62FB" w:rsidRPr="008B53A9" w:rsidRDefault="00CD62FB" w:rsidP="005F43DF">
            <w:pPr>
              <w:pStyle w:val="Tabulka"/>
              <w:numPr>
                <w:ilvl w:val="0"/>
                <w:numId w:val="60"/>
              </w:numPr>
              <w:jc w:val="left"/>
              <w:rPr>
                <w:rFonts w:cs="Calibri"/>
                <w:lang w:val="cs-CZ" w:eastAsia="cs-CZ"/>
              </w:rPr>
            </w:pPr>
            <w:r w:rsidRPr="008B53A9">
              <w:rPr>
                <w:rFonts w:cs="Calibri"/>
                <w:lang w:val="cs-CZ" w:eastAsia="cs-CZ"/>
              </w:rPr>
              <w:t>účast při hodnocení projektů;</w:t>
            </w:r>
          </w:p>
          <w:p w:rsidR="00CD62FB" w:rsidRPr="008B53A9" w:rsidRDefault="00CD62FB" w:rsidP="005F43DF">
            <w:pPr>
              <w:pStyle w:val="Tabulka"/>
              <w:numPr>
                <w:ilvl w:val="0"/>
                <w:numId w:val="60"/>
              </w:numPr>
              <w:jc w:val="left"/>
              <w:rPr>
                <w:rFonts w:cs="Calibri"/>
                <w:lang w:val="cs-CZ" w:eastAsia="cs-CZ"/>
              </w:rPr>
            </w:pPr>
            <w:r w:rsidRPr="008B53A9">
              <w:rPr>
                <w:rFonts w:cs="Calibri"/>
                <w:lang w:val="cs-CZ" w:eastAsia="cs-CZ"/>
              </w:rPr>
              <w:t>podíl na vyhodnocení výzev;</w:t>
            </w:r>
          </w:p>
          <w:p w:rsidR="00CD62FB" w:rsidRPr="008B53A9" w:rsidRDefault="00CD62FB" w:rsidP="005F43DF">
            <w:pPr>
              <w:pStyle w:val="Tabulka"/>
              <w:numPr>
                <w:ilvl w:val="0"/>
                <w:numId w:val="60"/>
              </w:numPr>
              <w:jc w:val="left"/>
              <w:rPr>
                <w:rFonts w:cs="Calibri"/>
                <w:lang w:val="cs-CZ" w:eastAsia="cs-CZ"/>
              </w:rPr>
            </w:pPr>
            <w:r w:rsidRPr="008B53A9">
              <w:rPr>
                <w:rFonts w:cs="Calibri"/>
                <w:lang w:val="cs-CZ" w:eastAsia="cs-CZ"/>
              </w:rPr>
              <w:t>podíl na hodnocení přínosů projektů a spolupráce na evaluacích OP PIK a OP VVV;</w:t>
            </w:r>
          </w:p>
          <w:p w:rsidR="00CD62FB" w:rsidRPr="008B53A9" w:rsidRDefault="00CD62FB" w:rsidP="005F43DF">
            <w:pPr>
              <w:pStyle w:val="Tabulka"/>
              <w:numPr>
                <w:ilvl w:val="0"/>
                <w:numId w:val="60"/>
              </w:numPr>
              <w:jc w:val="left"/>
              <w:rPr>
                <w:rFonts w:cs="Calibri"/>
                <w:lang w:val="cs-CZ" w:eastAsia="cs-CZ"/>
              </w:rPr>
            </w:pPr>
            <w:r w:rsidRPr="008B53A9">
              <w:rPr>
                <w:rFonts w:cs="Calibri"/>
                <w:lang w:val="cs-CZ" w:eastAsia="cs-CZ"/>
              </w:rPr>
              <w:t>spolupráce na monitorování OP PIK a OP VVV (výroční zprávy, zprávy o realizaci, plnění milníků, apod.) v příslušných oblastech;</w:t>
            </w:r>
          </w:p>
          <w:p w:rsidR="00CD62FB" w:rsidRPr="008B53A9" w:rsidRDefault="00CD62FB" w:rsidP="005F43DF">
            <w:pPr>
              <w:pStyle w:val="Tabulka"/>
              <w:numPr>
                <w:ilvl w:val="0"/>
                <w:numId w:val="60"/>
              </w:numPr>
              <w:jc w:val="left"/>
              <w:rPr>
                <w:rFonts w:cs="Calibri"/>
                <w:lang w:val="cs-CZ" w:eastAsia="cs-CZ"/>
              </w:rPr>
            </w:pPr>
            <w:r w:rsidRPr="008B53A9">
              <w:rPr>
                <w:rFonts w:cs="Calibri"/>
                <w:lang w:val="cs-CZ" w:eastAsia="cs-CZ"/>
              </w:rPr>
              <w:t>členství v Monitorovacím výboru OP PIK a OP VVV a dalších relevantních platformách;</w:t>
            </w:r>
          </w:p>
          <w:p w:rsidR="00F254AC" w:rsidRPr="008B53A9" w:rsidRDefault="00CD62FB" w:rsidP="005F43DF">
            <w:pPr>
              <w:pStyle w:val="Tabulka"/>
              <w:numPr>
                <w:ilvl w:val="0"/>
                <w:numId w:val="60"/>
              </w:numPr>
              <w:jc w:val="left"/>
              <w:rPr>
                <w:rFonts w:cs="Calibri"/>
                <w:lang w:val="cs-CZ" w:eastAsia="cs-CZ"/>
              </w:rPr>
            </w:pPr>
            <w:r w:rsidRPr="008B53A9">
              <w:rPr>
                <w:rFonts w:cs="Calibri"/>
                <w:lang w:val="cs-CZ" w:eastAsia="cs-CZ"/>
              </w:rPr>
              <w:t>spolupráci při auditech Evropské komise, Evropského účetního dvora, Auditního orgánu, Nejvyššího kontrolního úřadu.</w:t>
            </w:r>
          </w:p>
        </w:tc>
      </w:tr>
    </w:tbl>
    <w:p w:rsidR="00D51A7B" w:rsidRPr="008B53A9" w:rsidRDefault="00D51A7B" w:rsidP="00D51A7B">
      <w:pPr>
        <w:pStyle w:val="Standardntext"/>
      </w:pPr>
    </w:p>
    <w:p w:rsidR="00F004B3" w:rsidRPr="008B53A9" w:rsidRDefault="00F004B3" w:rsidP="00D51A7B">
      <w:pPr>
        <w:pStyle w:val="Standardntext"/>
      </w:pPr>
      <w:r w:rsidRPr="008B53A9">
        <w:t xml:space="preserve">OP PIK má v oblasti VaVaI dále vazbu na tři programy Cíle 2, konkrétně jde o Program přeshraniční spolupráce Česká republika – Bavorsko 2014-2020, Program přeshraniční spolupráce Slovenská republika – Česká republika 2014-2020 a Program přeshraniční spolupráce Rakousko – Česká republika 2014-2020. Podpora zakládání a rozvoje podnikových výzkumných a vývojových center v OP PIK je komplementární k podpoře </w:t>
      </w:r>
      <w:r w:rsidRPr="008B53A9">
        <w:lastRenderedPageBreak/>
        <w:t>výzkumné a inovační spolupráce MSP mezi sebou a mezi MSP a institucemi výzkumu a inovací v rámci programů přeshraničních spolupráce, neboť bude zvyšovat kapacity, které mohou podniky využít pro přeshraniční spolupráci. Podpůrné služby inovační infrastruktury a sítí spolupráce budou zvyšovat kompetence MSP pro účast na přeshraničních výzkumných projektech, komplementární podpora dalšího rozvoje klastrů a inovačních sítí směrem přes hranice z OP PIK může vést k rozvoji specifických služeb s ohledem na potřeby a propojení přeshraničního inovačního systému v příhraničí a přispět k přímému zapojení přeshraničních subjektů do jejich aktivit. Podpora aplikovaného výzkumu a zavádění inovací z OP PIK má synergický efekt v kombinaci s podporou přeshraniční výzkumné a inovační spolupráce MSP mezi sebou a mezi MSP a institucemi výzkumu z programů přeshraniční spolupráce. Podpora z OP PIK přitom bude umožňovat i vícestrannou mezinárodní spolupráci ve výzkumu. V oblasti podpory partnerství pro znalostní transfer z OP PIK a podpory přeshraničních výměnných programů pracovních sil z programů přeshraniční spolupráce mohou vznikat synergie ze síťování.</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140"/>
        <w:gridCol w:w="6205"/>
        <w:gridCol w:w="134"/>
        <w:gridCol w:w="4779"/>
      </w:tblGrid>
      <w:tr w:rsidR="00313601" w:rsidRPr="008B53A9">
        <w:trPr>
          <w:trHeight w:val="233"/>
        </w:trPr>
        <w:tc>
          <w:tcPr>
            <w:tcW w:w="1101" w:type="pct"/>
            <w:shd w:val="clear" w:color="auto" w:fill="739BCB"/>
            <w:vAlign w:val="center"/>
          </w:tcPr>
          <w:p w:rsidR="00313601" w:rsidRPr="008B53A9" w:rsidRDefault="00313601" w:rsidP="00313601">
            <w:pPr>
              <w:pStyle w:val="Tabulka"/>
              <w:keepNext/>
              <w:keepLines/>
              <w:jc w:val="left"/>
              <w:rPr>
                <w:rFonts w:cs="Calibri"/>
                <w:b/>
                <w:lang w:val="cs-CZ" w:eastAsia="cs-CZ"/>
              </w:rPr>
            </w:pPr>
            <w:r w:rsidRPr="008B53A9">
              <w:rPr>
                <w:rFonts w:cs="Calibri"/>
                <w:b/>
                <w:color w:val="FFFFFF"/>
                <w:lang w:val="cs-CZ" w:eastAsia="cs-CZ"/>
              </w:rPr>
              <w:t>Výzkum, vývoj a inovace – programy Evropské územní spolupráce</w:t>
            </w:r>
          </w:p>
        </w:tc>
        <w:tc>
          <w:tcPr>
            <w:tcW w:w="2176" w:type="pct"/>
            <w:tcBorders>
              <w:bottom w:val="single" w:sz="4" w:space="0" w:color="000000"/>
            </w:tcBorders>
            <w:shd w:val="clear" w:color="auto" w:fill="B8CCE4"/>
            <w:vAlign w:val="center"/>
          </w:tcPr>
          <w:p w:rsidR="00313601" w:rsidRPr="008B53A9" w:rsidRDefault="00313601" w:rsidP="00F84E1A">
            <w:pPr>
              <w:pStyle w:val="Tabulka"/>
              <w:keepNext/>
              <w:keepLines/>
              <w:rPr>
                <w:rFonts w:cs="Calibri"/>
                <w:b/>
                <w:lang w:val="cs-CZ" w:eastAsia="cs-CZ"/>
              </w:rPr>
            </w:pPr>
            <w:r w:rsidRPr="008B53A9">
              <w:rPr>
                <w:rFonts w:cs="Calibri"/>
                <w:b/>
                <w:lang w:val="cs-CZ" w:eastAsia="cs-CZ"/>
              </w:rPr>
              <w:t>OP PIK</w:t>
            </w:r>
          </w:p>
        </w:tc>
        <w:tc>
          <w:tcPr>
            <w:tcW w:w="47" w:type="pct"/>
            <w:tcBorders>
              <w:top w:val="nil"/>
              <w:bottom w:val="nil"/>
            </w:tcBorders>
            <w:shd w:val="clear" w:color="auto" w:fill="auto"/>
            <w:vAlign w:val="center"/>
          </w:tcPr>
          <w:p w:rsidR="00313601" w:rsidRPr="008B53A9" w:rsidRDefault="00313601" w:rsidP="00F84E1A">
            <w:pPr>
              <w:pStyle w:val="Tabulka"/>
              <w:keepNext/>
              <w:keepLines/>
              <w:rPr>
                <w:rFonts w:cs="Calibri"/>
                <w:b/>
                <w:sz w:val="6"/>
                <w:szCs w:val="6"/>
                <w:lang w:val="cs-CZ" w:eastAsia="cs-CZ"/>
              </w:rPr>
            </w:pPr>
          </w:p>
        </w:tc>
        <w:tc>
          <w:tcPr>
            <w:tcW w:w="1676" w:type="pct"/>
            <w:tcBorders>
              <w:bottom w:val="single" w:sz="4" w:space="0" w:color="000000"/>
            </w:tcBorders>
            <w:shd w:val="clear" w:color="auto" w:fill="B8CCE4"/>
            <w:vAlign w:val="center"/>
          </w:tcPr>
          <w:p w:rsidR="00313601" w:rsidRPr="008B53A9" w:rsidRDefault="00B3705E" w:rsidP="00313601">
            <w:pPr>
              <w:pStyle w:val="Tabulka"/>
              <w:keepNext/>
              <w:keepLines/>
              <w:rPr>
                <w:rFonts w:cs="Calibri"/>
                <w:b/>
                <w:lang w:val="cs-CZ" w:eastAsia="cs-CZ"/>
              </w:rPr>
            </w:pPr>
            <w:r w:rsidRPr="008B53A9">
              <w:rPr>
                <w:rFonts w:cs="Calibri"/>
                <w:b/>
                <w:lang w:val="cs-CZ" w:eastAsia="cs-CZ"/>
              </w:rPr>
              <w:t xml:space="preserve">OP </w:t>
            </w:r>
            <w:r w:rsidR="00313601" w:rsidRPr="008B53A9">
              <w:rPr>
                <w:rFonts w:cs="Calibri"/>
                <w:b/>
                <w:lang w:val="cs-CZ" w:eastAsia="cs-CZ"/>
              </w:rPr>
              <w:t xml:space="preserve">ČR – Bavorsko, </w:t>
            </w:r>
            <w:r w:rsidRPr="008B53A9">
              <w:rPr>
                <w:rFonts w:cs="Calibri"/>
                <w:b/>
                <w:lang w:val="cs-CZ" w:eastAsia="cs-CZ"/>
              </w:rPr>
              <w:t xml:space="preserve">OP </w:t>
            </w:r>
            <w:r w:rsidR="00313601" w:rsidRPr="008B53A9">
              <w:rPr>
                <w:rFonts w:cs="Calibri"/>
                <w:b/>
                <w:lang w:val="cs-CZ" w:eastAsia="cs-CZ"/>
              </w:rPr>
              <w:t xml:space="preserve">Slovenská republika – ČR, </w:t>
            </w:r>
            <w:r w:rsidRPr="008B53A9">
              <w:rPr>
                <w:rFonts w:cs="Calibri"/>
                <w:b/>
                <w:lang w:val="cs-CZ" w:eastAsia="cs-CZ"/>
              </w:rPr>
              <w:t xml:space="preserve">OP </w:t>
            </w:r>
            <w:r w:rsidR="00313601" w:rsidRPr="008B53A9">
              <w:rPr>
                <w:rFonts w:cs="Calibri"/>
                <w:b/>
                <w:lang w:val="cs-CZ" w:eastAsia="cs-CZ"/>
              </w:rPr>
              <w:t>Rakousko – ČR</w:t>
            </w:r>
          </w:p>
        </w:tc>
      </w:tr>
      <w:tr w:rsidR="00313601" w:rsidRPr="008B53A9">
        <w:trPr>
          <w:trHeight w:val="810"/>
        </w:trPr>
        <w:tc>
          <w:tcPr>
            <w:tcW w:w="1101" w:type="pct"/>
            <w:tcBorders>
              <w:bottom w:val="dotted" w:sz="4" w:space="0" w:color="auto"/>
            </w:tcBorders>
            <w:shd w:val="clear" w:color="auto" w:fill="DBE5F1"/>
            <w:vAlign w:val="center"/>
          </w:tcPr>
          <w:p w:rsidR="00313601" w:rsidRPr="008B53A9" w:rsidRDefault="00313601" w:rsidP="00F84E1A">
            <w:pPr>
              <w:pStyle w:val="Tabulka"/>
              <w:jc w:val="left"/>
              <w:rPr>
                <w:rFonts w:cs="Calibri"/>
                <w:b/>
                <w:lang w:val="cs-CZ" w:eastAsia="cs-CZ"/>
              </w:rPr>
            </w:pPr>
            <w:r w:rsidRPr="008B53A9">
              <w:rPr>
                <w:rFonts w:cs="Calibri"/>
                <w:b/>
                <w:lang w:val="cs-CZ" w:eastAsia="cs-CZ"/>
              </w:rPr>
              <w:t>Tematický cíl / investiční priorita</w:t>
            </w:r>
          </w:p>
        </w:tc>
        <w:tc>
          <w:tcPr>
            <w:tcW w:w="2176" w:type="pct"/>
            <w:tcBorders>
              <w:bottom w:val="dotted" w:sz="4" w:space="0" w:color="auto"/>
              <w:right w:val="single" w:sz="4" w:space="0" w:color="auto"/>
            </w:tcBorders>
            <w:shd w:val="clear" w:color="auto" w:fill="auto"/>
            <w:vAlign w:val="center"/>
          </w:tcPr>
          <w:p w:rsidR="00313601" w:rsidRPr="008B53A9" w:rsidRDefault="00313601" w:rsidP="00F84E1A">
            <w:pPr>
              <w:pStyle w:val="Tabulka"/>
              <w:jc w:val="left"/>
              <w:rPr>
                <w:rFonts w:cs="Calibri"/>
                <w:lang w:val="cs-CZ" w:eastAsia="cs-CZ"/>
              </w:rPr>
            </w:pPr>
            <w:r w:rsidRPr="008B53A9">
              <w:rPr>
                <w:rFonts w:cs="Calibri"/>
                <w:lang w:val="cs-CZ" w:eastAsia="cs-CZ"/>
              </w:rPr>
              <w:t>TC 1 / 1 b)</w:t>
            </w:r>
          </w:p>
        </w:tc>
        <w:tc>
          <w:tcPr>
            <w:tcW w:w="47" w:type="pct"/>
            <w:tcBorders>
              <w:top w:val="nil"/>
              <w:left w:val="single" w:sz="4" w:space="0" w:color="auto"/>
              <w:bottom w:val="nil"/>
              <w:right w:val="single" w:sz="4" w:space="0" w:color="auto"/>
            </w:tcBorders>
            <w:shd w:val="clear" w:color="auto" w:fill="auto"/>
            <w:vAlign w:val="center"/>
          </w:tcPr>
          <w:p w:rsidR="00313601" w:rsidRPr="008B53A9" w:rsidRDefault="00313601" w:rsidP="00F84E1A">
            <w:pPr>
              <w:pStyle w:val="Tabulka"/>
              <w:jc w:val="left"/>
              <w:rPr>
                <w:rFonts w:cs="Calibri"/>
                <w:sz w:val="6"/>
                <w:szCs w:val="6"/>
                <w:lang w:val="cs-CZ" w:eastAsia="cs-CZ"/>
              </w:rPr>
            </w:pPr>
          </w:p>
        </w:tc>
        <w:tc>
          <w:tcPr>
            <w:tcW w:w="1676" w:type="pct"/>
            <w:tcBorders>
              <w:left w:val="single" w:sz="4" w:space="0" w:color="auto"/>
              <w:bottom w:val="dotted" w:sz="4" w:space="0" w:color="auto"/>
            </w:tcBorders>
            <w:shd w:val="clear" w:color="auto" w:fill="auto"/>
            <w:vAlign w:val="center"/>
          </w:tcPr>
          <w:p w:rsidR="00313601" w:rsidRPr="008B53A9" w:rsidRDefault="00313601" w:rsidP="00313601">
            <w:pPr>
              <w:pStyle w:val="Tabulka"/>
              <w:jc w:val="left"/>
              <w:rPr>
                <w:rFonts w:cs="Calibri"/>
                <w:lang w:val="cs-CZ" w:eastAsia="cs-CZ"/>
              </w:rPr>
            </w:pPr>
            <w:r w:rsidRPr="008B53A9">
              <w:rPr>
                <w:rFonts w:cs="Calibri"/>
                <w:lang w:val="cs-CZ" w:eastAsia="cs-CZ"/>
              </w:rPr>
              <w:t>TC 1 / 1 b)</w:t>
            </w:r>
          </w:p>
        </w:tc>
      </w:tr>
      <w:tr w:rsidR="00313601" w:rsidRPr="008B53A9">
        <w:trPr>
          <w:trHeight w:val="212"/>
        </w:trPr>
        <w:tc>
          <w:tcPr>
            <w:tcW w:w="1101" w:type="pct"/>
            <w:tcBorders>
              <w:top w:val="dotted" w:sz="4" w:space="0" w:color="auto"/>
              <w:bottom w:val="dotted" w:sz="4" w:space="0" w:color="auto"/>
            </w:tcBorders>
            <w:shd w:val="clear" w:color="auto" w:fill="DBE5F1"/>
            <w:vAlign w:val="center"/>
          </w:tcPr>
          <w:p w:rsidR="00313601" w:rsidRPr="008B53A9" w:rsidRDefault="00313601" w:rsidP="00F84E1A">
            <w:pPr>
              <w:pStyle w:val="Tabulka"/>
              <w:jc w:val="left"/>
              <w:rPr>
                <w:rFonts w:cs="Calibri"/>
                <w:b/>
                <w:lang w:val="cs-CZ" w:eastAsia="cs-CZ"/>
              </w:rPr>
            </w:pPr>
            <w:r w:rsidRPr="008B53A9">
              <w:rPr>
                <w:rFonts w:cs="Calibri"/>
                <w:b/>
                <w:lang w:val="cs-CZ" w:eastAsia="cs-CZ"/>
              </w:rPr>
              <w:t>Prioritní osa</w:t>
            </w:r>
          </w:p>
        </w:tc>
        <w:tc>
          <w:tcPr>
            <w:tcW w:w="2176" w:type="pct"/>
            <w:tcBorders>
              <w:top w:val="dotted" w:sz="4" w:space="0" w:color="auto"/>
              <w:bottom w:val="dotted" w:sz="4" w:space="0" w:color="auto"/>
              <w:right w:val="single" w:sz="4" w:space="0" w:color="auto"/>
            </w:tcBorders>
            <w:shd w:val="clear" w:color="auto" w:fill="auto"/>
            <w:vAlign w:val="center"/>
          </w:tcPr>
          <w:p w:rsidR="00313601" w:rsidRPr="008B53A9" w:rsidRDefault="00313601" w:rsidP="00F84E1A">
            <w:pPr>
              <w:pStyle w:val="Tabulka"/>
              <w:jc w:val="left"/>
              <w:rPr>
                <w:rFonts w:cs="Calibri"/>
                <w:lang w:val="cs-CZ" w:eastAsia="cs-CZ"/>
              </w:rPr>
            </w:pPr>
            <w:r w:rsidRPr="008B53A9">
              <w:rPr>
                <w:rFonts w:cs="Calibri"/>
                <w:lang w:val="cs-CZ" w:eastAsia="cs-CZ"/>
              </w:rPr>
              <w:t>PO 1: Rozvoj výzkumu a vývoje pro inovace</w:t>
            </w:r>
          </w:p>
        </w:tc>
        <w:tc>
          <w:tcPr>
            <w:tcW w:w="47" w:type="pct"/>
            <w:tcBorders>
              <w:top w:val="nil"/>
              <w:left w:val="single" w:sz="4" w:space="0" w:color="auto"/>
              <w:bottom w:val="nil"/>
              <w:right w:val="single" w:sz="4" w:space="0" w:color="auto"/>
            </w:tcBorders>
            <w:shd w:val="clear" w:color="auto" w:fill="auto"/>
            <w:vAlign w:val="center"/>
          </w:tcPr>
          <w:p w:rsidR="00313601" w:rsidRPr="008B53A9" w:rsidRDefault="00313601" w:rsidP="00F84E1A">
            <w:pPr>
              <w:pStyle w:val="Tabulka"/>
              <w:jc w:val="left"/>
              <w:rPr>
                <w:rFonts w:cs="Calibri"/>
                <w:sz w:val="6"/>
                <w:szCs w:val="6"/>
                <w:lang w:val="cs-CZ" w:eastAsia="cs-CZ"/>
              </w:rPr>
            </w:pPr>
          </w:p>
        </w:tc>
        <w:tc>
          <w:tcPr>
            <w:tcW w:w="1676" w:type="pct"/>
            <w:tcBorders>
              <w:top w:val="dotted" w:sz="4" w:space="0" w:color="auto"/>
              <w:left w:val="single" w:sz="4" w:space="0" w:color="auto"/>
              <w:bottom w:val="dotted" w:sz="4" w:space="0" w:color="auto"/>
            </w:tcBorders>
            <w:shd w:val="clear" w:color="auto" w:fill="auto"/>
            <w:vAlign w:val="center"/>
          </w:tcPr>
          <w:p w:rsidR="00313601" w:rsidRPr="008B53A9" w:rsidRDefault="00313601" w:rsidP="00F84E1A">
            <w:pPr>
              <w:pStyle w:val="Tabulka"/>
              <w:jc w:val="left"/>
              <w:rPr>
                <w:rFonts w:cs="Calibri"/>
                <w:lang w:val="cs-CZ" w:eastAsia="cs-CZ"/>
              </w:rPr>
            </w:pPr>
            <w:r w:rsidRPr="008B53A9">
              <w:rPr>
                <w:rFonts w:cs="Calibri"/>
                <w:lang w:val="cs-CZ" w:eastAsia="cs-CZ"/>
              </w:rPr>
              <w:t>N/A</w:t>
            </w:r>
          </w:p>
        </w:tc>
      </w:tr>
      <w:tr w:rsidR="00313601" w:rsidRPr="008B53A9">
        <w:tc>
          <w:tcPr>
            <w:tcW w:w="1101" w:type="pct"/>
            <w:tcBorders>
              <w:top w:val="dotted" w:sz="4" w:space="0" w:color="auto"/>
            </w:tcBorders>
            <w:shd w:val="clear" w:color="auto" w:fill="DBE5F1"/>
            <w:vAlign w:val="center"/>
          </w:tcPr>
          <w:p w:rsidR="00313601" w:rsidRPr="008B53A9" w:rsidRDefault="00313601" w:rsidP="00F84E1A">
            <w:pPr>
              <w:pStyle w:val="Tabulka"/>
              <w:jc w:val="left"/>
              <w:rPr>
                <w:rFonts w:cs="Calibri"/>
                <w:b/>
                <w:lang w:val="cs-CZ" w:eastAsia="cs-CZ"/>
              </w:rPr>
            </w:pPr>
            <w:r w:rsidRPr="008B53A9">
              <w:rPr>
                <w:rFonts w:cs="Calibri"/>
                <w:b/>
                <w:lang w:val="cs-CZ" w:eastAsia="cs-CZ"/>
              </w:rPr>
              <w:t>Specifický cíl</w:t>
            </w:r>
          </w:p>
        </w:tc>
        <w:tc>
          <w:tcPr>
            <w:tcW w:w="2176" w:type="pct"/>
            <w:tcBorders>
              <w:top w:val="dotted" w:sz="4" w:space="0" w:color="auto"/>
            </w:tcBorders>
            <w:shd w:val="clear" w:color="auto" w:fill="auto"/>
            <w:vAlign w:val="center"/>
          </w:tcPr>
          <w:p w:rsidR="00313601" w:rsidRPr="008B53A9" w:rsidRDefault="00313601" w:rsidP="00F84E1A">
            <w:pPr>
              <w:pStyle w:val="Tabulka"/>
              <w:jc w:val="left"/>
              <w:rPr>
                <w:rFonts w:cs="Calibri"/>
                <w:lang w:val="cs-CZ" w:eastAsia="cs-CZ"/>
              </w:rPr>
            </w:pPr>
            <w:r w:rsidRPr="008B53A9">
              <w:rPr>
                <w:rFonts w:cs="Calibri"/>
                <w:lang w:val="cs-CZ" w:eastAsia="cs-CZ"/>
              </w:rPr>
              <w:t>SC 1.1: Zvýšit inovační výkonnost podniků</w:t>
            </w:r>
          </w:p>
          <w:p w:rsidR="00313601" w:rsidRPr="008B53A9" w:rsidRDefault="00313601" w:rsidP="00F84E1A">
            <w:pPr>
              <w:pStyle w:val="Tabulka"/>
              <w:jc w:val="left"/>
              <w:rPr>
                <w:rFonts w:cs="Calibri"/>
                <w:lang w:val="cs-CZ" w:eastAsia="cs-CZ"/>
              </w:rPr>
            </w:pPr>
            <w:r w:rsidRPr="008B53A9">
              <w:rPr>
                <w:rFonts w:cs="Calibri"/>
                <w:lang w:val="cs-CZ" w:eastAsia="cs-CZ"/>
              </w:rPr>
              <w:t>SC 1.2: Zvýšit intenzitu a účinnost spolupráce ve výzkumu, vývoji a inovacích</w:t>
            </w:r>
          </w:p>
        </w:tc>
        <w:tc>
          <w:tcPr>
            <w:tcW w:w="47" w:type="pct"/>
            <w:tcBorders>
              <w:top w:val="nil"/>
              <w:bottom w:val="nil"/>
            </w:tcBorders>
            <w:shd w:val="clear" w:color="auto" w:fill="auto"/>
            <w:vAlign w:val="center"/>
          </w:tcPr>
          <w:p w:rsidR="00313601" w:rsidRPr="008B53A9" w:rsidRDefault="00313601" w:rsidP="00F84E1A">
            <w:pPr>
              <w:pStyle w:val="Tabulka"/>
              <w:jc w:val="left"/>
              <w:rPr>
                <w:rFonts w:cs="Calibri"/>
                <w:sz w:val="6"/>
                <w:szCs w:val="6"/>
                <w:lang w:val="cs-CZ" w:eastAsia="cs-CZ"/>
              </w:rPr>
            </w:pPr>
          </w:p>
        </w:tc>
        <w:tc>
          <w:tcPr>
            <w:tcW w:w="1676" w:type="pct"/>
            <w:tcBorders>
              <w:top w:val="dotted" w:sz="4" w:space="0" w:color="auto"/>
            </w:tcBorders>
            <w:shd w:val="clear" w:color="auto" w:fill="auto"/>
            <w:vAlign w:val="center"/>
          </w:tcPr>
          <w:p w:rsidR="00313601" w:rsidRPr="008B53A9" w:rsidRDefault="00B3705E" w:rsidP="00F84E1A">
            <w:pPr>
              <w:pStyle w:val="Tabulka"/>
              <w:jc w:val="left"/>
              <w:rPr>
                <w:rFonts w:cs="Calibri"/>
                <w:lang w:val="cs-CZ" w:eastAsia="cs-CZ"/>
              </w:rPr>
            </w:pPr>
            <w:r w:rsidRPr="008B53A9">
              <w:rPr>
                <w:rFonts w:cs="Calibri"/>
                <w:lang w:val="cs-CZ" w:eastAsia="cs-CZ"/>
              </w:rPr>
              <w:t xml:space="preserve">OP </w:t>
            </w:r>
            <w:r w:rsidR="00E26570" w:rsidRPr="008B53A9">
              <w:rPr>
                <w:rFonts w:cs="Calibri"/>
                <w:lang w:val="cs-CZ" w:eastAsia="cs-CZ"/>
              </w:rPr>
              <w:t xml:space="preserve">ČR – Bavorsko: </w:t>
            </w:r>
            <w:r w:rsidR="00313601" w:rsidRPr="008B53A9">
              <w:rPr>
                <w:rFonts w:cs="Calibri"/>
                <w:lang w:val="cs-CZ" w:eastAsia="cs-CZ"/>
              </w:rPr>
              <w:t xml:space="preserve">SC </w:t>
            </w:r>
            <w:r w:rsidR="00E26570" w:rsidRPr="008B53A9">
              <w:rPr>
                <w:rFonts w:cs="Calibri"/>
                <w:lang w:val="cs-CZ" w:eastAsia="cs-CZ"/>
              </w:rPr>
              <w:t>2.</w:t>
            </w:r>
            <w:r w:rsidR="00313601" w:rsidRPr="008B53A9">
              <w:rPr>
                <w:rFonts w:cs="Calibri"/>
                <w:lang w:val="cs-CZ" w:eastAsia="cs-CZ"/>
              </w:rPr>
              <w:t>1: Zvýšení komunikace a výměny znalostí mezi MSP a aktéry V&amp;I</w:t>
            </w:r>
          </w:p>
          <w:p w:rsidR="00313601" w:rsidRPr="008B53A9" w:rsidRDefault="00B3705E" w:rsidP="00F84E1A">
            <w:pPr>
              <w:pStyle w:val="Tabulka"/>
              <w:jc w:val="left"/>
              <w:rPr>
                <w:rFonts w:cs="Calibri"/>
                <w:lang w:val="cs-CZ" w:eastAsia="cs-CZ"/>
              </w:rPr>
            </w:pPr>
            <w:r w:rsidRPr="008B53A9">
              <w:rPr>
                <w:rFonts w:cs="Calibri"/>
                <w:lang w:val="cs-CZ" w:eastAsia="cs-CZ"/>
              </w:rPr>
              <w:t xml:space="preserve">OP </w:t>
            </w:r>
            <w:r w:rsidR="00E26570" w:rsidRPr="008B53A9">
              <w:rPr>
                <w:rFonts w:cs="Calibri"/>
                <w:lang w:val="cs-CZ" w:eastAsia="cs-CZ"/>
              </w:rPr>
              <w:t>Slovenská republika – ČR: SC 2.1: Z</w:t>
            </w:r>
            <w:r w:rsidR="00C25301" w:rsidRPr="008B53A9">
              <w:rPr>
                <w:rFonts w:cs="Calibri"/>
                <w:lang w:val="cs-CZ" w:eastAsia="cs-CZ"/>
              </w:rPr>
              <w:t xml:space="preserve">intenzivnění využívání výsledků </w:t>
            </w:r>
            <w:r w:rsidR="00E26570" w:rsidRPr="008B53A9">
              <w:rPr>
                <w:rFonts w:cs="Calibri"/>
                <w:lang w:val="cs-CZ" w:eastAsia="cs-CZ"/>
              </w:rPr>
              <w:t>aplikovaného vý</w:t>
            </w:r>
            <w:r w:rsidR="00C25301" w:rsidRPr="008B53A9">
              <w:rPr>
                <w:rFonts w:cs="Calibri"/>
                <w:lang w:val="cs-CZ" w:eastAsia="cs-CZ"/>
              </w:rPr>
              <w:t>z</w:t>
            </w:r>
            <w:r w:rsidR="00E26570" w:rsidRPr="008B53A9">
              <w:rPr>
                <w:rFonts w:cs="Calibri"/>
                <w:lang w:val="cs-CZ" w:eastAsia="cs-CZ"/>
              </w:rPr>
              <w:t>kumu malými a st</w:t>
            </w:r>
            <w:r w:rsidR="00C25301" w:rsidRPr="008B53A9">
              <w:rPr>
                <w:rFonts w:cs="Calibri"/>
                <w:lang w:val="cs-CZ" w:eastAsia="cs-CZ"/>
              </w:rPr>
              <w:t>ř</w:t>
            </w:r>
            <w:r w:rsidR="00E26570" w:rsidRPr="008B53A9">
              <w:rPr>
                <w:rFonts w:cs="Calibri"/>
                <w:lang w:val="cs-CZ" w:eastAsia="cs-CZ"/>
              </w:rPr>
              <w:t>edn</w:t>
            </w:r>
            <w:r w:rsidR="00C25301" w:rsidRPr="008B53A9">
              <w:rPr>
                <w:rFonts w:cs="Calibri"/>
                <w:lang w:val="cs-CZ" w:eastAsia="cs-CZ"/>
              </w:rPr>
              <w:t>í</w:t>
            </w:r>
            <w:r w:rsidR="00E26570" w:rsidRPr="008B53A9">
              <w:rPr>
                <w:rFonts w:cs="Calibri"/>
                <w:lang w:val="cs-CZ" w:eastAsia="cs-CZ"/>
              </w:rPr>
              <w:t>mi podnik</w:t>
            </w:r>
            <w:r w:rsidR="00C25301" w:rsidRPr="008B53A9">
              <w:rPr>
                <w:rFonts w:cs="Calibri"/>
                <w:lang w:val="cs-CZ" w:eastAsia="cs-CZ"/>
              </w:rPr>
              <w:t>y</w:t>
            </w:r>
          </w:p>
          <w:p w:rsidR="00E26570" w:rsidRPr="008B53A9" w:rsidRDefault="00B3705E" w:rsidP="00C25301">
            <w:pPr>
              <w:pStyle w:val="Tabulka"/>
              <w:jc w:val="left"/>
              <w:rPr>
                <w:rFonts w:cs="Calibri"/>
                <w:lang w:val="cs-CZ" w:eastAsia="cs-CZ"/>
              </w:rPr>
            </w:pPr>
            <w:r w:rsidRPr="008B53A9">
              <w:rPr>
                <w:rFonts w:cs="Calibri"/>
                <w:lang w:val="cs-CZ" w:eastAsia="cs-CZ"/>
              </w:rPr>
              <w:t xml:space="preserve">OP </w:t>
            </w:r>
            <w:r w:rsidR="00E26570" w:rsidRPr="008B53A9">
              <w:rPr>
                <w:rFonts w:cs="Calibri"/>
                <w:lang w:val="cs-CZ" w:eastAsia="cs-CZ"/>
              </w:rPr>
              <w:t xml:space="preserve">Rakousko – ČR: SC 2.1: </w:t>
            </w:r>
            <w:r w:rsidR="00C25301" w:rsidRPr="008B53A9">
              <w:rPr>
                <w:rFonts w:cs="Calibri"/>
                <w:lang w:val="cs-CZ" w:eastAsia="cs-CZ"/>
              </w:rPr>
              <w:t>Posílení zapojení podniků (primárně MSP) do inovačního systému</w:t>
            </w:r>
          </w:p>
        </w:tc>
      </w:tr>
      <w:tr w:rsidR="00313601" w:rsidRPr="008B53A9">
        <w:tc>
          <w:tcPr>
            <w:tcW w:w="1101" w:type="pct"/>
            <w:shd w:val="clear" w:color="auto" w:fill="DBE5F1"/>
            <w:vAlign w:val="center"/>
          </w:tcPr>
          <w:p w:rsidR="00313601" w:rsidRPr="008B53A9" w:rsidRDefault="00313601" w:rsidP="00F84E1A">
            <w:pPr>
              <w:pStyle w:val="Tabulka"/>
              <w:jc w:val="left"/>
              <w:rPr>
                <w:rFonts w:cs="Calibri"/>
                <w:b/>
                <w:lang w:val="cs-CZ" w:eastAsia="cs-CZ"/>
              </w:rPr>
            </w:pPr>
            <w:r w:rsidRPr="008B53A9">
              <w:rPr>
                <w:rFonts w:cs="Calibri"/>
                <w:b/>
                <w:lang w:val="cs-CZ" w:eastAsia="cs-CZ"/>
              </w:rPr>
              <w:t>Věcná specifikace (zaměření, aktivity)</w:t>
            </w:r>
          </w:p>
        </w:tc>
        <w:tc>
          <w:tcPr>
            <w:tcW w:w="2176" w:type="pct"/>
            <w:shd w:val="clear" w:color="auto" w:fill="auto"/>
          </w:tcPr>
          <w:p w:rsidR="00313601" w:rsidRPr="008B53A9" w:rsidRDefault="00313601" w:rsidP="00F84E1A">
            <w:pPr>
              <w:pStyle w:val="Tabulka"/>
              <w:jc w:val="left"/>
              <w:rPr>
                <w:rFonts w:cs="Calibri"/>
                <w:lang w:val="cs-CZ" w:eastAsia="cs-CZ"/>
              </w:rPr>
            </w:pPr>
            <w:r w:rsidRPr="008B53A9">
              <w:rPr>
                <w:rFonts w:cs="Calibri"/>
                <w:lang w:val="cs-CZ" w:eastAsia="cs-CZ"/>
              </w:rPr>
              <w:t xml:space="preserve">SC 1.1 </w:t>
            </w:r>
          </w:p>
          <w:p w:rsidR="00313601" w:rsidRPr="008B53A9" w:rsidRDefault="00313601" w:rsidP="00F84E1A">
            <w:pPr>
              <w:pStyle w:val="Tabulka"/>
              <w:jc w:val="left"/>
              <w:rPr>
                <w:rFonts w:cs="Calibri"/>
                <w:lang w:val="cs-CZ" w:eastAsia="cs-CZ"/>
              </w:rPr>
            </w:pPr>
            <w:r w:rsidRPr="008B53A9">
              <w:rPr>
                <w:rFonts w:cs="Calibri"/>
                <w:lang w:val="cs-CZ" w:eastAsia="cs-CZ"/>
              </w:rPr>
              <w:t>Typové projekty: zakládání a rozvoj podnikových výzkumných a vývojových center, zavádění inovací ve vazbě na jasně definovanou, životaschopnou strategii rozvoje vlastní konkurenční výhody firmy.</w:t>
            </w:r>
          </w:p>
          <w:p w:rsidR="00313601" w:rsidRPr="008B53A9" w:rsidRDefault="00313601" w:rsidP="00F84E1A">
            <w:pPr>
              <w:pStyle w:val="Tabulka"/>
              <w:jc w:val="left"/>
              <w:rPr>
                <w:rFonts w:cs="Calibri"/>
                <w:lang w:val="cs-CZ" w:eastAsia="cs-CZ"/>
              </w:rPr>
            </w:pPr>
            <w:r w:rsidRPr="008B53A9">
              <w:rPr>
                <w:rFonts w:cs="Calibri"/>
                <w:lang w:val="cs-CZ" w:eastAsia="cs-CZ"/>
              </w:rPr>
              <w:t xml:space="preserve">Projekty aplikovaného výzkumu a experimentálního vývoje v podnikovém sektoru, realizovaných zejména ve spolupráci firem a </w:t>
            </w:r>
            <w:r w:rsidRPr="008B53A9">
              <w:rPr>
                <w:rFonts w:cs="Calibri"/>
                <w:lang w:val="cs-CZ" w:eastAsia="cs-CZ"/>
              </w:rPr>
              <w:lastRenderedPageBreak/>
              <w:t>výzkumných institucí, jejichž výsledky povedou následně k zavádění inovací vyšších řádů a k tvorbě produktů konkurenceschopných na světových trzích.</w:t>
            </w:r>
          </w:p>
          <w:p w:rsidR="00313601" w:rsidRPr="008B53A9" w:rsidRDefault="00313601" w:rsidP="00F84E1A">
            <w:pPr>
              <w:pStyle w:val="Tabulka"/>
              <w:jc w:val="left"/>
              <w:rPr>
                <w:rFonts w:cs="Calibri"/>
                <w:lang w:val="cs-CZ" w:eastAsia="cs-CZ"/>
              </w:rPr>
            </w:pPr>
            <w:r w:rsidRPr="008B53A9">
              <w:rPr>
                <w:rFonts w:cs="Calibri"/>
                <w:lang w:val="cs-CZ" w:eastAsia="cs-CZ"/>
              </w:rPr>
              <w:t>Příjemci: MSP, velké firmy</w:t>
            </w:r>
          </w:p>
          <w:p w:rsidR="00313601" w:rsidRPr="008B53A9" w:rsidRDefault="00313601" w:rsidP="00F84E1A">
            <w:pPr>
              <w:pStyle w:val="Tabulka"/>
              <w:jc w:val="left"/>
              <w:rPr>
                <w:rFonts w:cs="Calibri"/>
                <w:lang w:val="cs-CZ" w:eastAsia="cs-CZ"/>
              </w:rPr>
            </w:pPr>
            <w:r w:rsidRPr="008B53A9">
              <w:rPr>
                <w:rFonts w:cs="Calibri"/>
                <w:lang w:val="cs-CZ" w:eastAsia="cs-CZ"/>
              </w:rPr>
              <w:t xml:space="preserve">Bonifikace: bude poskytována pouze v případě prokázané synergie s projekty OP VVV. </w:t>
            </w:r>
          </w:p>
          <w:p w:rsidR="00313601" w:rsidRPr="008B53A9" w:rsidRDefault="00313601" w:rsidP="00F84E1A">
            <w:pPr>
              <w:pStyle w:val="Tabulka"/>
              <w:jc w:val="left"/>
              <w:rPr>
                <w:rFonts w:cs="Calibri"/>
                <w:lang w:val="cs-CZ" w:eastAsia="cs-CZ"/>
              </w:rPr>
            </w:pPr>
            <w:r w:rsidRPr="008B53A9">
              <w:rPr>
                <w:rFonts w:cs="Calibri"/>
                <w:lang w:val="cs-CZ" w:eastAsia="cs-CZ"/>
              </w:rPr>
              <w:t xml:space="preserve">SC 1.2 </w:t>
            </w:r>
          </w:p>
          <w:p w:rsidR="00313601" w:rsidRPr="008B53A9" w:rsidRDefault="00313601" w:rsidP="00F84E1A">
            <w:pPr>
              <w:pStyle w:val="Tabulka"/>
              <w:jc w:val="left"/>
              <w:rPr>
                <w:rFonts w:cs="Calibri"/>
                <w:lang w:val="cs-CZ" w:eastAsia="cs-CZ"/>
              </w:rPr>
            </w:pPr>
            <w:r w:rsidRPr="008B53A9">
              <w:rPr>
                <w:rFonts w:cs="Calibri"/>
                <w:lang w:val="cs-CZ" w:eastAsia="cs-CZ"/>
              </w:rPr>
              <w:t>Typové projekty: Rozvoj služeb podpůrné infrastruktury, sítí spolupráce, vč. klastrů, vytváření partnerství pro znalostní transfer mezi podniky a univerzitami za účasti kvalifikovaných absolventů (KTP).</w:t>
            </w:r>
          </w:p>
          <w:p w:rsidR="00313601" w:rsidRPr="008B53A9" w:rsidRDefault="00313601" w:rsidP="00F84E1A">
            <w:pPr>
              <w:pStyle w:val="Tabulka"/>
              <w:jc w:val="left"/>
              <w:rPr>
                <w:rFonts w:cs="Calibri"/>
                <w:lang w:val="cs-CZ" w:eastAsia="cs-CZ"/>
              </w:rPr>
            </w:pPr>
            <w:r w:rsidRPr="008B53A9">
              <w:rPr>
                <w:rFonts w:cs="Calibri"/>
                <w:lang w:val="cs-CZ" w:eastAsia="cs-CZ"/>
              </w:rPr>
              <w:t>Příjemci: MSP, velké firmy</w:t>
            </w:r>
          </w:p>
          <w:p w:rsidR="00313601" w:rsidRPr="008B53A9" w:rsidRDefault="00313601" w:rsidP="00F84E1A">
            <w:pPr>
              <w:pStyle w:val="Tabulka"/>
              <w:jc w:val="left"/>
              <w:rPr>
                <w:rFonts w:cs="Calibri"/>
                <w:lang w:val="cs-CZ" w:eastAsia="cs-CZ"/>
              </w:rPr>
            </w:pPr>
            <w:r w:rsidRPr="008B53A9">
              <w:rPr>
                <w:rFonts w:cs="Calibri"/>
                <w:lang w:val="cs-CZ" w:eastAsia="cs-CZ"/>
              </w:rPr>
              <w:t>Bonifikace: bude poskytována pouze v případě prokázané synergie s projekty OP VVV.</w:t>
            </w:r>
          </w:p>
        </w:tc>
        <w:tc>
          <w:tcPr>
            <w:tcW w:w="47" w:type="pct"/>
            <w:tcBorders>
              <w:top w:val="nil"/>
              <w:bottom w:val="nil"/>
            </w:tcBorders>
            <w:shd w:val="clear" w:color="auto" w:fill="auto"/>
            <w:vAlign w:val="center"/>
          </w:tcPr>
          <w:p w:rsidR="00313601" w:rsidRPr="008B53A9" w:rsidRDefault="00313601" w:rsidP="00F84E1A">
            <w:pPr>
              <w:pStyle w:val="Tabulka"/>
              <w:jc w:val="left"/>
              <w:rPr>
                <w:rFonts w:cs="Calibri"/>
                <w:sz w:val="6"/>
                <w:szCs w:val="6"/>
                <w:lang w:val="cs-CZ" w:eastAsia="cs-CZ"/>
              </w:rPr>
            </w:pPr>
          </w:p>
        </w:tc>
        <w:tc>
          <w:tcPr>
            <w:tcW w:w="1676" w:type="pct"/>
            <w:shd w:val="clear" w:color="auto" w:fill="auto"/>
            <w:vAlign w:val="center"/>
          </w:tcPr>
          <w:p w:rsidR="00C25301" w:rsidRPr="008B53A9" w:rsidRDefault="00C25301" w:rsidP="00C25301">
            <w:pPr>
              <w:pStyle w:val="Tabulka"/>
              <w:jc w:val="left"/>
              <w:rPr>
                <w:rFonts w:cs="Calibri"/>
                <w:lang w:val="cs-CZ" w:eastAsia="cs-CZ"/>
              </w:rPr>
            </w:pPr>
            <w:r w:rsidRPr="008B53A9">
              <w:rPr>
                <w:rFonts w:cs="Calibri"/>
                <w:lang w:val="cs-CZ" w:eastAsia="cs-CZ"/>
              </w:rPr>
              <w:t>Typové projekty: Podpora vzájemné kooperace MSP mezi sebou a mezi MSP a/nebo institucemi výzkumu a inovací</w:t>
            </w:r>
          </w:p>
          <w:p w:rsidR="00C25301" w:rsidRPr="008B53A9" w:rsidRDefault="00C25301" w:rsidP="00C25301">
            <w:pPr>
              <w:pStyle w:val="Tabulka"/>
              <w:jc w:val="left"/>
              <w:rPr>
                <w:rFonts w:cs="Calibri"/>
                <w:lang w:val="cs-CZ" w:eastAsia="cs-CZ"/>
              </w:rPr>
            </w:pPr>
            <w:r w:rsidRPr="008B53A9">
              <w:rPr>
                <w:rFonts w:cs="Calibri"/>
                <w:lang w:val="cs-CZ" w:eastAsia="cs-CZ"/>
              </w:rPr>
              <w:t>• Realizace společných výzkumných a inovačních záměrů MSP (včetně pořízení vybavení nezbytného pro jejich realizaci)</w:t>
            </w:r>
          </w:p>
          <w:p w:rsidR="00C25301" w:rsidRPr="008B53A9" w:rsidRDefault="00C25301" w:rsidP="00C25301">
            <w:pPr>
              <w:pStyle w:val="Tabulka"/>
              <w:jc w:val="left"/>
              <w:rPr>
                <w:rFonts w:cs="Calibri"/>
                <w:lang w:val="cs-CZ" w:eastAsia="cs-CZ"/>
              </w:rPr>
            </w:pPr>
            <w:r w:rsidRPr="008B53A9">
              <w:rPr>
                <w:rFonts w:cs="Calibri"/>
                <w:lang w:val="cs-CZ" w:eastAsia="cs-CZ"/>
              </w:rPr>
              <w:lastRenderedPageBreak/>
              <w:t>• Spolupráce MSP a V&amp;I institucí směřující k podpoře podnikového vývoje a realizace inovací</w:t>
            </w:r>
          </w:p>
          <w:p w:rsidR="00C25301" w:rsidRPr="008B53A9" w:rsidRDefault="00C25301" w:rsidP="00C25301">
            <w:pPr>
              <w:pStyle w:val="Tabulka"/>
              <w:jc w:val="left"/>
              <w:rPr>
                <w:rFonts w:cs="Calibri"/>
                <w:lang w:val="cs-CZ" w:eastAsia="cs-CZ"/>
              </w:rPr>
            </w:pPr>
            <w:r w:rsidRPr="008B53A9">
              <w:rPr>
                <w:rFonts w:cs="Calibri"/>
                <w:lang w:val="cs-CZ" w:eastAsia="cs-CZ"/>
              </w:rPr>
              <w:t>• Vývoj a realizace (odvětvových) výměnných programů pracovních sil za účelem výměny zkušeností a vytváření, případně upevňování kooperačních struktur</w:t>
            </w:r>
          </w:p>
          <w:p w:rsidR="00C25301" w:rsidRPr="008B53A9" w:rsidRDefault="00C25301" w:rsidP="00C25301">
            <w:pPr>
              <w:pStyle w:val="Tabulka"/>
              <w:jc w:val="left"/>
              <w:rPr>
                <w:rFonts w:cs="Calibri"/>
                <w:lang w:val="cs-CZ" w:eastAsia="cs-CZ"/>
              </w:rPr>
            </w:pPr>
            <w:r w:rsidRPr="008B53A9">
              <w:rPr>
                <w:rFonts w:cs="Calibri"/>
                <w:lang w:val="cs-CZ" w:eastAsia="cs-CZ"/>
              </w:rPr>
              <w:t>• Společné studie, strategie, plány / koncepce s cílem lepšího propojení MSP a / nebo výzkumu a inovací</w:t>
            </w:r>
          </w:p>
          <w:p w:rsidR="00C25301" w:rsidRPr="008B53A9" w:rsidRDefault="00C25301" w:rsidP="00C25301">
            <w:pPr>
              <w:pStyle w:val="Tabulka"/>
              <w:jc w:val="left"/>
              <w:rPr>
                <w:rFonts w:cs="Calibri"/>
                <w:lang w:val="cs-CZ" w:eastAsia="cs-CZ"/>
              </w:rPr>
            </w:pPr>
            <w:r w:rsidRPr="008B53A9">
              <w:rPr>
                <w:rFonts w:cs="Calibri"/>
                <w:lang w:val="cs-CZ" w:eastAsia="cs-CZ"/>
              </w:rPr>
              <w:t>• (Další) rozvoj specifických služeb pro výzkum a inovace k posílení přístupu MSP k výsledkům výzkumu</w:t>
            </w:r>
          </w:p>
          <w:p w:rsidR="00C25301" w:rsidRPr="008B53A9" w:rsidRDefault="00C25301" w:rsidP="00C25301">
            <w:pPr>
              <w:pStyle w:val="Tabulka"/>
              <w:jc w:val="left"/>
              <w:rPr>
                <w:rFonts w:cs="Calibri"/>
                <w:lang w:val="cs-CZ" w:eastAsia="cs-CZ"/>
              </w:rPr>
            </w:pPr>
            <w:r w:rsidRPr="008B53A9">
              <w:rPr>
                <w:rFonts w:cs="Calibri"/>
                <w:lang w:val="cs-CZ" w:eastAsia="cs-CZ"/>
              </w:rPr>
              <w:t>• Rozvoj regionálních technologických/kompetenčních center a vědeckých parků podporujících přeshraničně aplikovaný výzkum</w:t>
            </w:r>
          </w:p>
          <w:p w:rsidR="00C25301" w:rsidRPr="008B53A9" w:rsidRDefault="00C25301" w:rsidP="00C25301">
            <w:pPr>
              <w:pStyle w:val="Tabulka"/>
              <w:jc w:val="left"/>
              <w:rPr>
                <w:rFonts w:cs="Calibri"/>
                <w:lang w:val="cs-CZ" w:eastAsia="cs-CZ"/>
              </w:rPr>
            </w:pPr>
            <w:r w:rsidRPr="008B53A9">
              <w:rPr>
                <w:rFonts w:cs="Calibri"/>
                <w:lang w:val="cs-CZ" w:eastAsia="cs-CZ"/>
              </w:rPr>
              <w:t xml:space="preserve">Posílení aktivit MSP v oblasti klastrů a sítí  </w:t>
            </w:r>
          </w:p>
          <w:p w:rsidR="00C25301" w:rsidRPr="008B53A9" w:rsidRDefault="00C25301" w:rsidP="00C25301">
            <w:pPr>
              <w:pStyle w:val="Tabulka"/>
              <w:jc w:val="left"/>
              <w:rPr>
                <w:rFonts w:cs="Calibri"/>
                <w:lang w:val="cs-CZ" w:eastAsia="cs-CZ"/>
              </w:rPr>
            </w:pPr>
            <w:r w:rsidRPr="008B53A9">
              <w:rPr>
                <w:rFonts w:cs="Calibri"/>
                <w:lang w:val="cs-CZ" w:eastAsia="cs-CZ"/>
              </w:rPr>
              <w:t>• Podpora MSP při začleňování do klastrů a inovačních sítí, při síťování v rámci klastrů a inovačních sítích a při síťování mezi klastry a inovačními sítěmi ke zvýšení inovačního potenciálu MSP</w:t>
            </w:r>
          </w:p>
          <w:p w:rsidR="00313601" w:rsidRPr="008B53A9" w:rsidRDefault="00C25301" w:rsidP="00C25301">
            <w:pPr>
              <w:pStyle w:val="Tabulka"/>
              <w:jc w:val="left"/>
              <w:rPr>
                <w:rFonts w:cs="Calibri"/>
                <w:lang w:val="cs-CZ" w:eastAsia="cs-CZ"/>
              </w:rPr>
            </w:pPr>
            <w:r w:rsidRPr="008B53A9">
              <w:rPr>
                <w:rFonts w:cs="Calibri"/>
                <w:lang w:val="cs-CZ" w:eastAsia="cs-CZ"/>
              </w:rPr>
              <w:t xml:space="preserve">• Rozvoj přeshraničních znalostních platforem / znalostních klastrů nesených MSP   </w:t>
            </w:r>
          </w:p>
        </w:tc>
      </w:tr>
      <w:tr w:rsidR="00313601" w:rsidRPr="008B53A9">
        <w:tc>
          <w:tcPr>
            <w:tcW w:w="1101" w:type="pct"/>
            <w:shd w:val="clear" w:color="auto" w:fill="DBE5F1"/>
            <w:vAlign w:val="center"/>
          </w:tcPr>
          <w:p w:rsidR="00313601" w:rsidRPr="008B53A9" w:rsidRDefault="00313601" w:rsidP="00F84E1A">
            <w:pPr>
              <w:pStyle w:val="Tabulka"/>
              <w:jc w:val="left"/>
              <w:rPr>
                <w:rFonts w:cs="Calibri"/>
                <w:b/>
                <w:lang w:val="cs-CZ" w:eastAsia="cs-CZ"/>
              </w:rPr>
            </w:pPr>
            <w:r w:rsidRPr="008B53A9">
              <w:rPr>
                <w:rFonts w:cs="Calibri"/>
                <w:b/>
                <w:lang w:val="cs-CZ" w:eastAsia="cs-CZ"/>
              </w:rPr>
              <w:lastRenderedPageBreak/>
              <w:t>Implementační prvky</w:t>
            </w:r>
          </w:p>
        </w:tc>
        <w:tc>
          <w:tcPr>
            <w:tcW w:w="2176" w:type="pct"/>
            <w:shd w:val="clear" w:color="auto" w:fill="auto"/>
            <w:vAlign w:val="center"/>
          </w:tcPr>
          <w:p w:rsidR="00313601" w:rsidRPr="008B53A9" w:rsidRDefault="00313601" w:rsidP="00F84E1A">
            <w:pPr>
              <w:pStyle w:val="Tabulka"/>
              <w:jc w:val="left"/>
              <w:rPr>
                <w:rFonts w:cs="Calibri"/>
                <w:lang w:val="cs-CZ" w:eastAsia="cs-CZ"/>
              </w:rPr>
            </w:pPr>
            <w:r w:rsidRPr="008B53A9">
              <w:rPr>
                <w:rFonts w:cs="Calibri"/>
                <w:lang w:val="cs-CZ" w:eastAsia="cs-CZ"/>
              </w:rPr>
              <w:t>Typy příjemců: Podnikatelské subjekty (zejména malé a střední, v odůvodněných případech velké podniky), sdružení podnikatelů, zájmová sdružení právnických osob, podnikatelská seskupení, vysoké školy a ostatní vzdělávací instituce, výzkumné organizace, výzkumné ústavy, veřejné výzkumné instituce a fyzické osoby, územní samosprávné celky a jejich svazky, neziskové organizace, obecně prospěšné společnosti</w:t>
            </w:r>
          </w:p>
          <w:p w:rsidR="00313601" w:rsidRPr="008B53A9" w:rsidRDefault="00313601" w:rsidP="00F84E1A">
            <w:pPr>
              <w:pStyle w:val="Tabulka"/>
              <w:jc w:val="left"/>
              <w:rPr>
                <w:rFonts w:cs="Calibri"/>
                <w:lang w:val="cs-CZ" w:eastAsia="cs-CZ"/>
              </w:rPr>
            </w:pPr>
            <w:r w:rsidRPr="008B53A9">
              <w:rPr>
                <w:rFonts w:cs="Calibri"/>
                <w:lang w:val="cs-CZ" w:eastAsia="cs-CZ"/>
              </w:rPr>
              <w:lastRenderedPageBreak/>
              <w:t>Cílové území: Území České republiky, mimo území hl. m. Prahy, v případě aktivit „rozvoj sítí spolupráce (klastrů)“ i Praha za využití čl. 70 obecného nařízení.</w:t>
            </w:r>
          </w:p>
        </w:tc>
        <w:tc>
          <w:tcPr>
            <w:tcW w:w="47" w:type="pct"/>
            <w:tcBorders>
              <w:top w:val="nil"/>
              <w:bottom w:val="nil"/>
            </w:tcBorders>
            <w:shd w:val="clear" w:color="auto" w:fill="auto"/>
            <w:vAlign w:val="center"/>
          </w:tcPr>
          <w:p w:rsidR="00313601" w:rsidRPr="008B53A9" w:rsidRDefault="00313601" w:rsidP="00F84E1A">
            <w:pPr>
              <w:pStyle w:val="Tabulka"/>
              <w:jc w:val="left"/>
              <w:rPr>
                <w:rFonts w:cs="Calibri"/>
                <w:sz w:val="6"/>
                <w:szCs w:val="6"/>
                <w:lang w:val="cs-CZ" w:eastAsia="cs-CZ"/>
              </w:rPr>
            </w:pPr>
          </w:p>
        </w:tc>
        <w:tc>
          <w:tcPr>
            <w:tcW w:w="1676" w:type="pct"/>
            <w:shd w:val="clear" w:color="auto" w:fill="auto"/>
            <w:vAlign w:val="center"/>
          </w:tcPr>
          <w:p w:rsidR="00313601" w:rsidRPr="008B53A9" w:rsidRDefault="00C25301" w:rsidP="00C25301">
            <w:pPr>
              <w:pStyle w:val="Tabulka"/>
              <w:jc w:val="left"/>
              <w:rPr>
                <w:rFonts w:cs="Calibri"/>
                <w:lang w:val="cs-CZ" w:eastAsia="cs-CZ"/>
              </w:rPr>
            </w:pPr>
            <w:r w:rsidRPr="008B53A9">
              <w:rPr>
                <w:rFonts w:cs="Calibri"/>
                <w:lang w:val="cs-CZ" w:eastAsia="cs-CZ"/>
              </w:rPr>
              <w:t xml:space="preserve">Typy příjemců: </w:t>
            </w:r>
            <w:r w:rsidRPr="008B53A9">
              <w:rPr>
                <w:rFonts w:cs="Calibri"/>
                <w:szCs w:val="20"/>
                <w:lang w:val="cs-CZ" w:eastAsia="cs-CZ"/>
              </w:rPr>
              <w:t>Malé a střední podniky, veřejné a soukromé instituce z oblasti výzkumu a inovací, vysoké školy a vysokoškolské ústavy, veřejné orgány (státy, regiony, municipality a jejich organizace), neziskové organizace, Evropské seskupení pro územní spolupráci (ESÚS)</w:t>
            </w:r>
          </w:p>
        </w:tc>
      </w:tr>
      <w:tr w:rsidR="00313601" w:rsidRPr="008B53A9">
        <w:tc>
          <w:tcPr>
            <w:tcW w:w="1101" w:type="pct"/>
            <w:shd w:val="clear" w:color="auto" w:fill="DBE5F1"/>
            <w:vAlign w:val="center"/>
          </w:tcPr>
          <w:p w:rsidR="00313601" w:rsidRPr="008B53A9" w:rsidRDefault="00313601" w:rsidP="00F84E1A">
            <w:pPr>
              <w:pStyle w:val="Tabulka"/>
              <w:jc w:val="left"/>
              <w:rPr>
                <w:rFonts w:cs="Calibri"/>
                <w:b/>
                <w:lang w:val="cs-CZ" w:eastAsia="cs-CZ"/>
              </w:rPr>
            </w:pPr>
            <w:r w:rsidRPr="008B53A9">
              <w:rPr>
                <w:rFonts w:cs="Calibri"/>
                <w:b/>
                <w:lang w:val="cs-CZ" w:eastAsia="cs-CZ"/>
              </w:rPr>
              <w:lastRenderedPageBreak/>
              <w:t>Synergie/komplementarita</w:t>
            </w:r>
          </w:p>
        </w:tc>
        <w:tc>
          <w:tcPr>
            <w:tcW w:w="2176" w:type="pct"/>
            <w:tcBorders>
              <w:tr2bl w:val="single" w:sz="4" w:space="0" w:color="auto"/>
            </w:tcBorders>
            <w:shd w:val="clear" w:color="auto" w:fill="auto"/>
            <w:vAlign w:val="center"/>
          </w:tcPr>
          <w:p w:rsidR="00313601" w:rsidRPr="008B53A9" w:rsidRDefault="00313601" w:rsidP="00F84E1A">
            <w:pPr>
              <w:pStyle w:val="Tabulka"/>
              <w:jc w:val="left"/>
              <w:rPr>
                <w:rFonts w:cs="Calibri"/>
                <w:lang w:val="cs-CZ" w:eastAsia="cs-CZ"/>
              </w:rPr>
            </w:pPr>
          </w:p>
        </w:tc>
        <w:tc>
          <w:tcPr>
            <w:tcW w:w="47" w:type="pct"/>
            <w:tcBorders>
              <w:top w:val="nil"/>
              <w:bottom w:val="nil"/>
            </w:tcBorders>
            <w:shd w:val="clear" w:color="auto" w:fill="auto"/>
            <w:vAlign w:val="center"/>
          </w:tcPr>
          <w:p w:rsidR="00313601" w:rsidRPr="008B53A9" w:rsidRDefault="00313601" w:rsidP="00F84E1A">
            <w:pPr>
              <w:pStyle w:val="Tabulka"/>
              <w:jc w:val="left"/>
              <w:rPr>
                <w:rFonts w:cs="Calibri"/>
                <w:sz w:val="6"/>
                <w:szCs w:val="6"/>
                <w:lang w:val="cs-CZ" w:eastAsia="cs-CZ"/>
              </w:rPr>
            </w:pPr>
          </w:p>
        </w:tc>
        <w:tc>
          <w:tcPr>
            <w:tcW w:w="1676" w:type="pct"/>
            <w:shd w:val="clear" w:color="auto" w:fill="auto"/>
            <w:vAlign w:val="center"/>
          </w:tcPr>
          <w:p w:rsidR="00313601" w:rsidRPr="008B53A9" w:rsidRDefault="00313601" w:rsidP="00F84E1A">
            <w:pPr>
              <w:pStyle w:val="Tabulka"/>
              <w:jc w:val="left"/>
              <w:rPr>
                <w:rFonts w:cs="Calibri"/>
                <w:lang w:val="cs-CZ" w:eastAsia="cs-CZ"/>
              </w:rPr>
            </w:pPr>
            <w:r w:rsidRPr="008B53A9">
              <w:rPr>
                <w:rFonts w:cs="Calibri"/>
                <w:lang w:val="cs-CZ" w:eastAsia="cs-CZ"/>
              </w:rPr>
              <w:t>komplementarita</w:t>
            </w:r>
          </w:p>
        </w:tc>
      </w:tr>
      <w:tr w:rsidR="00313601" w:rsidRPr="008B53A9">
        <w:tc>
          <w:tcPr>
            <w:tcW w:w="1101" w:type="pct"/>
            <w:shd w:val="clear" w:color="auto" w:fill="DBE5F1"/>
            <w:vAlign w:val="center"/>
          </w:tcPr>
          <w:p w:rsidR="00313601" w:rsidRPr="008B53A9" w:rsidRDefault="00313601" w:rsidP="00F84E1A">
            <w:pPr>
              <w:pStyle w:val="Tabulka"/>
              <w:jc w:val="left"/>
              <w:rPr>
                <w:rFonts w:cs="Calibri"/>
                <w:b/>
                <w:lang w:val="cs-CZ" w:eastAsia="cs-CZ"/>
              </w:rPr>
            </w:pPr>
            <w:r w:rsidRPr="008B53A9">
              <w:rPr>
                <w:rFonts w:cs="Calibri"/>
                <w:b/>
                <w:lang w:val="cs-CZ" w:eastAsia="cs-CZ"/>
              </w:rPr>
              <w:t>Mechanismus koordinace</w:t>
            </w:r>
          </w:p>
        </w:tc>
        <w:tc>
          <w:tcPr>
            <w:tcW w:w="3899" w:type="pct"/>
            <w:gridSpan w:val="3"/>
            <w:shd w:val="clear" w:color="auto" w:fill="auto"/>
            <w:vAlign w:val="center"/>
          </w:tcPr>
          <w:p w:rsidR="00313601" w:rsidRPr="008B53A9" w:rsidRDefault="00C25301" w:rsidP="00CE0AC3">
            <w:pPr>
              <w:pStyle w:val="Tabulka"/>
              <w:jc w:val="left"/>
              <w:rPr>
                <w:rFonts w:cs="Calibri"/>
                <w:lang w:val="cs-CZ" w:eastAsia="cs-CZ"/>
              </w:rPr>
            </w:pPr>
            <w:r w:rsidRPr="008B53A9">
              <w:rPr>
                <w:rFonts w:cs="Calibri"/>
                <w:lang w:val="cs-CZ" w:eastAsia="cs-CZ"/>
              </w:rPr>
              <w:t xml:space="preserve">Rada pro ESI fondy (zejména v rámci tematických pracovních skupin, do kterých by byl zapojen i zástupce za programy </w:t>
            </w:r>
            <w:r w:rsidR="003C0399" w:rsidRPr="008B53A9">
              <w:rPr>
                <w:rFonts w:cs="Calibri"/>
                <w:lang w:val="cs-CZ" w:eastAsia="cs-CZ"/>
              </w:rPr>
              <w:t>C</w:t>
            </w:r>
            <w:r w:rsidRPr="008B53A9">
              <w:rPr>
                <w:rFonts w:cs="Calibri"/>
                <w:lang w:val="cs-CZ" w:eastAsia="cs-CZ"/>
              </w:rPr>
              <w:t xml:space="preserve">íle 2), </w:t>
            </w:r>
            <w:r w:rsidR="003C0399" w:rsidRPr="008B53A9">
              <w:rPr>
                <w:rFonts w:cs="Calibri"/>
                <w:lang w:val="cs-CZ" w:eastAsia="cs-CZ"/>
              </w:rPr>
              <w:t>účast zástupců programů Cíle 2 v odborných platformách s cílem výměny informací.</w:t>
            </w:r>
          </w:p>
        </w:tc>
      </w:tr>
    </w:tbl>
    <w:p w:rsidR="00313601" w:rsidRPr="008B53A9" w:rsidRDefault="00313601" w:rsidP="00D51A7B">
      <w:pPr>
        <w:pStyle w:val="Standardntext"/>
      </w:pPr>
    </w:p>
    <w:p w:rsidR="00F004B3" w:rsidRPr="008B53A9" w:rsidRDefault="00F004B3" w:rsidP="005D178C">
      <w:pPr>
        <w:pStyle w:val="Standardntext"/>
        <w:numPr>
          <w:ilvl w:val="0"/>
          <w:numId w:val="95"/>
        </w:numPr>
        <w:spacing w:after="240"/>
        <w:rPr>
          <w:b/>
        </w:rPr>
      </w:pPr>
      <w:r w:rsidRPr="008B53A9">
        <w:rPr>
          <w:b/>
        </w:rPr>
        <w:t>Podpora podnikání MSP</w:t>
      </w:r>
    </w:p>
    <w:p w:rsidR="00F004B3" w:rsidRPr="008B53A9" w:rsidRDefault="00F004B3" w:rsidP="00F004B3">
      <w:pPr>
        <w:pStyle w:val="Standardntext"/>
      </w:pPr>
      <w:r w:rsidRPr="008B53A9">
        <w:t xml:space="preserve">Na zvýšení konkurenceschopnosti malých a středních podniků se kromě OP PIK zaměřuje také </w:t>
      </w:r>
      <w:r w:rsidRPr="008B53A9">
        <w:rPr>
          <w:b/>
        </w:rPr>
        <w:t>PRV</w:t>
      </w:r>
      <w:r w:rsidRPr="008B53A9">
        <w:t>. Základní rozdělení intervencí mezi OP PIK a PRV je z pohledu příjemců (tj. zemědělský podnikatel, definovaný zákonem o zemědělství, a nezemědělský podnikatel) a dále z pohledu výstupu projektu dle Přílohy I. Smlouvy (tzv. annexové a non-annexové položky). V rámci OP PIK budou podporováni nezemědělští podnikatelé s výstupem projektu mimo annexové položky a zemědělští podnikatelé s výstupem projektu mimo annexové položky v oblasti inovací a ICT, zároveň budou podporovány projekty zemědělských podnikatelů zaměřené na podnikatelské poradenství (nikoliv poradenství do zemědělské činnosti) a dále projety zaměřené na internacionalizaci zemědělských podniků.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3"/>
        <w:gridCol w:w="5175"/>
        <w:gridCol w:w="284"/>
        <w:gridCol w:w="6028"/>
      </w:tblGrid>
      <w:tr w:rsidR="00114021" w:rsidRPr="008B53A9">
        <w:trPr>
          <w:trHeight w:val="233"/>
        </w:trPr>
        <w:tc>
          <w:tcPr>
            <w:tcW w:w="1000" w:type="pct"/>
            <w:shd w:val="clear" w:color="auto" w:fill="B8CCE4"/>
            <w:vAlign w:val="center"/>
          </w:tcPr>
          <w:p w:rsidR="00114021" w:rsidRPr="008B53A9" w:rsidRDefault="00114021" w:rsidP="00ED06B3">
            <w:pPr>
              <w:pStyle w:val="Tabulka"/>
              <w:keepNext/>
              <w:keepLines/>
              <w:jc w:val="left"/>
              <w:rPr>
                <w:rFonts w:cs="Calibri"/>
                <w:b/>
                <w:lang w:val="cs-CZ" w:eastAsia="cs-CZ"/>
              </w:rPr>
            </w:pPr>
            <w:r w:rsidRPr="008B53A9">
              <w:rPr>
                <w:rFonts w:cs="Calibri"/>
                <w:b/>
                <w:color w:val="FFFFFF"/>
                <w:lang w:val="cs-CZ" w:eastAsia="cs-CZ"/>
              </w:rPr>
              <w:t>Podpora podnikání MSP</w:t>
            </w:r>
          </w:p>
        </w:tc>
        <w:tc>
          <w:tcPr>
            <w:tcW w:w="1802" w:type="pct"/>
            <w:tcBorders>
              <w:bottom w:val="single" w:sz="4" w:space="0" w:color="000000"/>
            </w:tcBorders>
            <w:shd w:val="clear" w:color="auto" w:fill="B8CCE4"/>
            <w:vAlign w:val="center"/>
          </w:tcPr>
          <w:p w:rsidR="00114021" w:rsidRPr="008B53A9" w:rsidRDefault="00114021" w:rsidP="004D52A1">
            <w:pPr>
              <w:pStyle w:val="Tabulka"/>
              <w:keepNext/>
              <w:keepLines/>
              <w:rPr>
                <w:rFonts w:cs="Calibri"/>
                <w:b/>
                <w:lang w:val="cs-CZ" w:eastAsia="cs-CZ"/>
              </w:rPr>
            </w:pPr>
            <w:r w:rsidRPr="008B53A9">
              <w:rPr>
                <w:rFonts w:cs="Calibri"/>
                <w:b/>
                <w:lang w:val="cs-CZ" w:eastAsia="cs-CZ"/>
              </w:rPr>
              <w:t>OP PIK</w:t>
            </w:r>
          </w:p>
        </w:tc>
        <w:tc>
          <w:tcPr>
            <w:tcW w:w="99" w:type="pct"/>
            <w:tcBorders>
              <w:top w:val="nil"/>
              <w:left w:val="single" w:sz="4" w:space="0" w:color="auto"/>
              <w:bottom w:val="nil"/>
              <w:right w:val="single" w:sz="4" w:space="0" w:color="auto"/>
            </w:tcBorders>
            <w:shd w:val="clear" w:color="auto" w:fill="auto"/>
          </w:tcPr>
          <w:p w:rsidR="00114021" w:rsidRPr="008B53A9" w:rsidRDefault="00114021" w:rsidP="004D52A1">
            <w:pPr>
              <w:pStyle w:val="Tabulka"/>
              <w:keepNext/>
              <w:keepLines/>
              <w:rPr>
                <w:rFonts w:cs="Calibri"/>
                <w:b/>
                <w:lang w:val="cs-CZ" w:eastAsia="cs-CZ"/>
              </w:rPr>
            </w:pPr>
          </w:p>
        </w:tc>
        <w:tc>
          <w:tcPr>
            <w:tcW w:w="2099" w:type="pct"/>
            <w:tcBorders>
              <w:left w:val="single" w:sz="4" w:space="0" w:color="auto"/>
              <w:bottom w:val="single" w:sz="4" w:space="0" w:color="000000"/>
            </w:tcBorders>
            <w:shd w:val="clear" w:color="auto" w:fill="B8CCE4"/>
          </w:tcPr>
          <w:p w:rsidR="00114021" w:rsidRPr="008B53A9" w:rsidRDefault="00114021" w:rsidP="004D52A1">
            <w:pPr>
              <w:pStyle w:val="Tabulka"/>
              <w:keepNext/>
              <w:keepLines/>
              <w:rPr>
                <w:rFonts w:cs="Calibri"/>
                <w:b/>
                <w:lang w:val="cs-CZ" w:eastAsia="cs-CZ"/>
              </w:rPr>
            </w:pPr>
            <w:r w:rsidRPr="008B53A9">
              <w:rPr>
                <w:rFonts w:cs="Calibri"/>
                <w:b/>
                <w:lang w:val="cs-CZ" w:eastAsia="cs-CZ"/>
              </w:rPr>
              <w:t>PRV</w:t>
            </w:r>
          </w:p>
        </w:tc>
      </w:tr>
      <w:tr w:rsidR="00114021" w:rsidRPr="008B53A9">
        <w:trPr>
          <w:trHeight w:val="300"/>
        </w:trPr>
        <w:tc>
          <w:tcPr>
            <w:tcW w:w="1000" w:type="pct"/>
            <w:vMerge w:val="restart"/>
            <w:shd w:val="clear" w:color="auto" w:fill="DBE5F1"/>
            <w:vAlign w:val="center"/>
          </w:tcPr>
          <w:p w:rsidR="00114021" w:rsidRPr="008B53A9" w:rsidRDefault="00114021" w:rsidP="004D52A1">
            <w:pPr>
              <w:pStyle w:val="Tabulka"/>
              <w:jc w:val="left"/>
              <w:rPr>
                <w:rFonts w:cs="Calibri"/>
                <w:lang w:val="cs-CZ" w:eastAsia="cs-CZ"/>
              </w:rPr>
            </w:pPr>
            <w:r w:rsidRPr="008B53A9">
              <w:rPr>
                <w:rFonts w:cs="Calibri"/>
                <w:b/>
                <w:lang w:val="cs-CZ" w:eastAsia="cs-CZ"/>
              </w:rPr>
              <w:t>Tematický cíl / investiční priorita</w:t>
            </w:r>
          </w:p>
        </w:tc>
        <w:tc>
          <w:tcPr>
            <w:tcW w:w="1802" w:type="pct"/>
            <w:vMerge w:val="restart"/>
            <w:shd w:val="clear" w:color="auto" w:fill="auto"/>
            <w:vAlign w:val="center"/>
          </w:tcPr>
          <w:p w:rsidR="00114021" w:rsidRPr="008B53A9" w:rsidRDefault="00114021" w:rsidP="00ED06B3">
            <w:pPr>
              <w:pStyle w:val="Tabulka"/>
              <w:jc w:val="left"/>
              <w:rPr>
                <w:rFonts w:cs="Calibri"/>
                <w:lang w:val="cs-CZ" w:eastAsia="cs-CZ"/>
              </w:rPr>
            </w:pPr>
            <w:r w:rsidRPr="008B53A9">
              <w:rPr>
                <w:rFonts w:cs="Calibri"/>
                <w:lang w:val="cs-CZ" w:eastAsia="cs-CZ"/>
              </w:rPr>
              <w:t>TC 03 / 3 a)</w:t>
            </w:r>
          </w:p>
        </w:tc>
        <w:tc>
          <w:tcPr>
            <w:tcW w:w="99" w:type="pct"/>
            <w:tcBorders>
              <w:top w:val="nil"/>
              <w:left w:val="single" w:sz="4" w:space="0" w:color="auto"/>
              <w:bottom w:val="nil"/>
              <w:right w:val="single" w:sz="4" w:space="0" w:color="auto"/>
            </w:tcBorders>
            <w:shd w:val="clear" w:color="auto" w:fill="auto"/>
          </w:tcPr>
          <w:p w:rsidR="00114021" w:rsidRPr="008B53A9" w:rsidRDefault="00114021" w:rsidP="004D52A1">
            <w:pPr>
              <w:pStyle w:val="Tabulka"/>
              <w:jc w:val="left"/>
              <w:rPr>
                <w:rFonts w:cs="Calibri"/>
                <w:lang w:val="cs-CZ" w:eastAsia="cs-CZ"/>
              </w:rPr>
            </w:pPr>
          </w:p>
        </w:tc>
        <w:tc>
          <w:tcPr>
            <w:tcW w:w="2099" w:type="pct"/>
            <w:vMerge w:val="restart"/>
            <w:tcBorders>
              <w:left w:val="single" w:sz="4" w:space="0" w:color="auto"/>
            </w:tcBorders>
            <w:shd w:val="clear" w:color="auto" w:fill="auto"/>
            <w:vAlign w:val="center"/>
          </w:tcPr>
          <w:p w:rsidR="00114021" w:rsidRPr="008B53A9" w:rsidRDefault="00114021" w:rsidP="004D52A1">
            <w:pPr>
              <w:pStyle w:val="Tabulka"/>
              <w:jc w:val="left"/>
              <w:rPr>
                <w:rFonts w:cs="Calibri"/>
                <w:lang w:val="cs-CZ" w:eastAsia="cs-CZ"/>
              </w:rPr>
            </w:pPr>
            <w:r w:rsidRPr="008B53A9">
              <w:rPr>
                <w:rFonts w:cs="Calibri"/>
                <w:lang w:val="cs-CZ" w:eastAsia="cs-CZ"/>
              </w:rPr>
              <w:t>-  / -</w:t>
            </w:r>
          </w:p>
        </w:tc>
      </w:tr>
      <w:tr w:rsidR="00114021" w:rsidRPr="008B53A9">
        <w:trPr>
          <w:trHeight w:val="212"/>
        </w:trPr>
        <w:tc>
          <w:tcPr>
            <w:tcW w:w="1000" w:type="pct"/>
            <w:vMerge/>
            <w:tcBorders>
              <w:bottom w:val="dotted" w:sz="4" w:space="0" w:color="auto"/>
            </w:tcBorders>
            <w:shd w:val="clear" w:color="auto" w:fill="DBE5F1"/>
            <w:vAlign w:val="center"/>
          </w:tcPr>
          <w:p w:rsidR="00114021" w:rsidRPr="008B53A9" w:rsidRDefault="00114021" w:rsidP="004D52A1">
            <w:pPr>
              <w:pStyle w:val="Tabulka"/>
              <w:jc w:val="left"/>
              <w:rPr>
                <w:rFonts w:cs="Calibri"/>
                <w:lang w:val="cs-CZ" w:eastAsia="cs-CZ"/>
              </w:rPr>
            </w:pPr>
          </w:p>
        </w:tc>
        <w:tc>
          <w:tcPr>
            <w:tcW w:w="1802" w:type="pct"/>
            <w:vMerge/>
            <w:tcBorders>
              <w:bottom w:val="dotted" w:sz="4" w:space="0" w:color="auto"/>
            </w:tcBorders>
            <w:shd w:val="clear" w:color="auto" w:fill="auto"/>
            <w:vAlign w:val="center"/>
          </w:tcPr>
          <w:p w:rsidR="00114021" w:rsidRPr="008B53A9" w:rsidRDefault="00114021" w:rsidP="004D52A1">
            <w:pPr>
              <w:pStyle w:val="Tabulka"/>
              <w:jc w:val="left"/>
              <w:rPr>
                <w:rFonts w:cs="Calibri"/>
                <w:lang w:val="cs-CZ" w:eastAsia="cs-CZ"/>
              </w:rPr>
            </w:pPr>
          </w:p>
        </w:tc>
        <w:tc>
          <w:tcPr>
            <w:tcW w:w="99" w:type="pct"/>
            <w:tcBorders>
              <w:top w:val="nil"/>
              <w:left w:val="single" w:sz="4" w:space="0" w:color="auto"/>
              <w:bottom w:val="nil"/>
              <w:right w:val="single" w:sz="4" w:space="0" w:color="auto"/>
            </w:tcBorders>
            <w:shd w:val="clear" w:color="auto" w:fill="auto"/>
          </w:tcPr>
          <w:p w:rsidR="00114021" w:rsidRPr="008B53A9" w:rsidRDefault="00114021" w:rsidP="004D52A1">
            <w:pPr>
              <w:pStyle w:val="Tabulka"/>
              <w:jc w:val="left"/>
              <w:rPr>
                <w:rFonts w:cs="Calibri"/>
                <w:lang w:val="cs-CZ" w:eastAsia="cs-CZ"/>
              </w:rPr>
            </w:pPr>
          </w:p>
        </w:tc>
        <w:tc>
          <w:tcPr>
            <w:tcW w:w="2099" w:type="pct"/>
            <w:vMerge/>
            <w:tcBorders>
              <w:left w:val="single" w:sz="4" w:space="0" w:color="auto"/>
              <w:bottom w:val="dotted" w:sz="4" w:space="0" w:color="auto"/>
            </w:tcBorders>
            <w:shd w:val="clear" w:color="auto" w:fill="auto"/>
            <w:vAlign w:val="center"/>
          </w:tcPr>
          <w:p w:rsidR="00114021" w:rsidRPr="008B53A9" w:rsidRDefault="00114021" w:rsidP="00ED06B3">
            <w:pPr>
              <w:pStyle w:val="Tabulka"/>
              <w:jc w:val="left"/>
              <w:rPr>
                <w:rFonts w:cs="Calibri"/>
                <w:lang w:val="cs-CZ" w:eastAsia="cs-CZ"/>
              </w:rPr>
            </w:pPr>
          </w:p>
        </w:tc>
      </w:tr>
      <w:tr w:rsidR="00114021" w:rsidRPr="008B53A9">
        <w:trPr>
          <w:trHeight w:val="212"/>
        </w:trPr>
        <w:tc>
          <w:tcPr>
            <w:tcW w:w="1000" w:type="pct"/>
            <w:tcBorders>
              <w:top w:val="dotted" w:sz="4" w:space="0" w:color="auto"/>
              <w:bottom w:val="dotted" w:sz="4" w:space="0" w:color="auto"/>
            </w:tcBorders>
            <w:shd w:val="clear" w:color="auto" w:fill="DBE5F1"/>
            <w:vAlign w:val="center"/>
          </w:tcPr>
          <w:p w:rsidR="00114021" w:rsidRPr="008B53A9" w:rsidRDefault="00114021" w:rsidP="004D52A1">
            <w:pPr>
              <w:pStyle w:val="Tabulka"/>
              <w:jc w:val="left"/>
              <w:rPr>
                <w:rFonts w:cs="Calibri"/>
                <w:lang w:val="cs-CZ" w:eastAsia="cs-CZ"/>
              </w:rPr>
            </w:pPr>
            <w:r w:rsidRPr="008B53A9">
              <w:rPr>
                <w:rFonts w:cs="Calibri"/>
                <w:b/>
                <w:lang w:val="cs-CZ" w:eastAsia="cs-CZ"/>
              </w:rPr>
              <w:t>Prioritní osa</w:t>
            </w:r>
          </w:p>
        </w:tc>
        <w:tc>
          <w:tcPr>
            <w:tcW w:w="1802" w:type="pct"/>
            <w:tcBorders>
              <w:top w:val="dotted" w:sz="4" w:space="0" w:color="auto"/>
              <w:bottom w:val="dotted" w:sz="4" w:space="0" w:color="auto"/>
            </w:tcBorders>
            <w:shd w:val="clear" w:color="auto" w:fill="auto"/>
            <w:vAlign w:val="center"/>
          </w:tcPr>
          <w:p w:rsidR="00114021" w:rsidRPr="008B53A9" w:rsidRDefault="00114021" w:rsidP="004D52A1">
            <w:pPr>
              <w:pStyle w:val="Tabulka"/>
              <w:jc w:val="left"/>
              <w:rPr>
                <w:rFonts w:cs="Calibri"/>
                <w:lang w:val="cs-CZ" w:eastAsia="cs-CZ"/>
              </w:rPr>
            </w:pPr>
            <w:r w:rsidRPr="008B53A9">
              <w:rPr>
                <w:rFonts w:cs="Calibri"/>
                <w:lang w:val="cs-CZ" w:eastAsia="cs-CZ"/>
              </w:rPr>
              <w:t>PO 2: Rozvoj podnikání a konkurenceschopnosti malých a středních podniků</w:t>
            </w:r>
          </w:p>
        </w:tc>
        <w:tc>
          <w:tcPr>
            <w:tcW w:w="99" w:type="pct"/>
            <w:tcBorders>
              <w:top w:val="nil"/>
              <w:left w:val="single" w:sz="4" w:space="0" w:color="auto"/>
              <w:bottom w:val="nil"/>
              <w:right w:val="single" w:sz="4" w:space="0" w:color="auto"/>
            </w:tcBorders>
            <w:shd w:val="clear" w:color="auto" w:fill="auto"/>
          </w:tcPr>
          <w:p w:rsidR="00114021" w:rsidRPr="008B53A9" w:rsidRDefault="00114021" w:rsidP="004D52A1">
            <w:pPr>
              <w:pStyle w:val="Tabulka"/>
              <w:jc w:val="left"/>
              <w:rPr>
                <w:rFonts w:cs="Calibri"/>
                <w:lang w:val="cs-CZ" w:eastAsia="cs-CZ"/>
              </w:rPr>
            </w:pPr>
          </w:p>
        </w:tc>
        <w:tc>
          <w:tcPr>
            <w:tcW w:w="2099" w:type="pct"/>
            <w:tcBorders>
              <w:top w:val="dotted" w:sz="4" w:space="0" w:color="auto"/>
              <w:left w:val="single" w:sz="4" w:space="0" w:color="auto"/>
              <w:bottom w:val="dotted" w:sz="4" w:space="0" w:color="auto"/>
            </w:tcBorders>
            <w:shd w:val="clear" w:color="auto" w:fill="auto"/>
            <w:vAlign w:val="center"/>
          </w:tcPr>
          <w:p w:rsidR="00114021" w:rsidRPr="008B53A9" w:rsidRDefault="00114021" w:rsidP="00ED06B3">
            <w:pPr>
              <w:pStyle w:val="Tabulka"/>
              <w:jc w:val="left"/>
              <w:rPr>
                <w:rFonts w:cs="Calibri"/>
                <w:lang w:val="cs-CZ" w:eastAsia="cs-CZ"/>
              </w:rPr>
            </w:pPr>
            <w:r w:rsidRPr="008B53A9">
              <w:rPr>
                <w:rFonts w:cs="Calibri"/>
                <w:lang w:val="cs-CZ" w:eastAsia="cs-CZ"/>
              </w:rPr>
              <w:t>Priorita 2: Zvýšení životaschopnosti zemědělských podniků a konkurenceschopnosti všech druhů zemědělské činnosti ve všech regionech a podpora inovativních zemědělských technologií a udržitelného obhospodařování lesů</w:t>
            </w:r>
          </w:p>
          <w:p w:rsidR="00114021" w:rsidRPr="008B53A9" w:rsidRDefault="00114021" w:rsidP="00ED06B3">
            <w:pPr>
              <w:pStyle w:val="Tabulka"/>
              <w:jc w:val="left"/>
              <w:rPr>
                <w:rFonts w:cs="Calibri"/>
                <w:lang w:val="cs-CZ" w:eastAsia="cs-CZ"/>
              </w:rPr>
            </w:pPr>
            <w:r w:rsidRPr="008B53A9">
              <w:rPr>
                <w:rFonts w:cs="Calibri"/>
                <w:lang w:val="cs-CZ" w:eastAsia="cs-CZ"/>
              </w:rPr>
              <w:t>Priorita 3: Podpora organizace potravinového řetězce, včetně zpracování zemědělských produktů a jejich uvádění na trh</w:t>
            </w:r>
          </w:p>
          <w:p w:rsidR="00114021" w:rsidRPr="008B53A9" w:rsidRDefault="00114021" w:rsidP="00ED06B3">
            <w:pPr>
              <w:pStyle w:val="Tabulka"/>
              <w:jc w:val="left"/>
              <w:rPr>
                <w:rFonts w:cs="Calibri"/>
                <w:lang w:val="cs-CZ" w:eastAsia="cs-CZ"/>
              </w:rPr>
            </w:pPr>
            <w:r w:rsidRPr="008B53A9">
              <w:rPr>
                <w:rFonts w:cs="Calibri"/>
                <w:lang w:val="cs-CZ" w:eastAsia="cs-CZ"/>
              </w:rPr>
              <w:t>Priorita 6 Podpora sociálního začleňování, snižování chudoby a hospodářského rozvoje ve venkovských oblastech</w:t>
            </w:r>
          </w:p>
        </w:tc>
      </w:tr>
      <w:tr w:rsidR="00114021" w:rsidRPr="008B53A9">
        <w:tc>
          <w:tcPr>
            <w:tcW w:w="1000" w:type="pct"/>
            <w:tcBorders>
              <w:top w:val="dotted" w:sz="4" w:space="0" w:color="auto"/>
            </w:tcBorders>
            <w:shd w:val="clear" w:color="auto" w:fill="DBE5F1"/>
            <w:vAlign w:val="center"/>
          </w:tcPr>
          <w:p w:rsidR="00114021" w:rsidRPr="008B53A9" w:rsidRDefault="00114021" w:rsidP="004D52A1">
            <w:pPr>
              <w:pStyle w:val="Tabulka"/>
              <w:jc w:val="left"/>
              <w:rPr>
                <w:rFonts w:cs="Calibri"/>
                <w:lang w:val="cs-CZ" w:eastAsia="cs-CZ"/>
              </w:rPr>
            </w:pPr>
            <w:r w:rsidRPr="008B53A9">
              <w:rPr>
                <w:rFonts w:cs="Calibri"/>
                <w:b/>
                <w:lang w:val="cs-CZ" w:eastAsia="cs-CZ"/>
              </w:rPr>
              <w:t>Specifický cíl</w:t>
            </w:r>
          </w:p>
        </w:tc>
        <w:tc>
          <w:tcPr>
            <w:tcW w:w="1802" w:type="pct"/>
            <w:tcBorders>
              <w:top w:val="dotted" w:sz="4" w:space="0" w:color="auto"/>
            </w:tcBorders>
            <w:shd w:val="clear" w:color="auto" w:fill="auto"/>
            <w:vAlign w:val="center"/>
          </w:tcPr>
          <w:p w:rsidR="00114021" w:rsidRPr="008B53A9" w:rsidRDefault="00114021" w:rsidP="004D52A1">
            <w:pPr>
              <w:pStyle w:val="Tabulka"/>
              <w:jc w:val="left"/>
              <w:rPr>
                <w:rFonts w:cs="Calibri"/>
                <w:lang w:val="cs-CZ" w:eastAsia="cs-CZ"/>
              </w:rPr>
            </w:pPr>
            <w:r w:rsidRPr="008B53A9">
              <w:rPr>
                <w:rFonts w:cs="Calibri"/>
                <w:lang w:val="cs-CZ" w:eastAsia="cs-CZ"/>
              </w:rPr>
              <w:t xml:space="preserve">SC 2.1: </w:t>
            </w:r>
            <w:r w:rsidR="00CE3F25" w:rsidRPr="008B53A9">
              <w:rPr>
                <w:rFonts w:cs="Calibri"/>
                <w:lang w:val="cs-CZ" w:eastAsia="cs-CZ"/>
              </w:rPr>
              <w:t xml:space="preserve">Zvýšit konkurenceschopnost začínajících a </w:t>
            </w:r>
            <w:r w:rsidR="00CE3F25" w:rsidRPr="008B53A9">
              <w:rPr>
                <w:rFonts w:cs="Calibri"/>
                <w:lang w:val="cs-CZ" w:eastAsia="cs-CZ"/>
              </w:rPr>
              <w:lastRenderedPageBreak/>
              <w:t>rozvojových MSP</w:t>
            </w:r>
          </w:p>
        </w:tc>
        <w:tc>
          <w:tcPr>
            <w:tcW w:w="99" w:type="pct"/>
            <w:tcBorders>
              <w:top w:val="nil"/>
              <w:left w:val="single" w:sz="4" w:space="0" w:color="auto"/>
              <w:bottom w:val="nil"/>
              <w:right w:val="single" w:sz="4" w:space="0" w:color="auto"/>
            </w:tcBorders>
            <w:shd w:val="clear" w:color="auto" w:fill="auto"/>
          </w:tcPr>
          <w:p w:rsidR="00114021" w:rsidRPr="008B53A9" w:rsidRDefault="00114021" w:rsidP="004D52A1">
            <w:pPr>
              <w:pStyle w:val="Tabulka"/>
              <w:jc w:val="left"/>
              <w:rPr>
                <w:rFonts w:cs="Calibri"/>
                <w:lang w:val="cs-CZ" w:eastAsia="cs-CZ"/>
              </w:rPr>
            </w:pPr>
          </w:p>
        </w:tc>
        <w:tc>
          <w:tcPr>
            <w:tcW w:w="2099" w:type="pct"/>
            <w:tcBorders>
              <w:top w:val="dotted" w:sz="4" w:space="0" w:color="auto"/>
              <w:left w:val="single" w:sz="4" w:space="0" w:color="auto"/>
            </w:tcBorders>
            <w:shd w:val="clear" w:color="auto" w:fill="auto"/>
            <w:vAlign w:val="center"/>
          </w:tcPr>
          <w:p w:rsidR="00114021" w:rsidRPr="008B53A9" w:rsidRDefault="00114021" w:rsidP="00FD3077">
            <w:pPr>
              <w:pStyle w:val="Tabulka"/>
              <w:jc w:val="left"/>
              <w:rPr>
                <w:rFonts w:cs="Calibri"/>
                <w:lang w:val="cs-CZ" w:eastAsia="cs-CZ"/>
              </w:rPr>
            </w:pPr>
            <w:r w:rsidRPr="008B53A9">
              <w:rPr>
                <w:rFonts w:cs="Calibri"/>
                <w:lang w:val="cs-CZ" w:eastAsia="cs-CZ"/>
              </w:rPr>
              <w:t xml:space="preserve">Usnadnit restrukturalizaci a modernizaci zemědělských podniků a </w:t>
            </w:r>
            <w:r w:rsidRPr="008B53A9">
              <w:rPr>
                <w:rFonts w:cs="Calibri"/>
                <w:lang w:val="cs-CZ" w:eastAsia="cs-CZ"/>
              </w:rPr>
              <w:lastRenderedPageBreak/>
              <w:t>posílit tak jejich orientaci na trh, zvýšit míru účasti na trhu, a zlepšit životaschopnost podniku.</w:t>
            </w:r>
          </w:p>
          <w:p w:rsidR="00114021" w:rsidRPr="008B53A9" w:rsidRDefault="00114021" w:rsidP="00FD3077">
            <w:pPr>
              <w:pStyle w:val="Tabulka"/>
              <w:jc w:val="left"/>
              <w:rPr>
                <w:rFonts w:cs="Calibri"/>
                <w:lang w:val="cs-CZ" w:eastAsia="cs-CZ"/>
              </w:rPr>
            </w:pPr>
            <w:r w:rsidRPr="008B53A9">
              <w:rPr>
                <w:rFonts w:cs="Calibri"/>
                <w:lang w:val="cs-CZ" w:eastAsia="cs-CZ"/>
              </w:rPr>
              <w:t>Podpořit přidávání hodnoty zemědělským výrobkům a tak zlepšit konkurenceschopnost výrobců potravin a krmiv, respektive zemědělských a zpracovatelských podniků.</w:t>
            </w:r>
          </w:p>
          <w:p w:rsidR="00114021" w:rsidRPr="008B53A9" w:rsidRDefault="00114021" w:rsidP="00FD3077">
            <w:pPr>
              <w:pStyle w:val="Tabulka"/>
              <w:jc w:val="left"/>
              <w:rPr>
                <w:rFonts w:cs="Calibri"/>
                <w:lang w:val="cs-CZ" w:eastAsia="cs-CZ"/>
              </w:rPr>
            </w:pPr>
            <w:r w:rsidRPr="008B53A9">
              <w:rPr>
                <w:rFonts w:cs="Calibri"/>
                <w:lang w:val="cs-CZ" w:eastAsia="cs-CZ"/>
              </w:rPr>
              <w:t>Zvýšit konkurenceschopnost dřevozpracujících podniků.</w:t>
            </w:r>
          </w:p>
          <w:p w:rsidR="00114021" w:rsidRPr="008B53A9" w:rsidRDefault="00114021" w:rsidP="00FD3077">
            <w:pPr>
              <w:pStyle w:val="Tabulka"/>
              <w:jc w:val="left"/>
              <w:rPr>
                <w:rFonts w:cs="Calibri"/>
                <w:lang w:val="cs-CZ" w:eastAsia="cs-CZ"/>
              </w:rPr>
            </w:pPr>
            <w:r w:rsidRPr="008B53A9">
              <w:rPr>
                <w:rFonts w:cs="Calibri"/>
                <w:lang w:val="cs-CZ" w:eastAsia="cs-CZ"/>
              </w:rPr>
              <w:t>Usnadnění diverzifikace, podpora vytváření pracovních míst.</w:t>
            </w:r>
          </w:p>
        </w:tc>
      </w:tr>
      <w:tr w:rsidR="00114021" w:rsidRPr="008B53A9">
        <w:tc>
          <w:tcPr>
            <w:tcW w:w="1000" w:type="pct"/>
            <w:shd w:val="clear" w:color="auto" w:fill="DBE5F1"/>
            <w:vAlign w:val="center"/>
          </w:tcPr>
          <w:p w:rsidR="00114021" w:rsidRPr="008B53A9" w:rsidRDefault="00114021" w:rsidP="004D52A1">
            <w:pPr>
              <w:pStyle w:val="Tabulka"/>
              <w:jc w:val="left"/>
              <w:rPr>
                <w:rFonts w:cs="Calibri"/>
                <w:lang w:val="cs-CZ" w:eastAsia="cs-CZ"/>
              </w:rPr>
            </w:pPr>
            <w:r w:rsidRPr="008B53A9">
              <w:rPr>
                <w:rFonts w:cs="Calibri"/>
                <w:b/>
                <w:lang w:val="cs-CZ" w:eastAsia="cs-CZ"/>
              </w:rPr>
              <w:lastRenderedPageBreak/>
              <w:t>Věcná specifikace (zaměření, aktivity)</w:t>
            </w:r>
          </w:p>
        </w:tc>
        <w:tc>
          <w:tcPr>
            <w:tcW w:w="1802" w:type="pct"/>
            <w:shd w:val="clear" w:color="auto" w:fill="auto"/>
            <w:vAlign w:val="center"/>
          </w:tcPr>
          <w:p w:rsidR="00114021" w:rsidRPr="008B53A9" w:rsidRDefault="00114021" w:rsidP="00ED06B3">
            <w:pPr>
              <w:pStyle w:val="Tabulka"/>
              <w:jc w:val="left"/>
              <w:rPr>
                <w:rFonts w:cs="Calibri"/>
                <w:lang w:val="cs-CZ" w:eastAsia="cs-CZ"/>
              </w:rPr>
            </w:pPr>
            <w:r w:rsidRPr="008B53A9">
              <w:rPr>
                <w:rFonts w:cs="Calibri"/>
                <w:lang w:val="cs-CZ" w:eastAsia="cs-CZ"/>
              </w:rPr>
              <w:t>V rámci OP PIK budou podporováni nezemědělští podnikatelé s výstupem projektu mimo annexové položky a zemědělští podnikatelé s výstupem projektu mimo annexové položky v oblasti inovací a ICT, zároveň budou podporovány projekty zemědělských podnikatelů zaměřené na podnikatelské poradenství (nikoliv poradenství do zemědělské činnosti) a dále projety zaměřené na internacionalizaci zemědělských podniků.</w:t>
            </w:r>
          </w:p>
        </w:tc>
        <w:tc>
          <w:tcPr>
            <w:tcW w:w="99" w:type="pct"/>
            <w:tcBorders>
              <w:top w:val="nil"/>
              <w:left w:val="single" w:sz="4" w:space="0" w:color="auto"/>
              <w:bottom w:val="nil"/>
              <w:right w:val="single" w:sz="4" w:space="0" w:color="auto"/>
            </w:tcBorders>
            <w:shd w:val="clear" w:color="auto" w:fill="auto"/>
          </w:tcPr>
          <w:p w:rsidR="00114021" w:rsidRPr="008B53A9" w:rsidRDefault="00114021" w:rsidP="004D52A1">
            <w:pPr>
              <w:pStyle w:val="Tabulka"/>
              <w:jc w:val="left"/>
              <w:rPr>
                <w:rFonts w:cs="Calibri"/>
                <w:lang w:val="cs-CZ" w:eastAsia="cs-CZ"/>
              </w:rPr>
            </w:pPr>
          </w:p>
        </w:tc>
        <w:tc>
          <w:tcPr>
            <w:tcW w:w="2099" w:type="pct"/>
            <w:tcBorders>
              <w:left w:val="single" w:sz="4" w:space="0" w:color="auto"/>
            </w:tcBorders>
            <w:shd w:val="clear" w:color="auto" w:fill="auto"/>
            <w:vAlign w:val="center"/>
          </w:tcPr>
          <w:p w:rsidR="00114021" w:rsidRPr="008B53A9" w:rsidRDefault="00114021" w:rsidP="00FD3077">
            <w:pPr>
              <w:pStyle w:val="Tabulka"/>
              <w:jc w:val="left"/>
              <w:rPr>
                <w:rFonts w:cs="Calibri"/>
                <w:lang w:val="cs-CZ" w:eastAsia="cs-CZ"/>
              </w:rPr>
            </w:pPr>
            <w:r w:rsidRPr="008B53A9">
              <w:rPr>
                <w:rFonts w:cs="Calibri"/>
                <w:lang w:val="cs-CZ" w:eastAsia="cs-CZ"/>
              </w:rPr>
              <w:t xml:space="preserve">Opatření Investice do zemědělských podniků, investice do zemědělských staveb a technologií; investice, které se týkají zpracování annexových zemědělských produktů </w:t>
            </w:r>
          </w:p>
          <w:p w:rsidR="00114021" w:rsidRPr="008B53A9" w:rsidRDefault="00114021" w:rsidP="00FD3077">
            <w:pPr>
              <w:pStyle w:val="Tabulka"/>
              <w:jc w:val="left"/>
              <w:rPr>
                <w:rFonts w:cs="Calibri"/>
                <w:lang w:val="cs-CZ" w:eastAsia="cs-CZ"/>
              </w:rPr>
            </w:pPr>
            <w:r w:rsidRPr="008B53A9">
              <w:rPr>
                <w:rFonts w:cs="Calibri"/>
                <w:lang w:val="cs-CZ" w:eastAsia="cs-CZ"/>
              </w:rPr>
              <w:t xml:space="preserve">Opatření Technické vybavení dřevozpracujících provozoven podpora strojů a technologií v pilařských provozovnách </w:t>
            </w:r>
          </w:p>
          <w:p w:rsidR="00114021" w:rsidRPr="008B53A9" w:rsidRDefault="00114021" w:rsidP="00FD3077">
            <w:pPr>
              <w:pStyle w:val="Tabulka"/>
              <w:jc w:val="left"/>
              <w:rPr>
                <w:rFonts w:cs="Calibri"/>
                <w:lang w:val="cs-CZ" w:eastAsia="cs-CZ"/>
              </w:rPr>
            </w:pPr>
            <w:r w:rsidRPr="008B53A9">
              <w:rPr>
                <w:rFonts w:cs="Calibri"/>
                <w:lang w:val="cs-CZ" w:eastAsia="cs-CZ"/>
              </w:rPr>
              <w:t>Opatření Investice do nezemědělských činností, diverzifikace činností zemědělských subjektů ve smyslu zahájení a rozvoje nezemědělské podnikatelské činnosti (na příslušné ekonomické činnosti dle CZ-NACE) včetně cestovního ruchu.</w:t>
            </w:r>
          </w:p>
        </w:tc>
      </w:tr>
      <w:tr w:rsidR="00114021" w:rsidRPr="008B53A9">
        <w:tc>
          <w:tcPr>
            <w:tcW w:w="1000" w:type="pct"/>
            <w:shd w:val="clear" w:color="auto" w:fill="DBE5F1"/>
            <w:vAlign w:val="center"/>
          </w:tcPr>
          <w:p w:rsidR="00114021" w:rsidRPr="008B53A9" w:rsidRDefault="00114021" w:rsidP="004D52A1">
            <w:pPr>
              <w:pStyle w:val="Tabulka"/>
              <w:jc w:val="left"/>
              <w:rPr>
                <w:rFonts w:cs="Calibri"/>
                <w:lang w:val="cs-CZ" w:eastAsia="cs-CZ"/>
              </w:rPr>
            </w:pPr>
            <w:r w:rsidRPr="008B53A9">
              <w:rPr>
                <w:rFonts w:cs="Calibri"/>
                <w:b/>
                <w:lang w:val="cs-CZ" w:eastAsia="cs-CZ"/>
              </w:rPr>
              <w:t>Implementační prvky</w:t>
            </w:r>
          </w:p>
        </w:tc>
        <w:tc>
          <w:tcPr>
            <w:tcW w:w="1802" w:type="pct"/>
            <w:tcBorders>
              <w:bottom w:val="single" w:sz="4" w:space="0" w:color="auto"/>
            </w:tcBorders>
            <w:shd w:val="clear" w:color="auto" w:fill="auto"/>
            <w:vAlign w:val="center"/>
          </w:tcPr>
          <w:p w:rsidR="00114021" w:rsidRPr="008B53A9" w:rsidRDefault="00114021" w:rsidP="00114021">
            <w:pPr>
              <w:pStyle w:val="Tabulka"/>
              <w:jc w:val="left"/>
              <w:rPr>
                <w:rFonts w:cs="Calibri"/>
                <w:lang w:val="cs-CZ" w:eastAsia="cs-CZ"/>
              </w:rPr>
            </w:pPr>
            <w:r w:rsidRPr="008B53A9">
              <w:rPr>
                <w:rFonts w:cs="Calibri"/>
                <w:lang w:val="cs-CZ" w:eastAsia="cs-CZ"/>
              </w:rPr>
              <w:t>Typy příjemců: podnikatelské subjekty (malé a střední podniky)</w:t>
            </w:r>
          </w:p>
          <w:p w:rsidR="00114021" w:rsidRPr="008B53A9" w:rsidRDefault="00114021" w:rsidP="00114021">
            <w:pPr>
              <w:pStyle w:val="Tabulka"/>
              <w:jc w:val="left"/>
              <w:rPr>
                <w:rFonts w:cs="Calibri"/>
                <w:lang w:val="cs-CZ" w:eastAsia="cs-CZ"/>
              </w:rPr>
            </w:pPr>
            <w:r w:rsidRPr="008B53A9">
              <w:rPr>
                <w:rFonts w:cs="Calibri"/>
                <w:lang w:val="cs-CZ" w:eastAsia="cs-CZ"/>
              </w:rPr>
              <w:t>Cílové území: Území České republiky, mimo území hl. města Prahy</w:t>
            </w:r>
          </w:p>
        </w:tc>
        <w:tc>
          <w:tcPr>
            <w:tcW w:w="99" w:type="pct"/>
            <w:tcBorders>
              <w:top w:val="nil"/>
              <w:left w:val="single" w:sz="4" w:space="0" w:color="auto"/>
              <w:bottom w:val="nil"/>
              <w:right w:val="single" w:sz="4" w:space="0" w:color="auto"/>
            </w:tcBorders>
            <w:shd w:val="clear" w:color="auto" w:fill="auto"/>
          </w:tcPr>
          <w:p w:rsidR="00114021" w:rsidRPr="008B53A9" w:rsidRDefault="00114021" w:rsidP="004D52A1">
            <w:pPr>
              <w:pStyle w:val="Tabulka"/>
              <w:jc w:val="left"/>
              <w:rPr>
                <w:rFonts w:cs="Calibri"/>
                <w:lang w:val="cs-CZ" w:eastAsia="cs-CZ"/>
              </w:rPr>
            </w:pPr>
          </w:p>
        </w:tc>
        <w:tc>
          <w:tcPr>
            <w:tcW w:w="2099" w:type="pct"/>
            <w:tcBorders>
              <w:left w:val="single" w:sz="4" w:space="0" w:color="auto"/>
            </w:tcBorders>
            <w:shd w:val="clear" w:color="auto" w:fill="auto"/>
            <w:vAlign w:val="center"/>
          </w:tcPr>
          <w:p w:rsidR="00114021" w:rsidRPr="008B53A9" w:rsidRDefault="00114021" w:rsidP="00FD3077">
            <w:pPr>
              <w:pStyle w:val="Tabulka"/>
              <w:jc w:val="left"/>
              <w:rPr>
                <w:rFonts w:cs="Calibri"/>
                <w:lang w:val="cs-CZ" w:eastAsia="cs-CZ"/>
              </w:rPr>
            </w:pPr>
            <w:r w:rsidRPr="008B53A9">
              <w:rPr>
                <w:rFonts w:cs="Calibri"/>
                <w:lang w:val="cs-CZ" w:eastAsia="cs-CZ"/>
              </w:rPr>
              <w:t xml:space="preserve">Typy příjemců: malé a střední zemědělské/ potravinářské (zpracování annexových položek)/ dřevozpracující podniky </w:t>
            </w:r>
          </w:p>
          <w:p w:rsidR="00114021" w:rsidRPr="008B53A9" w:rsidRDefault="00114021" w:rsidP="00FD3077">
            <w:pPr>
              <w:pStyle w:val="Tabulka"/>
              <w:jc w:val="left"/>
              <w:rPr>
                <w:rFonts w:cs="Calibri"/>
                <w:lang w:val="cs-CZ" w:eastAsia="cs-CZ"/>
              </w:rPr>
            </w:pPr>
            <w:r w:rsidRPr="008B53A9">
              <w:rPr>
                <w:rFonts w:cs="Calibri"/>
                <w:lang w:val="cs-CZ" w:eastAsia="cs-CZ"/>
              </w:rPr>
              <w:t>Cílové území: Celé území ČR kromě hl. m. Prahy</w:t>
            </w:r>
          </w:p>
        </w:tc>
      </w:tr>
      <w:tr w:rsidR="00114021" w:rsidRPr="008B53A9">
        <w:tc>
          <w:tcPr>
            <w:tcW w:w="1000" w:type="pct"/>
            <w:shd w:val="clear" w:color="auto" w:fill="DBE5F1"/>
            <w:vAlign w:val="center"/>
          </w:tcPr>
          <w:p w:rsidR="00114021" w:rsidRPr="008B53A9" w:rsidRDefault="00114021" w:rsidP="004D52A1">
            <w:pPr>
              <w:pStyle w:val="Tabulka"/>
              <w:jc w:val="left"/>
              <w:rPr>
                <w:rFonts w:cs="Calibri"/>
                <w:b/>
                <w:lang w:val="cs-CZ" w:eastAsia="cs-CZ"/>
              </w:rPr>
            </w:pPr>
            <w:r w:rsidRPr="008B53A9">
              <w:rPr>
                <w:rFonts w:cs="Calibri"/>
                <w:b/>
                <w:lang w:val="cs-CZ" w:eastAsia="cs-CZ"/>
              </w:rPr>
              <w:t>Synergie/komplementarita</w:t>
            </w:r>
          </w:p>
        </w:tc>
        <w:tc>
          <w:tcPr>
            <w:tcW w:w="1802" w:type="pct"/>
            <w:tcBorders>
              <w:bottom w:val="single" w:sz="4" w:space="0" w:color="auto"/>
              <w:tr2bl w:val="single" w:sz="4" w:space="0" w:color="auto"/>
            </w:tcBorders>
            <w:shd w:val="clear" w:color="auto" w:fill="auto"/>
            <w:vAlign w:val="center"/>
          </w:tcPr>
          <w:p w:rsidR="00114021" w:rsidRPr="008B53A9" w:rsidRDefault="00114021" w:rsidP="004D52A1">
            <w:pPr>
              <w:pStyle w:val="Tabulka"/>
              <w:jc w:val="left"/>
              <w:rPr>
                <w:rFonts w:cs="Calibri"/>
                <w:lang w:val="cs-CZ" w:eastAsia="cs-CZ"/>
              </w:rPr>
            </w:pPr>
          </w:p>
        </w:tc>
        <w:tc>
          <w:tcPr>
            <w:tcW w:w="99" w:type="pct"/>
            <w:tcBorders>
              <w:top w:val="nil"/>
              <w:left w:val="single" w:sz="4" w:space="0" w:color="auto"/>
              <w:bottom w:val="single" w:sz="4" w:space="0" w:color="auto"/>
              <w:right w:val="single" w:sz="4" w:space="0" w:color="auto"/>
            </w:tcBorders>
            <w:shd w:val="clear" w:color="auto" w:fill="auto"/>
          </w:tcPr>
          <w:p w:rsidR="00114021" w:rsidRPr="008B53A9" w:rsidRDefault="00114021" w:rsidP="004D52A1">
            <w:pPr>
              <w:pStyle w:val="Tabulka"/>
              <w:jc w:val="left"/>
              <w:rPr>
                <w:rFonts w:cs="Calibri"/>
                <w:lang w:val="cs-CZ" w:eastAsia="cs-CZ"/>
              </w:rPr>
            </w:pPr>
          </w:p>
        </w:tc>
        <w:tc>
          <w:tcPr>
            <w:tcW w:w="2099" w:type="pct"/>
            <w:tcBorders>
              <w:left w:val="single" w:sz="4" w:space="0" w:color="auto"/>
              <w:bottom w:val="single" w:sz="4" w:space="0" w:color="auto"/>
            </w:tcBorders>
            <w:shd w:val="clear" w:color="auto" w:fill="auto"/>
            <w:vAlign w:val="center"/>
          </w:tcPr>
          <w:p w:rsidR="00114021" w:rsidRPr="008B53A9" w:rsidRDefault="00114021" w:rsidP="004D52A1">
            <w:pPr>
              <w:pStyle w:val="Tabulka"/>
              <w:jc w:val="left"/>
              <w:rPr>
                <w:rFonts w:cs="Calibri"/>
                <w:lang w:val="cs-CZ" w:eastAsia="cs-CZ"/>
              </w:rPr>
            </w:pPr>
            <w:r w:rsidRPr="008B53A9">
              <w:rPr>
                <w:rFonts w:cs="Calibri"/>
                <w:lang w:val="cs-CZ" w:eastAsia="cs-CZ"/>
              </w:rPr>
              <w:t>komplementarita</w:t>
            </w:r>
          </w:p>
        </w:tc>
      </w:tr>
      <w:tr w:rsidR="00114021" w:rsidRPr="008B53A9">
        <w:tc>
          <w:tcPr>
            <w:tcW w:w="1000" w:type="pct"/>
            <w:shd w:val="clear" w:color="auto" w:fill="DBE5F1"/>
            <w:vAlign w:val="center"/>
          </w:tcPr>
          <w:p w:rsidR="00114021" w:rsidRPr="008B53A9" w:rsidRDefault="00114021" w:rsidP="004D52A1">
            <w:pPr>
              <w:pStyle w:val="Tabulka"/>
              <w:jc w:val="left"/>
              <w:rPr>
                <w:rFonts w:cs="Calibri"/>
                <w:b/>
                <w:lang w:val="cs-CZ" w:eastAsia="cs-CZ"/>
              </w:rPr>
            </w:pPr>
            <w:r w:rsidRPr="008B53A9">
              <w:rPr>
                <w:rFonts w:cs="Calibri"/>
                <w:b/>
                <w:lang w:val="cs-CZ" w:eastAsia="cs-CZ"/>
              </w:rPr>
              <w:t>Mechanismus koordinace</w:t>
            </w:r>
          </w:p>
        </w:tc>
        <w:tc>
          <w:tcPr>
            <w:tcW w:w="4000" w:type="pct"/>
            <w:gridSpan w:val="3"/>
            <w:tcBorders>
              <w:tr2bl w:val="nil"/>
            </w:tcBorders>
            <w:shd w:val="clear" w:color="auto" w:fill="auto"/>
            <w:vAlign w:val="center"/>
          </w:tcPr>
          <w:p w:rsidR="00114021" w:rsidRPr="008B53A9" w:rsidRDefault="00114021" w:rsidP="004D52A1">
            <w:pPr>
              <w:pStyle w:val="Tabulka"/>
              <w:jc w:val="left"/>
              <w:rPr>
                <w:rFonts w:cs="Calibri"/>
                <w:lang w:val="cs-CZ" w:eastAsia="cs-CZ"/>
              </w:rPr>
            </w:pPr>
            <w:r w:rsidRPr="008B53A9">
              <w:rPr>
                <w:rFonts w:cs="Calibri"/>
                <w:lang w:val="cs-CZ" w:eastAsia="cs-CZ"/>
              </w:rPr>
              <w:t>Memorandum o spolupráci mezi ŘO OP PIK a ŘO PRV.</w:t>
            </w:r>
          </w:p>
        </w:tc>
      </w:tr>
    </w:tbl>
    <w:p w:rsidR="005530D1" w:rsidRPr="008B53A9" w:rsidRDefault="005530D1" w:rsidP="00D51A7B">
      <w:pPr>
        <w:pStyle w:val="Standardntext"/>
      </w:pPr>
    </w:p>
    <w:p w:rsidR="00F004B3" w:rsidRPr="008B53A9" w:rsidRDefault="00F004B3" w:rsidP="005D178C">
      <w:pPr>
        <w:pStyle w:val="Standardntext"/>
        <w:numPr>
          <w:ilvl w:val="0"/>
          <w:numId w:val="95"/>
        </w:numPr>
        <w:rPr>
          <w:b/>
        </w:rPr>
      </w:pPr>
      <w:r w:rsidRPr="008B53A9">
        <w:rPr>
          <w:b/>
        </w:rPr>
        <w:t>Sociální podnikání</w:t>
      </w:r>
    </w:p>
    <w:p w:rsidR="00F004B3" w:rsidRPr="008B53A9" w:rsidRDefault="00F004B3" w:rsidP="00F004B3">
      <w:pPr>
        <w:pStyle w:val="Standardntext"/>
      </w:pPr>
      <w:r w:rsidRPr="008B53A9">
        <w:t xml:space="preserve">Problematikou sociálního podnikání se primárně zabývají </w:t>
      </w:r>
      <w:r w:rsidRPr="008B53A9">
        <w:rPr>
          <w:b/>
        </w:rPr>
        <w:t>OP Z</w:t>
      </w:r>
      <w:r w:rsidRPr="008B53A9">
        <w:t xml:space="preserve">, </w:t>
      </w:r>
      <w:r w:rsidRPr="008B53A9">
        <w:rPr>
          <w:b/>
        </w:rPr>
        <w:t>IROP</w:t>
      </w:r>
      <w:r w:rsidRPr="008B53A9">
        <w:t xml:space="preserve"> a </w:t>
      </w:r>
      <w:r w:rsidRPr="008B53A9">
        <w:rPr>
          <w:b/>
        </w:rPr>
        <w:t>OP PPR</w:t>
      </w:r>
      <w:r w:rsidRPr="008B53A9">
        <w:t xml:space="preserve">. Zatímco jmenované operační programy se soustřeďují na sociální podnikání jako takové, předmětem OP PIK je spíše posílení sociálního rozměru podnikání. Jeho podstatou je, aby jakýkoliv malý či střední podnik, který splní dané podmínky a prokáže realizací podpořeného projektu zaměstnávání osob ze znevýhodněných skupin obyvatelstva, </w:t>
      </w:r>
      <w:r w:rsidRPr="008B53A9">
        <w:lastRenderedPageBreak/>
        <w:t>byl zvýhodněn (např. prostřednictvím bonifikace) oproti jiným žadatelům, kteří v projektu tento typ pracovních míst nevytvoří. Přímá vazba OP PIK na uvedené operační programy se proto v této oblasti nepředpokládá.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2606"/>
        <w:gridCol w:w="222"/>
        <w:gridCol w:w="2980"/>
        <w:gridCol w:w="2726"/>
        <w:gridCol w:w="3012"/>
      </w:tblGrid>
      <w:tr w:rsidR="002E523E" w:rsidRPr="008B53A9">
        <w:trPr>
          <w:trHeight w:val="233"/>
        </w:trPr>
        <w:tc>
          <w:tcPr>
            <w:tcW w:w="0" w:type="auto"/>
            <w:tcBorders>
              <w:tr2bl w:val="nil"/>
            </w:tcBorders>
            <w:shd w:val="clear" w:color="auto" w:fill="739BCB"/>
            <w:vAlign w:val="center"/>
          </w:tcPr>
          <w:p w:rsidR="002E523E" w:rsidRPr="008B53A9" w:rsidRDefault="002E523E" w:rsidP="004D52A1">
            <w:pPr>
              <w:pStyle w:val="Tabulka"/>
              <w:keepNext/>
              <w:keepLines/>
              <w:jc w:val="left"/>
              <w:rPr>
                <w:rFonts w:cs="Calibri"/>
                <w:b/>
                <w:lang w:val="cs-CZ" w:eastAsia="cs-CZ"/>
              </w:rPr>
            </w:pPr>
            <w:r w:rsidRPr="008B53A9">
              <w:rPr>
                <w:rFonts w:cs="Calibri"/>
                <w:b/>
                <w:color w:val="FFFFFF"/>
                <w:lang w:val="cs-CZ" w:eastAsia="cs-CZ"/>
              </w:rPr>
              <w:t>Sociální podnikání</w:t>
            </w:r>
          </w:p>
        </w:tc>
        <w:tc>
          <w:tcPr>
            <w:tcW w:w="0" w:type="auto"/>
            <w:tcBorders>
              <w:bottom w:val="single" w:sz="4" w:space="0" w:color="000000"/>
              <w:tr2bl w:val="nil"/>
            </w:tcBorders>
            <w:shd w:val="clear" w:color="auto" w:fill="B8CCE4"/>
            <w:vAlign w:val="center"/>
          </w:tcPr>
          <w:p w:rsidR="002E523E" w:rsidRPr="008B53A9" w:rsidRDefault="002E523E" w:rsidP="004D52A1">
            <w:pPr>
              <w:pStyle w:val="Tabulka"/>
              <w:keepNext/>
              <w:keepLines/>
              <w:rPr>
                <w:rFonts w:cs="Calibri"/>
                <w:b/>
                <w:lang w:val="cs-CZ" w:eastAsia="cs-CZ"/>
              </w:rPr>
            </w:pPr>
            <w:r w:rsidRPr="008B53A9">
              <w:rPr>
                <w:rFonts w:cs="Calibri"/>
                <w:b/>
                <w:lang w:val="cs-CZ" w:eastAsia="cs-CZ"/>
              </w:rPr>
              <w:t>OP PIK</w:t>
            </w:r>
          </w:p>
        </w:tc>
        <w:tc>
          <w:tcPr>
            <w:tcW w:w="0" w:type="auto"/>
            <w:tcBorders>
              <w:top w:val="nil"/>
              <w:bottom w:val="nil"/>
              <w:tr2bl w:val="nil"/>
            </w:tcBorders>
            <w:shd w:val="clear" w:color="auto" w:fill="auto"/>
            <w:vAlign w:val="center"/>
          </w:tcPr>
          <w:p w:rsidR="002E523E" w:rsidRPr="008B53A9" w:rsidRDefault="002E523E" w:rsidP="004D52A1">
            <w:pPr>
              <w:pStyle w:val="Tabulka"/>
              <w:keepNext/>
              <w:keepLines/>
              <w:rPr>
                <w:rFonts w:cs="Calibri"/>
                <w:b/>
                <w:sz w:val="6"/>
                <w:szCs w:val="6"/>
                <w:lang w:val="cs-CZ" w:eastAsia="cs-CZ"/>
              </w:rPr>
            </w:pPr>
          </w:p>
        </w:tc>
        <w:tc>
          <w:tcPr>
            <w:tcW w:w="0" w:type="auto"/>
            <w:tcBorders>
              <w:bottom w:val="single" w:sz="4" w:space="0" w:color="000000"/>
              <w:right w:val="single" w:sz="4" w:space="0" w:color="auto"/>
              <w:tr2bl w:val="nil"/>
            </w:tcBorders>
            <w:shd w:val="clear" w:color="auto" w:fill="B8CCE4"/>
            <w:vAlign w:val="center"/>
          </w:tcPr>
          <w:p w:rsidR="002E523E" w:rsidRPr="008B53A9" w:rsidRDefault="002E523E" w:rsidP="004D52A1">
            <w:pPr>
              <w:pStyle w:val="Tabulka"/>
              <w:keepNext/>
              <w:keepLines/>
              <w:rPr>
                <w:rFonts w:cs="Calibri"/>
                <w:b/>
                <w:lang w:val="cs-CZ" w:eastAsia="cs-CZ"/>
              </w:rPr>
            </w:pPr>
            <w:r w:rsidRPr="008B53A9">
              <w:rPr>
                <w:rFonts w:cs="Calibri"/>
                <w:b/>
                <w:lang w:val="cs-CZ" w:eastAsia="cs-CZ"/>
              </w:rPr>
              <w:t>OP Z</w:t>
            </w:r>
          </w:p>
        </w:tc>
        <w:tc>
          <w:tcPr>
            <w:tcW w:w="0" w:type="auto"/>
            <w:tcBorders>
              <w:left w:val="single" w:sz="4" w:space="0" w:color="auto"/>
              <w:bottom w:val="single" w:sz="4" w:space="0" w:color="000000"/>
              <w:right w:val="single" w:sz="4" w:space="0" w:color="auto"/>
              <w:tr2bl w:val="nil"/>
            </w:tcBorders>
            <w:shd w:val="clear" w:color="auto" w:fill="B8CCE4"/>
            <w:vAlign w:val="center"/>
          </w:tcPr>
          <w:p w:rsidR="002E523E" w:rsidRPr="008B53A9" w:rsidRDefault="002E523E" w:rsidP="004D52A1">
            <w:pPr>
              <w:pStyle w:val="Tabulka"/>
              <w:keepNext/>
              <w:keepLines/>
              <w:rPr>
                <w:rFonts w:cs="Calibri"/>
                <w:b/>
                <w:lang w:val="cs-CZ" w:eastAsia="cs-CZ"/>
              </w:rPr>
            </w:pPr>
            <w:r w:rsidRPr="008B53A9">
              <w:rPr>
                <w:rFonts w:cs="Calibri"/>
                <w:b/>
                <w:lang w:val="cs-CZ" w:eastAsia="cs-CZ"/>
              </w:rPr>
              <w:t>OP PPR</w:t>
            </w:r>
          </w:p>
        </w:tc>
        <w:tc>
          <w:tcPr>
            <w:tcW w:w="0" w:type="auto"/>
            <w:tcBorders>
              <w:top w:val="single" w:sz="4" w:space="0" w:color="auto"/>
              <w:left w:val="single" w:sz="4" w:space="0" w:color="auto"/>
              <w:bottom w:val="single" w:sz="4" w:space="0" w:color="auto"/>
              <w:tr2bl w:val="nil"/>
            </w:tcBorders>
            <w:shd w:val="clear" w:color="auto" w:fill="B8CCE4"/>
            <w:vAlign w:val="center"/>
          </w:tcPr>
          <w:p w:rsidR="002E523E" w:rsidRPr="008B53A9" w:rsidRDefault="002E523E" w:rsidP="004D52A1">
            <w:pPr>
              <w:pStyle w:val="Tabulka"/>
              <w:keepNext/>
              <w:keepLines/>
              <w:rPr>
                <w:rFonts w:cs="Calibri"/>
                <w:b/>
                <w:lang w:val="cs-CZ" w:eastAsia="cs-CZ"/>
              </w:rPr>
            </w:pPr>
            <w:r w:rsidRPr="008B53A9">
              <w:rPr>
                <w:rFonts w:cs="Calibri"/>
                <w:b/>
                <w:lang w:val="cs-CZ" w:eastAsia="cs-CZ"/>
              </w:rPr>
              <w:t>IROP</w:t>
            </w:r>
          </w:p>
        </w:tc>
      </w:tr>
      <w:tr w:rsidR="002E523E" w:rsidRPr="008B53A9">
        <w:trPr>
          <w:trHeight w:val="2537"/>
        </w:trPr>
        <w:tc>
          <w:tcPr>
            <w:tcW w:w="0" w:type="auto"/>
            <w:tcBorders>
              <w:bottom w:val="dotted" w:sz="4" w:space="0" w:color="auto"/>
              <w:tr2bl w:val="nil"/>
            </w:tcBorders>
            <w:shd w:val="clear" w:color="auto" w:fill="DBE5F1"/>
            <w:vAlign w:val="center"/>
          </w:tcPr>
          <w:p w:rsidR="002E523E" w:rsidRPr="008B53A9" w:rsidRDefault="002E523E" w:rsidP="004D52A1">
            <w:pPr>
              <w:pStyle w:val="Tabulka"/>
              <w:jc w:val="left"/>
              <w:rPr>
                <w:rFonts w:cs="Calibri"/>
                <w:b/>
                <w:lang w:val="cs-CZ" w:eastAsia="cs-CZ"/>
              </w:rPr>
            </w:pPr>
            <w:r w:rsidRPr="008B53A9">
              <w:rPr>
                <w:rFonts w:cs="Calibri"/>
                <w:b/>
                <w:lang w:val="cs-CZ" w:eastAsia="cs-CZ"/>
              </w:rPr>
              <w:t>Tematický cíl / investiční priorita</w:t>
            </w:r>
          </w:p>
        </w:tc>
        <w:tc>
          <w:tcPr>
            <w:tcW w:w="0" w:type="auto"/>
            <w:tcBorders>
              <w:bottom w:val="dotted" w:sz="4" w:space="0" w:color="auto"/>
              <w:right w:val="single" w:sz="4" w:space="0" w:color="auto"/>
              <w:tr2bl w:val="nil"/>
            </w:tcBorders>
            <w:shd w:val="clear" w:color="auto" w:fill="auto"/>
            <w:vAlign w:val="center"/>
          </w:tcPr>
          <w:p w:rsidR="002E523E" w:rsidRPr="008B53A9" w:rsidRDefault="002E523E" w:rsidP="009C597F">
            <w:pPr>
              <w:pStyle w:val="Tabulka"/>
              <w:jc w:val="left"/>
              <w:rPr>
                <w:rFonts w:cs="Calibri"/>
                <w:lang w:val="cs-CZ" w:eastAsia="cs-CZ"/>
              </w:rPr>
            </w:pPr>
            <w:r w:rsidRPr="008B53A9">
              <w:rPr>
                <w:rFonts w:cs="Calibri"/>
                <w:lang w:val="cs-CZ" w:eastAsia="cs-CZ"/>
              </w:rPr>
              <w:t>TC 03 / 3 a)</w:t>
            </w:r>
          </w:p>
        </w:tc>
        <w:tc>
          <w:tcPr>
            <w:tcW w:w="0" w:type="auto"/>
            <w:tcBorders>
              <w:top w:val="nil"/>
              <w:left w:val="single" w:sz="4" w:space="0" w:color="auto"/>
              <w:bottom w:val="nil"/>
              <w:right w:val="single" w:sz="4" w:space="0" w:color="auto"/>
              <w:tr2bl w:val="nil"/>
            </w:tcBorders>
            <w:shd w:val="clear" w:color="auto" w:fill="auto"/>
            <w:vAlign w:val="center"/>
          </w:tcPr>
          <w:p w:rsidR="002E523E" w:rsidRPr="008B53A9" w:rsidRDefault="002E523E" w:rsidP="004D52A1">
            <w:pPr>
              <w:pStyle w:val="Tabulka"/>
              <w:jc w:val="left"/>
              <w:rPr>
                <w:rFonts w:cs="Calibri"/>
                <w:sz w:val="6"/>
                <w:szCs w:val="6"/>
                <w:lang w:val="cs-CZ" w:eastAsia="cs-CZ"/>
              </w:rPr>
            </w:pPr>
          </w:p>
        </w:tc>
        <w:tc>
          <w:tcPr>
            <w:tcW w:w="0" w:type="auto"/>
            <w:tcBorders>
              <w:left w:val="single" w:sz="4" w:space="0" w:color="auto"/>
              <w:bottom w:val="dotted" w:sz="4" w:space="0" w:color="auto"/>
              <w:right w:val="single" w:sz="4" w:space="0" w:color="auto"/>
              <w:tr2bl w:val="nil"/>
            </w:tcBorders>
            <w:shd w:val="clear" w:color="auto" w:fill="auto"/>
            <w:vAlign w:val="center"/>
          </w:tcPr>
          <w:p w:rsidR="002E523E" w:rsidRPr="008B53A9" w:rsidRDefault="002E523E" w:rsidP="004826FD">
            <w:pPr>
              <w:pStyle w:val="Tabulka"/>
              <w:jc w:val="left"/>
              <w:rPr>
                <w:rFonts w:cs="Calibri"/>
                <w:lang w:val="cs-CZ" w:eastAsia="cs-CZ"/>
              </w:rPr>
            </w:pPr>
            <w:r w:rsidRPr="008B53A9">
              <w:rPr>
                <w:rFonts w:cs="Calibri"/>
                <w:lang w:val="cs-CZ" w:eastAsia="cs-CZ"/>
              </w:rPr>
              <w:t>TC 09 / čl. 3 odst. b) písm. i) nařízení o ESF</w:t>
            </w:r>
          </w:p>
        </w:tc>
        <w:tc>
          <w:tcPr>
            <w:tcW w:w="0" w:type="auto"/>
            <w:tcBorders>
              <w:left w:val="single" w:sz="4" w:space="0" w:color="auto"/>
              <w:bottom w:val="dotted" w:sz="4" w:space="0" w:color="auto"/>
              <w:right w:val="single" w:sz="4" w:space="0" w:color="auto"/>
              <w:tr2bl w:val="nil"/>
            </w:tcBorders>
            <w:shd w:val="clear" w:color="auto" w:fill="auto"/>
            <w:vAlign w:val="center"/>
          </w:tcPr>
          <w:p w:rsidR="002E523E" w:rsidRPr="008B53A9" w:rsidRDefault="002E523E" w:rsidP="00FD3077">
            <w:pPr>
              <w:pStyle w:val="Tabulka"/>
              <w:jc w:val="left"/>
              <w:rPr>
                <w:rFonts w:cs="Calibri"/>
                <w:lang w:val="cs-CZ" w:eastAsia="cs-CZ"/>
              </w:rPr>
            </w:pPr>
            <w:r w:rsidRPr="008B53A9">
              <w:rPr>
                <w:rFonts w:cs="Calibri"/>
                <w:lang w:val="cs-CZ" w:eastAsia="cs-CZ"/>
              </w:rPr>
              <w:t>TC 9 / c)</w:t>
            </w:r>
          </w:p>
          <w:p w:rsidR="002E523E" w:rsidRPr="008B53A9" w:rsidRDefault="002E523E" w:rsidP="00FD3077">
            <w:pPr>
              <w:pStyle w:val="Tabulka"/>
              <w:jc w:val="left"/>
              <w:rPr>
                <w:rFonts w:cs="Calibri"/>
                <w:lang w:val="cs-CZ" w:eastAsia="cs-CZ"/>
              </w:rPr>
            </w:pPr>
            <w:r w:rsidRPr="008B53A9">
              <w:rPr>
                <w:rFonts w:cs="Calibri"/>
                <w:lang w:val="cs-CZ" w:eastAsia="cs-CZ"/>
              </w:rPr>
              <w:t>TC 9 / čl. 3 odst. b) písm. iv) nařízení o ESF</w:t>
            </w:r>
          </w:p>
          <w:p w:rsidR="002E523E" w:rsidRPr="008B53A9" w:rsidRDefault="002E523E" w:rsidP="00FD3077">
            <w:pPr>
              <w:pStyle w:val="Tabulka"/>
              <w:jc w:val="left"/>
              <w:rPr>
                <w:rFonts w:cs="Calibri"/>
                <w:lang w:val="cs-CZ" w:eastAsia="cs-CZ"/>
              </w:rPr>
            </w:pPr>
            <w:r w:rsidRPr="008B53A9">
              <w:rPr>
                <w:rFonts w:cs="Calibri"/>
                <w:lang w:val="cs-CZ" w:eastAsia="cs-CZ"/>
              </w:rPr>
              <w:t>TC 9 / čl. 3 odst. b) písm. v) nařízení o ESF</w:t>
            </w:r>
          </w:p>
        </w:tc>
        <w:tc>
          <w:tcPr>
            <w:tcW w:w="0" w:type="auto"/>
            <w:tcBorders>
              <w:top w:val="single" w:sz="4" w:space="0" w:color="auto"/>
              <w:left w:val="single" w:sz="4" w:space="0" w:color="auto"/>
              <w:bottom w:val="dotted" w:sz="4" w:space="0" w:color="auto"/>
              <w:tr2bl w:val="nil"/>
            </w:tcBorders>
            <w:shd w:val="clear" w:color="auto" w:fill="auto"/>
          </w:tcPr>
          <w:p w:rsidR="002E523E" w:rsidRPr="008B53A9" w:rsidRDefault="002E523E" w:rsidP="00FD3077">
            <w:pPr>
              <w:pStyle w:val="Tabulka"/>
              <w:jc w:val="left"/>
              <w:rPr>
                <w:rFonts w:cs="Calibri"/>
                <w:lang w:val="cs-CZ" w:eastAsia="cs-CZ"/>
              </w:rPr>
            </w:pPr>
            <w:r w:rsidRPr="008B53A9">
              <w:rPr>
                <w:rFonts w:cs="Calibri"/>
                <w:lang w:val="cs-CZ" w:eastAsia="cs-CZ"/>
              </w:rPr>
              <w:t>TC 9 / 9 c)</w:t>
            </w:r>
          </w:p>
        </w:tc>
      </w:tr>
      <w:tr w:rsidR="002E523E" w:rsidRPr="008B53A9">
        <w:trPr>
          <w:trHeight w:val="212"/>
        </w:trPr>
        <w:tc>
          <w:tcPr>
            <w:tcW w:w="0" w:type="auto"/>
            <w:tcBorders>
              <w:top w:val="dotted" w:sz="4" w:space="0" w:color="auto"/>
              <w:bottom w:val="dotted" w:sz="4" w:space="0" w:color="auto"/>
              <w:tr2bl w:val="nil"/>
            </w:tcBorders>
            <w:shd w:val="clear" w:color="auto" w:fill="DBE5F1"/>
            <w:vAlign w:val="center"/>
          </w:tcPr>
          <w:p w:rsidR="002E523E" w:rsidRPr="008B53A9" w:rsidRDefault="002E523E" w:rsidP="004D52A1">
            <w:pPr>
              <w:pStyle w:val="Tabulka"/>
              <w:jc w:val="left"/>
              <w:rPr>
                <w:rFonts w:cs="Calibri"/>
                <w:b/>
                <w:lang w:val="cs-CZ" w:eastAsia="cs-CZ"/>
              </w:rPr>
            </w:pPr>
            <w:r w:rsidRPr="008B53A9">
              <w:rPr>
                <w:rFonts w:cs="Calibri"/>
                <w:b/>
                <w:lang w:val="cs-CZ" w:eastAsia="cs-CZ"/>
              </w:rPr>
              <w:t>Prioritní osa</w:t>
            </w:r>
          </w:p>
        </w:tc>
        <w:tc>
          <w:tcPr>
            <w:tcW w:w="0" w:type="auto"/>
            <w:tcBorders>
              <w:top w:val="dotted" w:sz="4" w:space="0" w:color="auto"/>
              <w:bottom w:val="dotted" w:sz="4" w:space="0" w:color="auto"/>
              <w:right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PO 2: Rozvoj podnikání a konkurenceschopnosti malých a středních podniků</w:t>
            </w:r>
          </w:p>
        </w:tc>
        <w:tc>
          <w:tcPr>
            <w:tcW w:w="0" w:type="auto"/>
            <w:tcBorders>
              <w:top w:val="nil"/>
              <w:left w:val="single" w:sz="4" w:space="0" w:color="auto"/>
              <w:bottom w:val="nil"/>
              <w:right w:val="single" w:sz="4" w:space="0" w:color="auto"/>
              <w:tr2bl w:val="nil"/>
            </w:tcBorders>
            <w:shd w:val="clear" w:color="auto" w:fill="auto"/>
            <w:vAlign w:val="center"/>
          </w:tcPr>
          <w:p w:rsidR="002E523E" w:rsidRPr="008B53A9" w:rsidRDefault="002E523E" w:rsidP="004D52A1">
            <w:pPr>
              <w:pStyle w:val="Tabulka"/>
              <w:jc w:val="left"/>
              <w:rPr>
                <w:rFonts w:cs="Calibri"/>
                <w:sz w:val="6"/>
                <w:szCs w:val="6"/>
                <w:lang w:val="cs-CZ" w:eastAsia="cs-CZ"/>
              </w:rPr>
            </w:pPr>
          </w:p>
        </w:tc>
        <w:tc>
          <w:tcPr>
            <w:tcW w:w="0" w:type="auto"/>
            <w:tcBorders>
              <w:top w:val="dotted" w:sz="4" w:space="0" w:color="auto"/>
              <w:left w:val="single" w:sz="4" w:space="0" w:color="auto"/>
              <w:bottom w:val="dotted" w:sz="4" w:space="0" w:color="auto"/>
              <w:right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PO 2: Sociální začleňování a boj s chudobou</w:t>
            </w:r>
          </w:p>
        </w:tc>
        <w:tc>
          <w:tcPr>
            <w:tcW w:w="0" w:type="auto"/>
            <w:tcBorders>
              <w:top w:val="dotted" w:sz="4" w:space="0" w:color="auto"/>
              <w:left w:val="single" w:sz="4" w:space="0" w:color="auto"/>
              <w:bottom w:val="dotted" w:sz="4" w:space="0" w:color="auto"/>
              <w:right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PO 3: Podpora sociálního začleňování a boj proti chudobě</w:t>
            </w:r>
          </w:p>
        </w:tc>
        <w:tc>
          <w:tcPr>
            <w:tcW w:w="0" w:type="auto"/>
            <w:tcBorders>
              <w:top w:val="dotted" w:sz="4" w:space="0" w:color="auto"/>
              <w:left w:val="single" w:sz="4" w:space="0" w:color="auto"/>
              <w:bottom w:val="dotted" w:sz="4" w:space="0" w:color="auto"/>
              <w:tr2bl w:val="nil"/>
            </w:tcBorders>
            <w:shd w:val="clear" w:color="auto" w:fill="auto"/>
          </w:tcPr>
          <w:p w:rsidR="002E523E" w:rsidRPr="008B53A9" w:rsidRDefault="002E523E" w:rsidP="004D52A1">
            <w:pPr>
              <w:pStyle w:val="Tabulka"/>
              <w:jc w:val="left"/>
              <w:rPr>
                <w:rFonts w:cs="Calibri"/>
                <w:lang w:val="cs-CZ" w:eastAsia="cs-CZ"/>
              </w:rPr>
            </w:pPr>
            <w:r w:rsidRPr="008B53A9">
              <w:rPr>
                <w:rFonts w:cs="Calibri"/>
                <w:lang w:val="cs-CZ" w:eastAsia="cs-CZ"/>
              </w:rPr>
              <w:t>PO 2: Zkvalitnění veřejných služeb a podmínek života pro obyvatele regionů</w:t>
            </w:r>
          </w:p>
        </w:tc>
      </w:tr>
      <w:tr w:rsidR="002E523E" w:rsidRPr="008B53A9">
        <w:tc>
          <w:tcPr>
            <w:tcW w:w="0" w:type="auto"/>
            <w:tcBorders>
              <w:top w:val="dotted" w:sz="4" w:space="0" w:color="auto"/>
              <w:tr2bl w:val="nil"/>
            </w:tcBorders>
            <w:shd w:val="clear" w:color="auto" w:fill="DBE5F1"/>
            <w:vAlign w:val="center"/>
          </w:tcPr>
          <w:p w:rsidR="002E523E" w:rsidRPr="008B53A9" w:rsidRDefault="002E523E" w:rsidP="004D52A1">
            <w:pPr>
              <w:pStyle w:val="Tabulka"/>
              <w:jc w:val="left"/>
              <w:rPr>
                <w:rFonts w:cs="Calibri"/>
                <w:b/>
                <w:lang w:val="cs-CZ" w:eastAsia="cs-CZ"/>
              </w:rPr>
            </w:pPr>
            <w:r w:rsidRPr="008B53A9">
              <w:rPr>
                <w:rFonts w:cs="Calibri"/>
                <w:b/>
                <w:lang w:val="cs-CZ" w:eastAsia="cs-CZ"/>
              </w:rPr>
              <w:t>Specifický cíl</w:t>
            </w:r>
          </w:p>
        </w:tc>
        <w:tc>
          <w:tcPr>
            <w:tcW w:w="0" w:type="auto"/>
            <w:tcBorders>
              <w:top w:val="dotted"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 xml:space="preserve">SC 2.1: </w:t>
            </w:r>
            <w:r w:rsidR="00CE3F25" w:rsidRPr="008B53A9">
              <w:rPr>
                <w:rFonts w:cs="Calibri"/>
                <w:lang w:val="cs-CZ" w:eastAsia="cs-CZ"/>
              </w:rPr>
              <w:t>Zvýšit konkurenceschopnost začínajících a rozvojových MSP</w:t>
            </w:r>
          </w:p>
        </w:tc>
        <w:tc>
          <w:tcPr>
            <w:tcW w:w="0" w:type="auto"/>
            <w:tcBorders>
              <w:top w:val="nil"/>
              <w:bottom w:val="nil"/>
              <w:tr2bl w:val="nil"/>
            </w:tcBorders>
            <w:shd w:val="clear" w:color="auto" w:fill="auto"/>
            <w:vAlign w:val="center"/>
          </w:tcPr>
          <w:p w:rsidR="002E523E" w:rsidRPr="008B53A9" w:rsidRDefault="002E523E" w:rsidP="004D52A1">
            <w:pPr>
              <w:pStyle w:val="Tabulka"/>
              <w:jc w:val="left"/>
              <w:rPr>
                <w:rFonts w:cs="Calibri"/>
                <w:sz w:val="6"/>
                <w:szCs w:val="6"/>
                <w:lang w:val="cs-CZ" w:eastAsia="cs-CZ"/>
              </w:rPr>
            </w:pPr>
          </w:p>
        </w:tc>
        <w:tc>
          <w:tcPr>
            <w:tcW w:w="0" w:type="auto"/>
            <w:tcBorders>
              <w:top w:val="dotted" w:sz="4" w:space="0" w:color="auto"/>
              <w:right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SC 2.1.2: Rozvoj sektoru sociální ekonomiky</w:t>
            </w:r>
          </w:p>
        </w:tc>
        <w:tc>
          <w:tcPr>
            <w:tcW w:w="0" w:type="auto"/>
            <w:tcBorders>
              <w:top w:val="dotted" w:sz="4" w:space="0" w:color="auto"/>
              <w:left w:val="single" w:sz="4" w:space="0" w:color="auto"/>
              <w:right w:val="single" w:sz="4" w:space="0" w:color="auto"/>
              <w:tr2bl w:val="nil"/>
            </w:tcBorders>
            <w:shd w:val="clear" w:color="auto" w:fill="auto"/>
            <w:vAlign w:val="center"/>
          </w:tcPr>
          <w:p w:rsidR="002E523E" w:rsidRPr="008B53A9" w:rsidRDefault="002E523E" w:rsidP="004826FD">
            <w:pPr>
              <w:pStyle w:val="Tabulka"/>
              <w:jc w:val="left"/>
              <w:rPr>
                <w:rFonts w:cs="Calibri"/>
                <w:lang w:val="cs-CZ" w:eastAsia="cs-CZ"/>
              </w:rPr>
            </w:pPr>
            <w:r w:rsidRPr="008B53A9">
              <w:rPr>
                <w:rFonts w:cs="Calibri"/>
                <w:lang w:val="cs-CZ" w:eastAsia="cs-CZ"/>
              </w:rPr>
              <w:t>SC 3.2: Posílení infrastruktury pro sociální podnikání</w:t>
            </w:r>
          </w:p>
          <w:p w:rsidR="002E523E" w:rsidRPr="008B53A9" w:rsidRDefault="002E523E" w:rsidP="004826FD">
            <w:pPr>
              <w:pStyle w:val="Tabulka"/>
              <w:jc w:val="left"/>
              <w:rPr>
                <w:rFonts w:cs="Calibri"/>
                <w:lang w:val="cs-CZ" w:eastAsia="cs-CZ"/>
              </w:rPr>
            </w:pPr>
            <w:r w:rsidRPr="008B53A9">
              <w:rPr>
                <w:rFonts w:cs="Calibri"/>
                <w:lang w:val="cs-CZ" w:eastAsia="cs-CZ"/>
              </w:rPr>
              <w:t>SC 3.3: Posílení aktivit pro integraci, komunitní služby a prevenci</w:t>
            </w:r>
          </w:p>
          <w:p w:rsidR="002E523E" w:rsidRPr="008B53A9" w:rsidRDefault="002E523E" w:rsidP="004826FD">
            <w:pPr>
              <w:pStyle w:val="Tabulka"/>
              <w:jc w:val="left"/>
              <w:rPr>
                <w:rFonts w:cs="Calibri"/>
                <w:lang w:val="cs-CZ" w:eastAsia="cs-CZ"/>
              </w:rPr>
            </w:pPr>
            <w:r w:rsidRPr="008B53A9">
              <w:rPr>
                <w:rFonts w:cs="Calibri"/>
                <w:lang w:val="cs-CZ" w:eastAsia="cs-CZ"/>
              </w:rPr>
              <w:t>SC3.4.: Rozvoj sociálních podniků místních komunit</w:t>
            </w:r>
          </w:p>
        </w:tc>
        <w:tc>
          <w:tcPr>
            <w:tcW w:w="0" w:type="auto"/>
            <w:tcBorders>
              <w:top w:val="dotted" w:sz="4" w:space="0" w:color="auto"/>
              <w:left w:val="single" w:sz="4" w:space="0" w:color="auto"/>
              <w:bottom w:val="single" w:sz="4" w:space="0" w:color="auto"/>
              <w:tr2bl w:val="nil"/>
            </w:tcBorders>
            <w:shd w:val="clear" w:color="auto" w:fill="auto"/>
          </w:tcPr>
          <w:p w:rsidR="002E523E" w:rsidRPr="008B53A9" w:rsidRDefault="002E523E" w:rsidP="004D52A1">
            <w:pPr>
              <w:pStyle w:val="Tabulka"/>
              <w:jc w:val="left"/>
              <w:rPr>
                <w:rFonts w:cs="Calibri"/>
                <w:lang w:val="cs-CZ" w:eastAsia="cs-CZ"/>
              </w:rPr>
            </w:pPr>
            <w:r w:rsidRPr="008B53A9">
              <w:rPr>
                <w:rFonts w:cs="Calibri"/>
                <w:lang w:val="cs-CZ" w:eastAsia="cs-CZ"/>
              </w:rPr>
              <w:t>SC 2.2: Vznik nových a rozvoj existujících podnikatelských aktivit v oblasti sociálního podnikání</w:t>
            </w:r>
          </w:p>
        </w:tc>
      </w:tr>
      <w:tr w:rsidR="002E523E" w:rsidRPr="008B53A9">
        <w:tc>
          <w:tcPr>
            <w:tcW w:w="0" w:type="auto"/>
            <w:tcBorders>
              <w:tr2bl w:val="nil"/>
            </w:tcBorders>
            <w:shd w:val="clear" w:color="auto" w:fill="DBE5F1"/>
            <w:vAlign w:val="center"/>
          </w:tcPr>
          <w:p w:rsidR="002E523E" w:rsidRPr="008B53A9" w:rsidRDefault="002E523E" w:rsidP="004D52A1">
            <w:pPr>
              <w:pStyle w:val="Tabulka"/>
              <w:jc w:val="left"/>
              <w:rPr>
                <w:rFonts w:cs="Calibri"/>
                <w:b/>
                <w:lang w:val="cs-CZ" w:eastAsia="cs-CZ"/>
              </w:rPr>
            </w:pPr>
            <w:r w:rsidRPr="008B53A9">
              <w:rPr>
                <w:rFonts w:cs="Calibri"/>
                <w:b/>
                <w:lang w:val="cs-CZ" w:eastAsia="cs-CZ"/>
              </w:rPr>
              <w:t>Věcná specifikace (zaměření, aktivity)</w:t>
            </w:r>
          </w:p>
        </w:tc>
        <w:tc>
          <w:tcPr>
            <w:tcW w:w="0" w:type="auto"/>
            <w:tcBorders>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posílení sociálního rozměru podnikání</w:t>
            </w:r>
          </w:p>
        </w:tc>
        <w:tc>
          <w:tcPr>
            <w:tcW w:w="0" w:type="auto"/>
            <w:tcBorders>
              <w:top w:val="nil"/>
              <w:bottom w:val="nil"/>
              <w:tr2bl w:val="nil"/>
            </w:tcBorders>
            <w:shd w:val="clear" w:color="auto" w:fill="auto"/>
            <w:vAlign w:val="center"/>
          </w:tcPr>
          <w:p w:rsidR="002E523E" w:rsidRPr="008B53A9" w:rsidRDefault="002E523E" w:rsidP="004D52A1">
            <w:pPr>
              <w:pStyle w:val="Tabulka"/>
              <w:jc w:val="left"/>
              <w:rPr>
                <w:rFonts w:cs="Calibri"/>
                <w:sz w:val="6"/>
                <w:szCs w:val="6"/>
                <w:lang w:val="cs-CZ" w:eastAsia="cs-CZ"/>
              </w:rPr>
            </w:pPr>
          </w:p>
        </w:tc>
        <w:tc>
          <w:tcPr>
            <w:tcW w:w="0" w:type="auto"/>
            <w:tcBorders>
              <w:right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sociální podnikání ve vazbě na trh práce a sociální začleňování</w:t>
            </w:r>
          </w:p>
        </w:tc>
        <w:tc>
          <w:tcPr>
            <w:tcW w:w="0" w:type="auto"/>
            <w:tcBorders>
              <w:left w:val="single" w:sz="4" w:space="0" w:color="auto"/>
              <w:right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sociální podnikání ve vazbě na sociální začleňování</w:t>
            </w:r>
          </w:p>
        </w:tc>
        <w:tc>
          <w:tcPr>
            <w:tcW w:w="0" w:type="auto"/>
            <w:tcBorders>
              <w:top w:val="single" w:sz="4" w:space="0" w:color="auto"/>
              <w:left w:val="single" w:sz="4" w:space="0" w:color="auto"/>
              <w:bottom w:val="single" w:sz="4" w:space="0" w:color="auto"/>
              <w:tr2bl w:val="nil"/>
            </w:tcBorders>
            <w:shd w:val="clear" w:color="auto" w:fill="auto"/>
          </w:tcPr>
          <w:p w:rsidR="002E523E" w:rsidRPr="008B53A9" w:rsidRDefault="002E523E" w:rsidP="004D52A1">
            <w:pPr>
              <w:pStyle w:val="Tabulka"/>
              <w:jc w:val="left"/>
              <w:rPr>
                <w:rFonts w:cs="Calibri"/>
                <w:lang w:val="cs-CZ" w:eastAsia="cs-CZ"/>
              </w:rPr>
            </w:pPr>
            <w:r w:rsidRPr="008B53A9">
              <w:rPr>
                <w:rFonts w:cs="Calibri"/>
                <w:lang w:val="cs-CZ" w:eastAsia="cs-CZ"/>
              </w:rPr>
              <w:t>výstavba, rekonstrukce, rozšíření a vybavení sociálních podniků</w:t>
            </w:r>
          </w:p>
        </w:tc>
      </w:tr>
      <w:tr w:rsidR="002E523E" w:rsidRPr="008B53A9">
        <w:tc>
          <w:tcPr>
            <w:tcW w:w="0" w:type="auto"/>
            <w:tcBorders>
              <w:tr2bl w:val="nil"/>
            </w:tcBorders>
            <w:shd w:val="clear" w:color="auto" w:fill="DBE5F1"/>
            <w:vAlign w:val="center"/>
          </w:tcPr>
          <w:p w:rsidR="002E523E" w:rsidRPr="008B53A9" w:rsidRDefault="002E523E" w:rsidP="004D52A1">
            <w:pPr>
              <w:pStyle w:val="Tabulka"/>
              <w:jc w:val="left"/>
              <w:rPr>
                <w:rFonts w:cs="Calibri"/>
                <w:b/>
                <w:lang w:val="cs-CZ" w:eastAsia="cs-CZ"/>
              </w:rPr>
            </w:pPr>
            <w:r w:rsidRPr="008B53A9">
              <w:rPr>
                <w:rFonts w:cs="Calibri"/>
                <w:b/>
                <w:lang w:val="cs-CZ" w:eastAsia="cs-CZ"/>
              </w:rPr>
              <w:t>Implementační prvky</w:t>
            </w:r>
          </w:p>
        </w:tc>
        <w:tc>
          <w:tcPr>
            <w:tcW w:w="0" w:type="auto"/>
            <w:tcBorders>
              <w:bottom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 xml:space="preserve">Typy příjemců: </w:t>
            </w:r>
            <w:r w:rsidRPr="008B53A9">
              <w:rPr>
                <w:rFonts w:cs="Calibri"/>
                <w:lang w:val="cs-CZ" w:eastAsia="cs-CZ"/>
              </w:rPr>
              <w:lastRenderedPageBreak/>
              <w:t>podnikatelské subjekty (malé a střední podniky)</w:t>
            </w:r>
          </w:p>
          <w:p w:rsidR="002E523E" w:rsidRPr="008B53A9" w:rsidRDefault="002E523E" w:rsidP="004D52A1">
            <w:pPr>
              <w:pStyle w:val="Tabulka"/>
              <w:jc w:val="left"/>
              <w:rPr>
                <w:rFonts w:cs="Calibri"/>
                <w:lang w:val="cs-CZ" w:eastAsia="cs-CZ"/>
              </w:rPr>
            </w:pPr>
            <w:r w:rsidRPr="008B53A9">
              <w:rPr>
                <w:rFonts w:cs="Calibri"/>
                <w:lang w:val="cs-CZ" w:eastAsia="cs-CZ"/>
              </w:rPr>
              <w:t>Cílové území: Území České republiky, mimo území hl. města Prahy</w:t>
            </w:r>
          </w:p>
        </w:tc>
        <w:tc>
          <w:tcPr>
            <w:tcW w:w="0" w:type="auto"/>
            <w:tcBorders>
              <w:top w:val="nil"/>
              <w:bottom w:val="nil"/>
              <w:tr2bl w:val="nil"/>
            </w:tcBorders>
            <w:shd w:val="clear" w:color="auto" w:fill="auto"/>
            <w:vAlign w:val="center"/>
          </w:tcPr>
          <w:p w:rsidR="002E523E" w:rsidRPr="008B53A9" w:rsidRDefault="002E523E" w:rsidP="004D52A1">
            <w:pPr>
              <w:pStyle w:val="Tabulka"/>
              <w:jc w:val="left"/>
              <w:rPr>
                <w:rFonts w:cs="Calibri"/>
                <w:sz w:val="6"/>
                <w:szCs w:val="6"/>
                <w:lang w:val="cs-CZ" w:eastAsia="cs-CZ"/>
              </w:rPr>
            </w:pPr>
          </w:p>
        </w:tc>
        <w:tc>
          <w:tcPr>
            <w:tcW w:w="0" w:type="auto"/>
            <w:tcBorders>
              <w:right w:val="single" w:sz="4" w:space="0" w:color="auto"/>
              <w:tr2bl w:val="nil"/>
            </w:tcBorders>
            <w:shd w:val="clear" w:color="auto" w:fill="auto"/>
            <w:vAlign w:val="center"/>
          </w:tcPr>
          <w:p w:rsidR="002E523E" w:rsidRPr="008B53A9" w:rsidRDefault="002E523E" w:rsidP="004826FD">
            <w:pPr>
              <w:pStyle w:val="Tabulka"/>
              <w:jc w:val="left"/>
              <w:rPr>
                <w:rFonts w:cs="Calibri"/>
                <w:lang w:val="cs-CZ" w:eastAsia="cs-CZ"/>
              </w:rPr>
            </w:pPr>
            <w:r w:rsidRPr="008B53A9">
              <w:rPr>
                <w:rFonts w:cs="Calibri"/>
                <w:lang w:val="cs-CZ" w:eastAsia="cs-CZ"/>
              </w:rPr>
              <w:t xml:space="preserve">Typy příjemců: poskytovatelé </w:t>
            </w:r>
            <w:r w:rsidRPr="008B53A9">
              <w:rPr>
                <w:rFonts w:cs="Calibri"/>
                <w:lang w:val="cs-CZ" w:eastAsia="cs-CZ"/>
              </w:rPr>
              <w:lastRenderedPageBreak/>
              <w:t>služeb, kraje, obce a jimi zřizované organizace, svazky obcí, OSS, NNO, zaměstnavatelé, školy a školská zařízení, výzkumné a vzdělávací instituce atd.</w:t>
            </w:r>
          </w:p>
          <w:p w:rsidR="002E523E" w:rsidRPr="008B53A9" w:rsidRDefault="002E523E" w:rsidP="004826FD">
            <w:pPr>
              <w:pStyle w:val="Tabulka"/>
              <w:jc w:val="left"/>
              <w:rPr>
                <w:rFonts w:cs="Calibri"/>
                <w:lang w:val="cs-CZ" w:eastAsia="cs-CZ"/>
              </w:rPr>
            </w:pPr>
            <w:r w:rsidRPr="008B53A9">
              <w:rPr>
                <w:rFonts w:cs="Calibri"/>
                <w:lang w:val="cs-CZ" w:eastAsia="cs-CZ"/>
              </w:rPr>
              <w:t>Cílové území: některé aktivity plánovány na celou ČR, jiné především na sociálně vyloučené lokality</w:t>
            </w:r>
          </w:p>
        </w:tc>
        <w:tc>
          <w:tcPr>
            <w:tcW w:w="0" w:type="auto"/>
            <w:tcBorders>
              <w:left w:val="single" w:sz="4" w:space="0" w:color="auto"/>
              <w:right w:val="single" w:sz="4" w:space="0" w:color="auto"/>
              <w:tr2bl w:val="nil"/>
            </w:tcBorders>
            <w:shd w:val="clear" w:color="auto" w:fill="auto"/>
            <w:vAlign w:val="center"/>
          </w:tcPr>
          <w:p w:rsidR="002E523E" w:rsidRPr="008B53A9" w:rsidRDefault="002E523E" w:rsidP="004826FD">
            <w:pPr>
              <w:pStyle w:val="Tabulka"/>
              <w:jc w:val="left"/>
              <w:rPr>
                <w:rFonts w:cs="Calibri"/>
                <w:lang w:val="cs-CZ" w:eastAsia="cs-CZ"/>
              </w:rPr>
            </w:pPr>
            <w:r w:rsidRPr="008B53A9">
              <w:rPr>
                <w:rFonts w:cs="Calibri"/>
                <w:lang w:val="cs-CZ" w:eastAsia="cs-CZ"/>
              </w:rPr>
              <w:lastRenderedPageBreak/>
              <w:t xml:space="preserve">Typy příjemců: Hlavní </w:t>
            </w:r>
            <w:r w:rsidRPr="008B53A9">
              <w:rPr>
                <w:rFonts w:cs="Calibri"/>
                <w:lang w:val="cs-CZ" w:eastAsia="cs-CZ"/>
              </w:rPr>
              <w:lastRenderedPageBreak/>
              <w:t xml:space="preserve">město Praha, Městské části hl. m. Prahy, Organizace zřízené a založené hl. m. Prahou a městskými částmi hl. m. Prahy, NNO, </w:t>
            </w:r>
          </w:p>
          <w:p w:rsidR="002E523E" w:rsidRPr="008B53A9" w:rsidRDefault="002E523E" w:rsidP="004826FD">
            <w:pPr>
              <w:pStyle w:val="Tabulka"/>
              <w:jc w:val="left"/>
              <w:rPr>
                <w:rFonts w:cs="Calibri"/>
                <w:lang w:val="cs-CZ" w:eastAsia="cs-CZ"/>
              </w:rPr>
            </w:pPr>
            <w:r w:rsidRPr="008B53A9">
              <w:rPr>
                <w:rFonts w:cs="Calibri"/>
                <w:lang w:val="cs-CZ" w:eastAsia="cs-CZ"/>
              </w:rPr>
              <w:t>Cílové území: Region soudržnosti NUTS 2 Praha</w:t>
            </w:r>
          </w:p>
        </w:tc>
        <w:tc>
          <w:tcPr>
            <w:tcW w:w="0" w:type="auto"/>
            <w:tcBorders>
              <w:top w:val="single" w:sz="4" w:space="0" w:color="auto"/>
              <w:left w:val="single" w:sz="4" w:space="0" w:color="auto"/>
              <w:bottom w:val="single" w:sz="4" w:space="0" w:color="auto"/>
              <w:tr2bl w:val="nil"/>
            </w:tcBorders>
            <w:shd w:val="clear" w:color="auto" w:fill="auto"/>
          </w:tcPr>
          <w:p w:rsidR="002E523E" w:rsidRPr="008B53A9" w:rsidRDefault="002E523E" w:rsidP="004826FD">
            <w:pPr>
              <w:pStyle w:val="Tabulka"/>
              <w:jc w:val="left"/>
              <w:rPr>
                <w:rFonts w:cs="Calibri"/>
                <w:lang w:val="cs-CZ" w:eastAsia="cs-CZ"/>
              </w:rPr>
            </w:pPr>
            <w:r w:rsidRPr="008B53A9">
              <w:rPr>
                <w:rFonts w:cs="Calibri"/>
                <w:lang w:val="cs-CZ" w:eastAsia="cs-CZ"/>
              </w:rPr>
              <w:lastRenderedPageBreak/>
              <w:t xml:space="preserve">Typy příjemců: Osoby </w:t>
            </w:r>
            <w:r w:rsidRPr="008B53A9">
              <w:rPr>
                <w:rFonts w:cs="Calibri"/>
                <w:lang w:val="cs-CZ" w:eastAsia="cs-CZ"/>
              </w:rPr>
              <w:lastRenderedPageBreak/>
              <w:t>samostatně výdělečné činné; Malé a střední podniky; Obce; Organizace zřizované nebo zakládané obcemi; Dobrovolné svazky obcí; Nestátní neziskové organizace</w:t>
            </w:r>
          </w:p>
          <w:p w:rsidR="002E523E" w:rsidRPr="008B53A9" w:rsidRDefault="002E523E" w:rsidP="004826FD">
            <w:pPr>
              <w:pStyle w:val="Tabulka"/>
              <w:jc w:val="left"/>
              <w:rPr>
                <w:rFonts w:cs="Calibri"/>
                <w:lang w:val="cs-CZ" w:eastAsia="cs-CZ"/>
              </w:rPr>
            </w:pPr>
            <w:r w:rsidRPr="008B53A9">
              <w:rPr>
                <w:rFonts w:cs="Calibri"/>
                <w:lang w:val="cs-CZ" w:eastAsia="cs-CZ"/>
              </w:rPr>
              <w:t>Cílové území: Území všech krajů České republiky (NUTS 3) s výjimkou území hl. m. Prahy</w:t>
            </w:r>
          </w:p>
        </w:tc>
      </w:tr>
      <w:tr w:rsidR="002E523E" w:rsidRPr="008B53A9">
        <w:tc>
          <w:tcPr>
            <w:tcW w:w="0" w:type="auto"/>
            <w:tcBorders>
              <w:tr2bl w:val="nil"/>
            </w:tcBorders>
            <w:shd w:val="clear" w:color="auto" w:fill="DBE5F1"/>
            <w:vAlign w:val="center"/>
          </w:tcPr>
          <w:p w:rsidR="002E523E" w:rsidRPr="008B53A9" w:rsidRDefault="002E523E" w:rsidP="004D52A1">
            <w:pPr>
              <w:pStyle w:val="Tabulka"/>
              <w:jc w:val="left"/>
              <w:rPr>
                <w:rFonts w:cs="Calibri"/>
                <w:b/>
                <w:lang w:val="cs-CZ" w:eastAsia="cs-CZ"/>
              </w:rPr>
            </w:pPr>
            <w:r w:rsidRPr="008B53A9">
              <w:rPr>
                <w:rFonts w:cs="Calibri"/>
                <w:b/>
                <w:lang w:val="cs-CZ" w:eastAsia="cs-CZ"/>
              </w:rPr>
              <w:lastRenderedPageBreak/>
              <w:t>Synergie/komplementarita</w:t>
            </w:r>
          </w:p>
        </w:tc>
        <w:tc>
          <w:tcPr>
            <w:tcW w:w="0" w:type="auto"/>
            <w:tcBorders>
              <w:bottom w:val="single" w:sz="4" w:space="0" w:color="auto"/>
              <w:tr2bl w:val="single" w:sz="4" w:space="0" w:color="auto"/>
            </w:tcBorders>
            <w:shd w:val="clear" w:color="auto" w:fill="auto"/>
            <w:vAlign w:val="center"/>
          </w:tcPr>
          <w:p w:rsidR="002E523E" w:rsidRPr="008B53A9" w:rsidRDefault="002E523E" w:rsidP="004D52A1">
            <w:pPr>
              <w:pStyle w:val="Tabulka"/>
              <w:jc w:val="left"/>
              <w:rPr>
                <w:rFonts w:cs="Calibri"/>
                <w:lang w:val="cs-CZ" w:eastAsia="cs-CZ"/>
              </w:rPr>
            </w:pPr>
          </w:p>
        </w:tc>
        <w:tc>
          <w:tcPr>
            <w:tcW w:w="0" w:type="auto"/>
            <w:tcBorders>
              <w:top w:val="nil"/>
              <w:bottom w:val="single" w:sz="4" w:space="0" w:color="auto"/>
              <w:tr2bl w:val="nil"/>
            </w:tcBorders>
            <w:shd w:val="clear" w:color="auto" w:fill="auto"/>
            <w:vAlign w:val="center"/>
          </w:tcPr>
          <w:p w:rsidR="002E523E" w:rsidRPr="008B53A9" w:rsidRDefault="002E523E" w:rsidP="004D52A1">
            <w:pPr>
              <w:pStyle w:val="Tabulka"/>
              <w:jc w:val="left"/>
              <w:rPr>
                <w:rFonts w:cs="Calibri"/>
                <w:sz w:val="6"/>
                <w:szCs w:val="6"/>
                <w:lang w:val="cs-CZ" w:eastAsia="cs-CZ"/>
              </w:rPr>
            </w:pPr>
          </w:p>
        </w:tc>
        <w:tc>
          <w:tcPr>
            <w:tcW w:w="0" w:type="auto"/>
            <w:tcBorders>
              <w:bottom w:val="single" w:sz="4" w:space="0" w:color="auto"/>
              <w:right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komplementarita</w:t>
            </w:r>
          </w:p>
        </w:tc>
        <w:tc>
          <w:tcPr>
            <w:tcW w:w="0" w:type="auto"/>
            <w:tcBorders>
              <w:left w:val="single" w:sz="4" w:space="0" w:color="auto"/>
              <w:bottom w:val="single" w:sz="4" w:space="0" w:color="auto"/>
              <w:right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komplementarita</w:t>
            </w:r>
          </w:p>
        </w:tc>
        <w:tc>
          <w:tcPr>
            <w:tcW w:w="0" w:type="auto"/>
            <w:tcBorders>
              <w:top w:val="single" w:sz="4" w:space="0" w:color="auto"/>
              <w:left w:val="single" w:sz="4" w:space="0" w:color="auto"/>
              <w:bottom w:val="single" w:sz="4" w:space="0" w:color="auto"/>
              <w:tr2bl w:val="nil"/>
            </w:tcBorders>
            <w:shd w:val="clear" w:color="auto" w:fill="auto"/>
          </w:tcPr>
          <w:p w:rsidR="002E523E" w:rsidRPr="008B53A9" w:rsidRDefault="002E523E" w:rsidP="004D52A1">
            <w:pPr>
              <w:pStyle w:val="Tabulka"/>
              <w:jc w:val="left"/>
              <w:rPr>
                <w:rFonts w:cs="Calibri"/>
                <w:lang w:val="cs-CZ" w:eastAsia="cs-CZ"/>
              </w:rPr>
            </w:pPr>
            <w:r w:rsidRPr="008B53A9">
              <w:rPr>
                <w:rFonts w:cs="Calibri"/>
                <w:lang w:val="cs-CZ" w:eastAsia="cs-CZ"/>
              </w:rPr>
              <w:t>komplementarita</w:t>
            </w:r>
          </w:p>
        </w:tc>
      </w:tr>
      <w:tr w:rsidR="002E523E" w:rsidRPr="008B53A9">
        <w:tc>
          <w:tcPr>
            <w:tcW w:w="0" w:type="auto"/>
            <w:tcBorders>
              <w:tr2bl w:val="nil"/>
            </w:tcBorders>
            <w:shd w:val="clear" w:color="auto" w:fill="DBE5F1"/>
            <w:vAlign w:val="center"/>
          </w:tcPr>
          <w:p w:rsidR="002E523E" w:rsidRPr="008B53A9" w:rsidRDefault="002E523E" w:rsidP="004D52A1">
            <w:pPr>
              <w:pStyle w:val="Tabulka"/>
              <w:jc w:val="left"/>
              <w:rPr>
                <w:rFonts w:cs="Calibri"/>
                <w:b/>
                <w:lang w:val="cs-CZ" w:eastAsia="cs-CZ"/>
              </w:rPr>
            </w:pPr>
            <w:r w:rsidRPr="008B53A9">
              <w:rPr>
                <w:rFonts w:cs="Calibri"/>
                <w:b/>
                <w:lang w:val="cs-CZ" w:eastAsia="cs-CZ"/>
              </w:rPr>
              <w:t>Mechanismus koordinace</w:t>
            </w:r>
          </w:p>
        </w:tc>
        <w:tc>
          <w:tcPr>
            <w:tcW w:w="0" w:type="auto"/>
            <w:gridSpan w:val="5"/>
            <w:tcBorders>
              <w:bottom w:val="single" w:sz="4" w:space="0" w:color="auto"/>
              <w:tr2bl w:val="nil"/>
            </w:tcBorders>
            <w:shd w:val="clear" w:color="auto" w:fill="auto"/>
            <w:vAlign w:val="center"/>
          </w:tcPr>
          <w:p w:rsidR="002E523E" w:rsidRPr="008B53A9" w:rsidRDefault="002E523E" w:rsidP="004D52A1">
            <w:pPr>
              <w:pStyle w:val="Tabulka"/>
              <w:jc w:val="left"/>
              <w:rPr>
                <w:rFonts w:cs="Calibri"/>
                <w:lang w:val="cs-CZ" w:eastAsia="cs-CZ"/>
              </w:rPr>
            </w:pPr>
            <w:r w:rsidRPr="008B53A9">
              <w:rPr>
                <w:rFonts w:cs="Calibri"/>
                <w:lang w:val="cs-CZ" w:eastAsia="cs-CZ"/>
              </w:rPr>
              <w:t>Návrh: Vzájemná účast zástupců řídích orgánů v pracovních skupinách a platformách ve fázi přípravy i realizace programu, spolupráce na evaluacích v této oblasti napříč všemi zainteresovanými operačními programy.</w:t>
            </w:r>
          </w:p>
        </w:tc>
      </w:tr>
    </w:tbl>
    <w:p w:rsidR="009C597F" w:rsidRPr="008B53A9" w:rsidRDefault="009C597F" w:rsidP="00D51A7B">
      <w:pPr>
        <w:pStyle w:val="Standardntext"/>
      </w:pPr>
    </w:p>
    <w:p w:rsidR="00F004B3" w:rsidRPr="008B53A9" w:rsidRDefault="00F004B3" w:rsidP="005D178C">
      <w:pPr>
        <w:pStyle w:val="Standardntext"/>
        <w:numPr>
          <w:ilvl w:val="0"/>
          <w:numId w:val="95"/>
        </w:numPr>
        <w:rPr>
          <w:b/>
        </w:rPr>
      </w:pPr>
      <w:r w:rsidRPr="008B53A9">
        <w:rPr>
          <w:b/>
        </w:rPr>
        <w:t>Odborné vzdělávání</w:t>
      </w:r>
    </w:p>
    <w:p w:rsidR="00F004B3" w:rsidRPr="008B53A9" w:rsidRDefault="00F004B3" w:rsidP="00F004B3">
      <w:pPr>
        <w:pStyle w:val="Standardntext"/>
      </w:pPr>
      <w:r w:rsidRPr="008B53A9">
        <w:t xml:space="preserve">Zatímco odborné vzdělávání jako takové je předmětem podpory v rámci </w:t>
      </w:r>
      <w:r w:rsidRPr="008B53A9">
        <w:rPr>
          <w:b/>
        </w:rPr>
        <w:t>OP Z</w:t>
      </w:r>
      <w:r w:rsidRPr="008B53A9">
        <w:t xml:space="preserve">, OP PIK se orientuje na infrastrukturu pro odborné vzdělávání zaměstnanců (zaměstnavatelů) malých a středních podniků (jde o podporu tvrdých investic z ERDF). MPSV bude podporovat další vzdělávání dospělých stojících mimo počáteční vzdělávání v prioritní ose 1 OP Z (podpora měkkých investic z ESF). Vazba OP PIK směrem k OP Z je hlubší a má své kořeny již v programovém období 2007-2013, kdy MPO bylo příjemcem globálního grantu EDUCA zaměřeného na specifické vzdělávání, který spadal pod Operační program Lidské zdroje a zaměstnanost. Na tuto spolupráci řídící orgány OP PIK a OP Z navazují </w:t>
      </w:r>
      <w:r w:rsidRPr="008B53A9">
        <w:rPr>
          <w:i/>
        </w:rPr>
        <w:t>Memorandem o spolupráci při přípravě a budoucí realizaci OP Z </w:t>
      </w:r>
      <w:r w:rsidRPr="008B53A9">
        <w:t>uzavřeným na úrovni příslušných ministrů. V něm se oba řídící orgány dohodly, že MPO bude „věcným garantem“ za oblast odborného vzdělávání v průmyslových odvětvích ve vazbě na podporu podnikání v rámci prioritní osy 1 OP Z. Na základě Memoranda dojde po schválení obou operačních programů k uzavření Dohody o spolupráci, která bude obsahovat, kromě základní role věcného garanta při realizaci OP Z, i ustanovení o zapojení MPO do případných budoucích revizí obou operačních programů. Pro případ, kdy bude MPO současně i příjemcem individuálních projektů, bude Dohoda obsahovat také indikativní vyčíslení předpokládané alokace na výzvy na tyto individuální projekty.</w:t>
      </w:r>
    </w:p>
    <w:p w:rsidR="00F004B3" w:rsidRPr="008B53A9" w:rsidRDefault="00F004B3" w:rsidP="00F004B3">
      <w:pPr>
        <w:pStyle w:val="Standardntext"/>
      </w:pPr>
      <w:r w:rsidRPr="008B53A9">
        <w:lastRenderedPageBreak/>
        <w:t xml:space="preserve">V oblasti vzdělávání intervenuje dále také </w:t>
      </w:r>
      <w:r w:rsidRPr="008B53A9">
        <w:rPr>
          <w:b/>
        </w:rPr>
        <w:t>OP VVV</w:t>
      </w:r>
      <w:r w:rsidRPr="008B53A9">
        <w:t>, v rámci něhož bude v prioritní ose 3 podporováno odborné vzdělávání studentů a učitelů technických oborů. Na rozdíl od OP PIK jde tedy o podporu měkkých investic z ESF, OP VVV necílí na zaměstnance podniků. Vzhledem k tomu, že intervence obou operačních programů se soustředí na jiné cílové skupiny a na jiný předmět podpory, se bližší koordinace nepředpokládá.</w:t>
      </w:r>
    </w:p>
    <w:p w:rsidR="00F004B3" w:rsidRPr="008B53A9" w:rsidRDefault="00F004B3" w:rsidP="00F004B3">
      <w:pPr>
        <w:pStyle w:val="Standardntext"/>
      </w:pPr>
      <w:r w:rsidRPr="008B53A9">
        <w:t xml:space="preserve">Pro úplnost, v rámci </w:t>
      </w:r>
      <w:r w:rsidRPr="008B53A9">
        <w:rPr>
          <w:b/>
        </w:rPr>
        <w:t>IROP</w:t>
      </w:r>
      <w:r w:rsidRPr="008B53A9">
        <w:t xml:space="preserve"> je plánovaná realizace aktivit zaměřených na zvýšení kvality a dostupnosti infrastruktury pro vzdělávání, která se však – na rozdíl od OP PIK – orientuje výhradně na příjemce z neziskového sektoru (kraje, obce, církve a náboženské společnosti, orgány státní správy nebo zájmová sdružení). Bližší koordinace se proto nepředpokládá.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4535"/>
        <w:gridCol w:w="236"/>
        <w:gridCol w:w="6238"/>
      </w:tblGrid>
      <w:tr w:rsidR="0062540E" w:rsidRPr="008B53A9">
        <w:trPr>
          <w:trHeight w:val="233"/>
        </w:trPr>
        <w:tc>
          <w:tcPr>
            <w:tcW w:w="1167" w:type="pct"/>
            <w:shd w:val="clear" w:color="auto" w:fill="739BCB"/>
            <w:vAlign w:val="center"/>
          </w:tcPr>
          <w:p w:rsidR="0062540E" w:rsidRPr="008B53A9" w:rsidRDefault="0062540E" w:rsidP="0062540E">
            <w:pPr>
              <w:pStyle w:val="Tabulka"/>
              <w:keepNext/>
              <w:keepLines/>
              <w:jc w:val="left"/>
              <w:rPr>
                <w:rFonts w:cs="Calibri"/>
                <w:b/>
                <w:lang w:val="cs-CZ" w:eastAsia="cs-CZ"/>
              </w:rPr>
            </w:pPr>
            <w:r w:rsidRPr="008B53A9">
              <w:rPr>
                <w:rFonts w:cs="Calibri"/>
                <w:b/>
                <w:color w:val="FFFFFF"/>
                <w:lang w:val="cs-CZ" w:eastAsia="cs-CZ"/>
              </w:rPr>
              <w:t>Odborné vzdělávání</w:t>
            </w:r>
          </w:p>
        </w:tc>
        <w:tc>
          <w:tcPr>
            <w:tcW w:w="1579" w:type="pct"/>
            <w:tcBorders>
              <w:bottom w:val="single" w:sz="4" w:space="0" w:color="000000"/>
            </w:tcBorders>
            <w:shd w:val="clear" w:color="auto" w:fill="B8CCE4"/>
            <w:vAlign w:val="center"/>
          </w:tcPr>
          <w:p w:rsidR="0062540E" w:rsidRPr="008B53A9" w:rsidRDefault="0062540E" w:rsidP="0062540E">
            <w:pPr>
              <w:pStyle w:val="Tabulka"/>
              <w:keepNext/>
              <w:keepLines/>
              <w:rPr>
                <w:rFonts w:cs="Calibri"/>
                <w:b/>
                <w:lang w:val="cs-CZ" w:eastAsia="cs-CZ"/>
              </w:rPr>
            </w:pPr>
            <w:r w:rsidRPr="008B53A9">
              <w:rPr>
                <w:rFonts w:cs="Calibri"/>
                <w:b/>
                <w:lang w:val="cs-CZ" w:eastAsia="cs-CZ"/>
              </w:rPr>
              <w:t>OP PIK</w:t>
            </w:r>
          </w:p>
        </w:tc>
        <w:tc>
          <w:tcPr>
            <w:tcW w:w="82" w:type="pct"/>
            <w:tcBorders>
              <w:top w:val="nil"/>
              <w:bottom w:val="nil"/>
            </w:tcBorders>
            <w:shd w:val="clear" w:color="auto" w:fill="auto"/>
            <w:vAlign w:val="center"/>
          </w:tcPr>
          <w:p w:rsidR="0062540E" w:rsidRPr="008B53A9" w:rsidRDefault="0062540E" w:rsidP="0062540E">
            <w:pPr>
              <w:pStyle w:val="Tabulka"/>
              <w:keepNext/>
              <w:keepLines/>
              <w:rPr>
                <w:rFonts w:cs="Calibri"/>
                <w:b/>
                <w:sz w:val="6"/>
                <w:szCs w:val="6"/>
                <w:lang w:val="cs-CZ" w:eastAsia="cs-CZ"/>
              </w:rPr>
            </w:pPr>
          </w:p>
        </w:tc>
        <w:tc>
          <w:tcPr>
            <w:tcW w:w="2172" w:type="pct"/>
            <w:tcBorders>
              <w:bottom w:val="single" w:sz="4" w:space="0" w:color="000000"/>
            </w:tcBorders>
            <w:shd w:val="clear" w:color="auto" w:fill="B8CCE4"/>
            <w:vAlign w:val="center"/>
          </w:tcPr>
          <w:p w:rsidR="0062540E" w:rsidRPr="008B53A9" w:rsidRDefault="0062540E" w:rsidP="0062540E">
            <w:pPr>
              <w:pStyle w:val="Tabulka"/>
              <w:keepNext/>
              <w:keepLines/>
              <w:rPr>
                <w:rFonts w:cs="Calibri"/>
                <w:b/>
                <w:lang w:val="cs-CZ" w:eastAsia="cs-CZ"/>
              </w:rPr>
            </w:pPr>
            <w:r w:rsidRPr="008B53A9">
              <w:rPr>
                <w:rFonts w:cs="Calibri"/>
                <w:b/>
                <w:lang w:val="cs-CZ" w:eastAsia="cs-CZ"/>
              </w:rPr>
              <w:t>OP Z</w:t>
            </w:r>
          </w:p>
        </w:tc>
      </w:tr>
      <w:tr w:rsidR="000305FB" w:rsidRPr="008B53A9">
        <w:trPr>
          <w:trHeight w:val="809"/>
        </w:trPr>
        <w:tc>
          <w:tcPr>
            <w:tcW w:w="1167" w:type="pct"/>
            <w:tcBorders>
              <w:bottom w:val="dotted" w:sz="4" w:space="0" w:color="auto"/>
            </w:tcBorders>
            <w:shd w:val="clear" w:color="auto" w:fill="DBE5F1"/>
            <w:vAlign w:val="center"/>
          </w:tcPr>
          <w:p w:rsidR="0062540E" w:rsidRPr="008B53A9" w:rsidRDefault="002E0DC8" w:rsidP="0062540E">
            <w:pPr>
              <w:pStyle w:val="Tabulka"/>
              <w:jc w:val="left"/>
              <w:rPr>
                <w:rFonts w:cs="Calibri"/>
                <w:b/>
                <w:lang w:val="cs-CZ" w:eastAsia="cs-CZ"/>
              </w:rPr>
            </w:pPr>
            <w:r w:rsidRPr="008B53A9">
              <w:rPr>
                <w:rFonts w:cs="Calibri"/>
                <w:b/>
                <w:lang w:val="cs-CZ" w:eastAsia="cs-CZ"/>
              </w:rPr>
              <w:t>Tematický cíl / investiční priorita</w:t>
            </w:r>
          </w:p>
        </w:tc>
        <w:tc>
          <w:tcPr>
            <w:tcW w:w="1579" w:type="pct"/>
            <w:tcBorders>
              <w:bottom w:val="dotted" w:sz="4" w:space="0" w:color="auto"/>
              <w:right w:val="single" w:sz="4" w:space="0" w:color="auto"/>
            </w:tcBorders>
            <w:shd w:val="clear" w:color="auto" w:fill="auto"/>
            <w:vAlign w:val="center"/>
          </w:tcPr>
          <w:p w:rsidR="0062540E" w:rsidRPr="008B53A9" w:rsidRDefault="008022FA" w:rsidP="00C07FE8">
            <w:pPr>
              <w:pStyle w:val="Tabulka"/>
              <w:jc w:val="left"/>
              <w:rPr>
                <w:rFonts w:cs="Calibri"/>
                <w:lang w:val="cs-CZ" w:eastAsia="cs-CZ"/>
              </w:rPr>
            </w:pPr>
            <w:r w:rsidRPr="008B53A9">
              <w:rPr>
                <w:rFonts w:cs="Calibri"/>
                <w:lang w:val="cs-CZ" w:eastAsia="cs-CZ"/>
              </w:rPr>
              <w:t xml:space="preserve">TC </w:t>
            </w:r>
            <w:r w:rsidR="0062540E" w:rsidRPr="008B53A9">
              <w:rPr>
                <w:rFonts w:cs="Calibri"/>
                <w:lang w:val="cs-CZ" w:eastAsia="cs-CZ"/>
              </w:rPr>
              <w:t>3</w:t>
            </w:r>
            <w:r w:rsidR="002E0DC8" w:rsidRPr="008B53A9">
              <w:rPr>
                <w:rFonts w:cs="Calibri"/>
                <w:lang w:val="cs-CZ" w:eastAsia="cs-CZ"/>
              </w:rPr>
              <w:t xml:space="preserve"> / </w:t>
            </w:r>
            <w:r w:rsidR="00C07FE8" w:rsidRPr="008B53A9">
              <w:rPr>
                <w:rFonts w:cs="Calibri"/>
                <w:lang w:val="cs-CZ" w:eastAsia="cs-CZ"/>
              </w:rPr>
              <w:t>3 a)</w:t>
            </w:r>
          </w:p>
        </w:tc>
        <w:tc>
          <w:tcPr>
            <w:tcW w:w="82" w:type="pct"/>
            <w:tcBorders>
              <w:top w:val="nil"/>
              <w:left w:val="single" w:sz="4" w:space="0" w:color="auto"/>
              <w:bottom w:val="nil"/>
              <w:right w:val="single" w:sz="4" w:space="0" w:color="auto"/>
            </w:tcBorders>
            <w:shd w:val="clear" w:color="auto" w:fill="auto"/>
            <w:vAlign w:val="center"/>
          </w:tcPr>
          <w:p w:rsidR="0062540E" w:rsidRPr="008B53A9" w:rsidRDefault="0062540E" w:rsidP="0062540E">
            <w:pPr>
              <w:pStyle w:val="Tabulka"/>
              <w:jc w:val="left"/>
              <w:rPr>
                <w:rFonts w:cs="Calibri"/>
                <w:sz w:val="6"/>
                <w:szCs w:val="6"/>
                <w:lang w:val="cs-CZ" w:eastAsia="cs-CZ"/>
              </w:rPr>
            </w:pPr>
          </w:p>
        </w:tc>
        <w:tc>
          <w:tcPr>
            <w:tcW w:w="2172" w:type="pct"/>
            <w:tcBorders>
              <w:left w:val="single" w:sz="4" w:space="0" w:color="auto"/>
              <w:bottom w:val="dotted" w:sz="4" w:space="0" w:color="auto"/>
            </w:tcBorders>
            <w:shd w:val="clear" w:color="auto" w:fill="auto"/>
            <w:vAlign w:val="center"/>
          </w:tcPr>
          <w:p w:rsidR="0062540E" w:rsidRPr="008B53A9" w:rsidRDefault="008022FA" w:rsidP="00D10CE5">
            <w:pPr>
              <w:pStyle w:val="Tabulka"/>
              <w:jc w:val="left"/>
              <w:rPr>
                <w:rFonts w:cs="Calibri"/>
                <w:lang w:val="cs-CZ" w:eastAsia="cs-CZ"/>
              </w:rPr>
            </w:pPr>
            <w:r w:rsidRPr="008B53A9">
              <w:rPr>
                <w:rFonts w:cs="Calibri"/>
                <w:lang w:val="cs-CZ" w:eastAsia="cs-CZ"/>
              </w:rPr>
              <w:t xml:space="preserve">TC </w:t>
            </w:r>
            <w:r w:rsidR="0062540E" w:rsidRPr="008B53A9">
              <w:rPr>
                <w:rFonts w:cs="Calibri"/>
                <w:lang w:val="cs-CZ" w:eastAsia="cs-CZ"/>
              </w:rPr>
              <w:t>8</w:t>
            </w:r>
            <w:r w:rsidR="002E0DC8" w:rsidRPr="008B53A9">
              <w:rPr>
                <w:rFonts w:cs="Calibri"/>
                <w:lang w:val="cs-CZ" w:eastAsia="cs-CZ"/>
              </w:rPr>
              <w:t xml:space="preserve"> / </w:t>
            </w:r>
            <w:r w:rsidR="00D10CE5" w:rsidRPr="008B53A9">
              <w:rPr>
                <w:rFonts w:cs="Calibri"/>
                <w:lang w:val="cs-CZ" w:eastAsia="cs-CZ"/>
              </w:rPr>
              <w:t>čl. 3 odst. a) písm. v) nařízení o ESF</w:t>
            </w:r>
          </w:p>
        </w:tc>
      </w:tr>
      <w:tr w:rsidR="0062540E" w:rsidRPr="008B53A9">
        <w:trPr>
          <w:trHeight w:val="212"/>
        </w:trPr>
        <w:tc>
          <w:tcPr>
            <w:tcW w:w="1167" w:type="pct"/>
            <w:tcBorders>
              <w:top w:val="dotted" w:sz="4" w:space="0" w:color="auto"/>
              <w:bottom w:val="dotted" w:sz="4" w:space="0" w:color="auto"/>
            </w:tcBorders>
            <w:shd w:val="clear" w:color="auto" w:fill="DBE5F1"/>
            <w:vAlign w:val="center"/>
          </w:tcPr>
          <w:p w:rsidR="0062540E" w:rsidRPr="008B53A9" w:rsidRDefault="0062540E" w:rsidP="0062540E">
            <w:pPr>
              <w:pStyle w:val="Tabulka"/>
              <w:jc w:val="left"/>
              <w:rPr>
                <w:rFonts w:cs="Calibri"/>
                <w:b/>
                <w:lang w:val="cs-CZ" w:eastAsia="cs-CZ"/>
              </w:rPr>
            </w:pPr>
            <w:r w:rsidRPr="008B53A9">
              <w:rPr>
                <w:rFonts w:cs="Calibri"/>
                <w:b/>
                <w:lang w:val="cs-CZ" w:eastAsia="cs-CZ"/>
              </w:rPr>
              <w:t>Prioritní osa</w:t>
            </w:r>
          </w:p>
        </w:tc>
        <w:tc>
          <w:tcPr>
            <w:tcW w:w="1579" w:type="pct"/>
            <w:tcBorders>
              <w:top w:val="dotted" w:sz="4" w:space="0" w:color="auto"/>
              <w:bottom w:val="dotted" w:sz="4" w:space="0" w:color="auto"/>
              <w:right w:val="single" w:sz="4" w:space="0" w:color="auto"/>
            </w:tcBorders>
            <w:shd w:val="clear" w:color="auto" w:fill="auto"/>
            <w:vAlign w:val="center"/>
          </w:tcPr>
          <w:p w:rsidR="0062540E" w:rsidRPr="008B53A9" w:rsidRDefault="0062540E" w:rsidP="0062540E">
            <w:pPr>
              <w:pStyle w:val="Tabulka"/>
              <w:jc w:val="left"/>
              <w:rPr>
                <w:rFonts w:cs="Calibri"/>
                <w:lang w:val="cs-CZ" w:eastAsia="cs-CZ"/>
              </w:rPr>
            </w:pPr>
            <w:r w:rsidRPr="008B53A9">
              <w:rPr>
                <w:rFonts w:cs="Calibri"/>
                <w:lang w:val="cs-CZ" w:eastAsia="cs-CZ"/>
              </w:rPr>
              <w:t xml:space="preserve">PO 2: </w:t>
            </w:r>
            <w:r w:rsidR="005821F5" w:rsidRPr="008B53A9">
              <w:rPr>
                <w:rFonts w:cs="Calibri"/>
                <w:lang w:val="cs-CZ" w:eastAsia="cs-CZ"/>
              </w:rPr>
              <w:t>Rozvoj podnikání a konkurenceschopnosti malých a středních podniků</w:t>
            </w:r>
          </w:p>
        </w:tc>
        <w:tc>
          <w:tcPr>
            <w:tcW w:w="82" w:type="pct"/>
            <w:tcBorders>
              <w:top w:val="nil"/>
              <w:left w:val="single" w:sz="4" w:space="0" w:color="auto"/>
              <w:bottom w:val="nil"/>
              <w:right w:val="single" w:sz="4" w:space="0" w:color="auto"/>
            </w:tcBorders>
            <w:shd w:val="clear" w:color="auto" w:fill="auto"/>
            <w:vAlign w:val="center"/>
          </w:tcPr>
          <w:p w:rsidR="0062540E" w:rsidRPr="008B53A9" w:rsidRDefault="0062540E" w:rsidP="0062540E">
            <w:pPr>
              <w:pStyle w:val="Tabulka"/>
              <w:jc w:val="left"/>
              <w:rPr>
                <w:rFonts w:cs="Calibri"/>
                <w:sz w:val="6"/>
                <w:szCs w:val="6"/>
                <w:lang w:val="cs-CZ" w:eastAsia="cs-CZ"/>
              </w:rPr>
            </w:pPr>
          </w:p>
        </w:tc>
        <w:tc>
          <w:tcPr>
            <w:tcW w:w="2172" w:type="pct"/>
            <w:tcBorders>
              <w:top w:val="dotted" w:sz="4" w:space="0" w:color="auto"/>
              <w:left w:val="single" w:sz="4" w:space="0" w:color="auto"/>
              <w:bottom w:val="dotted" w:sz="4" w:space="0" w:color="auto"/>
            </w:tcBorders>
            <w:shd w:val="clear" w:color="auto" w:fill="auto"/>
            <w:vAlign w:val="center"/>
          </w:tcPr>
          <w:p w:rsidR="0062540E" w:rsidRPr="008B53A9" w:rsidRDefault="0062540E" w:rsidP="0062540E">
            <w:pPr>
              <w:pStyle w:val="Tabulka"/>
              <w:jc w:val="left"/>
              <w:rPr>
                <w:rFonts w:cs="Calibri"/>
                <w:lang w:val="cs-CZ" w:eastAsia="cs-CZ"/>
              </w:rPr>
            </w:pPr>
            <w:r w:rsidRPr="008B53A9">
              <w:rPr>
                <w:rFonts w:cs="Calibri"/>
                <w:lang w:val="cs-CZ" w:eastAsia="cs-CZ"/>
              </w:rPr>
              <w:t>PO 1: Podpora zaměstnanosti a adaptability pracovní síly</w:t>
            </w:r>
          </w:p>
        </w:tc>
      </w:tr>
      <w:tr w:rsidR="0062540E" w:rsidRPr="008B53A9">
        <w:tc>
          <w:tcPr>
            <w:tcW w:w="1167" w:type="pct"/>
            <w:tcBorders>
              <w:top w:val="dotted" w:sz="4" w:space="0" w:color="auto"/>
            </w:tcBorders>
            <w:shd w:val="clear" w:color="auto" w:fill="DBE5F1"/>
            <w:vAlign w:val="center"/>
          </w:tcPr>
          <w:p w:rsidR="0062540E" w:rsidRPr="008B53A9" w:rsidRDefault="0062540E" w:rsidP="0062540E">
            <w:pPr>
              <w:pStyle w:val="Tabulka"/>
              <w:jc w:val="left"/>
              <w:rPr>
                <w:rFonts w:cs="Calibri"/>
                <w:b/>
                <w:lang w:val="cs-CZ" w:eastAsia="cs-CZ"/>
              </w:rPr>
            </w:pPr>
            <w:r w:rsidRPr="008B53A9">
              <w:rPr>
                <w:rFonts w:cs="Calibri"/>
                <w:b/>
                <w:lang w:val="cs-CZ" w:eastAsia="cs-CZ"/>
              </w:rPr>
              <w:t>Specifický cíl</w:t>
            </w:r>
          </w:p>
        </w:tc>
        <w:tc>
          <w:tcPr>
            <w:tcW w:w="1579" w:type="pct"/>
            <w:tcBorders>
              <w:top w:val="dotted" w:sz="4" w:space="0" w:color="auto"/>
            </w:tcBorders>
            <w:shd w:val="clear" w:color="auto" w:fill="auto"/>
            <w:vAlign w:val="center"/>
          </w:tcPr>
          <w:p w:rsidR="0062540E" w:rsidRPr="008B53A9" w:rsidRDefault="0062540E" w:rsidP="0062540E">
            <w:pPr>
              <w:pStyle w:val="Tabulka"/>
              <w:jc w:val="left"/>
              <w:rPr>
                <w:rFonts w:cs="Calibri"/>
                <w:lang w:val="cs-CZ" w:eastAsia="cs-CZ"/>
              </w:rPr>
            </w:pPr>
            <w:r w:rsidRPr="008B53A9">
              <w:rPr>
                <w:rFonts w:cs="Calibri"/>
                <w:lang w:val="cs-CZ" w:eastAsia="cs-CZ"/>
              </w:rPr>
              <w:t xml:space="preserve">SC 2.4: </w:t>
            </w:r>
            <w:r w:rsidR="00AC3ECC" w:rsidRPr="008B53A9">
              <w:rPr>
                <w:rFonts w:cs="Calibri"/>
                <w:lang w:val="cs-CZ" w:eastAsia="cs-CZ"/>
              </w:rPr>
              <w:t>Zvýšit kapacitu pro odborné vzdělávání v MSP</w:t>
            </w:r>
          </w:p>
        </w:tc>
        <w:tc>
          <w:tcPr>
            <w:tcW w:w="82" w:type="pct"/>
            <w:tcBorders>
              <w:top w:val="nil"/>
              <w:bottom w:val="nil"/>
            </w:tcBorders>
            <w:shd w:val="clear" w:color="auto" w:fill="auto"/>
            <w:vAlign w:val="center"/>
          </w:tcPr>
          <w:p w:rsidR="0062540E" w:rsidRPr="008B53A9" w:rsidRDefault="0062540E" w:rsidP="0062540E">
            <w:pPr>
              <w:pStyle w:val="Tabulka"/>
              <w:jc w:val="left"/>
              <w:rPr>
                <w:rFonts w:cs="Calibri"/>
                <w:sz w:val="6"/>
                <w:szCs w:val="6"/>
                <w:lang w:val="cs-CZ" w:eastAsia="cs-CZ"/>
              </w:rPr>
            </w:pPr>
          </w:p>
        </w:tc>
        <w:tc>
          <w:tcPr>
            <w:tcW w:w="2172" w:type="pct"/>
            <w:tcBorders>
              <w:top w:val="dotted" w:sz="4" w:space="0" w:color="auto"/>
            </w:tcBorders>
            <w:shd w:val="clear" w:color="auto" w:fill="auto"/>
            <w:vAlign w:val="center"/>
          </w:tcPr>
          <w:p w:rsidR="0062540E" w:rsidRPr="008B53A9" w:rsidRDefault="0062540E" w:rsidP="0062540E">
            <w:pPr>
              <w:pStyle w:val="Tabulka"/>
              <w:jc w:val="left"/>
              <w:rPr>
                <w:rFonts w:cs="Calibri"/>
                <w:lang w:val="cs-CZ" w:eastAsia="cs-CZ"/>
              </w:rPr>
            </w:pPr>
            <w:r w:rsidRPr="008B53A9">
              <w:rPr>
                <w:rFonts w:cs="Calibri"/>
                <w:lang w:val="cs-CZ" w:eastAsia="cs-CZ"/>
              </w:rPr>
              <w:t>SC 1.3.1: Zvýšit odbornou úroveň znalostí, dovedností a kompetencí pracovníků a soulad kvalifikační úrovně pracovní síly s požadavky trhu práce</w:t>
            </w:r>
          </w:p>
        </w:tc>
      </w:tr>
      <w:tr w:rsidR="0062540E" w:rsidRPr="008B53A9">
        <w:tc>
          <w:tcPr>
            <w:tcW w:w="1167" w:type="pct"/>
            <w:shd w:val="clear" w:color="auto" w:fill="DBE5F1"/>
            <w:vAlign w:val="center"/>
          </w:tcPr>
          <w:p w:rsidR="0062540E" w:rsidRPr="008B53A9" w:rsidRDefault="0062540E" w:rsidP="0062540E">
            <w:pPr>
              <w:pStyle w:val="Tabulka"/>
              <w:jc w:val="left"/>
              <w:rPr>
                <w:rFonts w:cs="Calibri"/>
                <w:b/>
                <w:lang w:val="cs-CZ" w:eastAsia="cs-CZ"/>
              </w:rPr>
            </w:pPr>
            <w:r w:rsidRPr="008B53A9">
              <w:rPr>
                <w:rFonts w:cs="Calibri"/>
                <w:b/>
                <w:lang w:val="cs-CZ" w:eastAsia="cs-CZ"/>
              </w:rPr>
              <w:t>Věcná specifikace (zaměření, aktivity)</w:t>
            </w:r>
          </w:p>
        </w:tc>
        <w:tc>
          <w:tcPr>
            <w:tcW w:w="1579" w:type="pct"/>
            <w:shd w:val="clear" w:color="auto" w:fill="auto"/>
            <w:vAlign w:val="center"/>
          </w:tcPr>
          <w:p w:rsidR="0062540E" w:rsidRPr="008B53A9" w:rsidRDefault="00047773" w:rsidP="0062540E">
            <w:pPr>
              <w:pStyle w:val="Tabulka"/>
              <w:jc w:val="left"/>
              <w:rPr>
                <w:rFonts w:cs="Calibri"/>
                <w:lang w:val="cs-CZ" w:eastAsia="cs-CZ"/>
              </w:rPr>
            </w:pPr>
            <w:r w:rsidRPr="008B53A9">
              <w:rPr>
                <w:rFonts w:cs="Calibri"/>
                <w:lang w:val="cs-CZ" w:eastAsia="cs-CZ"/>
              </w:rPr>
              <w:t>I</w:t>
            </w:r>
            <w:r w:rsidR="0062540E" w:rsidRPr="008B53A9">
              <w:rPr>
                <w:rFonts w:cs="Calibri"/>
                <w:lang w:val="cs-CZ" w:eastAsia="cs-CZ"/>
              </w:rPr>
              <w:t>nfrastruktura pro odborné vzdělávání</w:t>
            </w:r>
          </w:p>
        </w:tc>
        <w:tc>
          <w:tcPr>
            <w:tcW w:w="82" w:type="pct"/>
            <w:tcBorders>
              <w:top w:val="nil"/>
              <w:bottom w:val="nil"/>
            </w:tcBorders>
            <w:shd w:val="clear" w:color="auto" w:fill="auto"/>
            <w:vAlign w:val="center"/>
          </w:tcPr>
          <w:p w:rsidR="0062540E" w:rsidRPr="008B53A9" w:rsidRDefault="0062540E" w:rsidP="0062540E">
            <w:pPr>
              <w:pStyle w:val="Tabulka"/>
              <w:jc w:val="left"/>
              <w:rPr>
                <w:rFonts w:cs="Calibri"/>
                <w:sz w:val="6"/>
                <w:szCs w:val="6"/>
                <w:lang w:val="cs-CZ" w:eastAsia="cs-CZ"/>
              </w:rPr>
            </w:pPr>
          </w:p>
        </w:tc>
        <w:tc>
          <w:tcPr>
            <w:tcW w:w="2172" w:type="pct"/>
            <w:shd w:val="clear" w:color="auto" w:fill="auto"/>
            <w:vAlign w:val="center"/>
          </w:tcPr>
          <w:p w:rsidR="0062540E" w:rsidRPr="008B53A9" w:rsidRDefault="00047773" w:rsidP="0062540E">
            <w:pPr>
              <w:pStyle w:val="Tabulka"/>
              <w:jc w:val="left"/>
              <w:rPr>
                <w:rFonts w:cs="Calibri"/>
                <w:lang w:val="cs-CZ" w:eastAsia="cs-CZ"/>
              </w:rPr>
            </w:pPr>
            <w:r w:rsidRPr="008B53A9">
              <w:rPr>
                <w:rFonts w:cs="Calibri"/>
                <w:lang w:val="cs-CZ" w:eastAsia="cs-CZ"/>
              </w:rPr>
              <w:t>O</w:t>
            </w:r>
            <w:r w:rsidR="0062540E" w:rsidRPr="008B53A9">
              <w:rPr>
                <w:rFonts w:cs="Calibri"/>
                <w:lang w:val="cs-CZ" w:eastAsia="cs-CZ"/>
              </w:rPr>
              <w:t>dborné vzdělávání v průmyslových odvětvích ve vazbě na podporu podnikání</w:t>
            </w:r>
          </w:p>
        </w:tc>
      </w:tr>
      <w:tr w:rsidR="0062540E" w:rsidRPr="008B53A9">
        <w:tc>
          <w:tcPr>
            <w:tcW w:w="1167" w:type="pct"/>
            <w:shd w:val="clear" w:color="auto" w:fill="DBE5F1"/>
            <w:vAlign w:val="center"/>
          </w:tcPr>
          <w:p w:rsidR="0062540E" w:rsidRPr="008B53A9" w:rsidRDefault="0062540E" w:rsidP="0062540E">
            <w:pPr>
              <w:pStyle w:val="Tabulka"/>
              <w:jc w:val="left"/>
              <w:rPr>
                <w:rFonts w:cs="Calibri"/>
                <w:b/>
                <w:lang w:val="cs-CZ" w:eastAsia="cs-CZ"/>
              </w:rPr>
            </w:pPr>
            <w:r w:rsidRPr="008B53A9">
              <w:rPr>
                <w:rFonts w:cs="Calibri"/>
                <w:b/>
                <w:lang w:val="cs-CZ" w:eastAsia="cs-CZ"/>
              </w:rPr>
              <w:t>Implementační prvky</w:t>
            </w:r>
          </w:p>
        </w:tc>
        <w:tc>
          <w:tcPr>
            <w:tcW w:w="1579" w:type="pct"/>
            <w:tcBorders>
              <w:bottom w:val="single" w:sz="4" w:space="0" w:color="auto"/>
            </w:tcBorders>
            <w:shd w:val="clear" w:color="auto" w:fill="auto"/>
            <w:vAlign w:val="center"/>
          </w:tcPr>
          <w:p w:rsidR="0062540E" w:rsidRPr="008B53A9" w:rsidRDefault="0062540E" w:rsidP="0062540E">
            <w:pPr>
              <w:pStyle w:val="Tabulka"/>
              <w:jc w:val="left"/>
              <w:rPr>
                <w:rFonts w:cs="Calibri"/>
                <w:lang w:val="cs-CZ" w:eastAsia="cs-CZ"/>
              </w:rPr>
            </w:pPr>
            <w:r w:rsidRPr="008B53A9">
              <w:rPr>
                <w:rFonts w:cs="Calibri"/>
                <w:lang w:val="cs-CZ" w:eastAsia="cs-CZ"/>
              </w:rPr>
              <w:t>Typy příjemců: Podnikatelské subjekty (malé a střední podniky)</w:t>
            </w:r>
          </w:p>
          <w:p w:rsidR="0062540E" w:rsidRPr="008B53A9" w:rsidRDefault="0062540E" w:rsidP="0062540E">
            <w:pPr>
              <w:pStyle w:val="Tabulka"/>
              <w:jc w:val="left"/>
              <w:rPr>
                <w:rFonts w:cs="Calibri"/>
                <w:lang w:val="cs-CZ" w:eastAsia="cs-CZ"/>
              </w:rPr>
            </w:pPr>
            <w:r w:rsidRPr="008B53A9">
              <w:rPr>
                <w:rFonts w:cs="Calibri"/>
                <w:lang w:val="cs-CZ" w:eastAsia="cs-CZ"/>
              </w:rPr>
              <w:t>Cílové území: Území České republiky, mimo území hl. m. Prahy</w:t>
            </w:r>
          </w:p>
        </w:tc>
        <w:tc>
          <w:tcPr>
            <w:tcW w:w="82" w:type="pct"/>
            <w:tcBorders>
              <w:top w:val="nil"/>
              <w:bottom w:val="nil"/>
            </w:tcBorders>
            <w:shd w:val="clear" w:color="auto" w:fill="auto"/>
            <w:vAlign w:val="center"/>
          </w:tcPr>
          <w:p w:rsidR="0062540E" w:rsidRPr="008B53A9" w:rsidRDefault="0062540E" w:rsidP="0062540E">
            <w:pPr>
              <w:pStyle w:val="Tabulka"/>
              <w:jc w:val="left"/>
              <w:rPr>
                <w:rFonts w:cs="Calibri"/>
                <w:sz w:val="6"/>
                <w:szCs w:val="6"/>
                <w:lang w:val="cs-CZ" w:eastAsia="cs-CZ"/>
              </w:rPr>
            </w:pPr>
          </w:p>
        </w:tc>
        <w:tc>
          <w:tcPr>
            <w:tcW w:w="2172" w:type="pct"/>
            <w:shd w:val="clear" w:color="auto" w:fill="auto"/>
            <w:vAlign w:val="center"/>
          </w:tcPr>
          <w:p w:rsidR="0062540E" w:rsidRPr="008B53A9" w:rsidRDefault="0062540E" w:rsidP="0062540E">
            <w:pPr>
              <w:pStyle w:val="Tabulka"/>
              <w:jc w:val="left"/>
              <w:rPr>
                <w:rFonts w:cs="Calibri"/>
                <w:lang w:val="cs-CZ" w:eastAsia="cs-CZ"/>
              </w:rPr>
            </w:pPr>
            <w:r w:rsidRPr="008B53A9">
              <w:rPr>
                <w:rFonts w:cs="Calibri"/>
                <w:lang w:val="cs-CZ" w:eastAsia="cs-CZ"/>
              </w:rPr>
              <w:t>Typy příjemců: Zaměstnavatelé, poradenské a vzdělávací instituce, profesní a podnikatelská sdružení, MPSV a jím řízené/zřízené instituce, sociální partneři atd.</w:t>
            </w:r>
          </w:p>
          <w:p w:rsidR="0062540E" w:rsidRPr="008B53A9" w:rsidRDefault="0062540E" w:rsidP="0062540E">
            <w:pPr>
              <w:pStyle w:val="Tabulka"/>
              <w:jc w:val="left"/>
              <w:rPr>
                <w:rFonts w:cs="Calibri"/>
                <w:lang w:val="cs-CZ" w:eastAsia="cs-CZ"/>
              </w:rPr>
            </w:pPr>
            <w:r w:rsidRPr="008B53A9">
              <w:rPr>
                <w:rFonts w:cs="Calibri"/>
                <w:lang w:val="cs-CZ" w:eastAsia="cs-CZ"/>
              </w:rPr>
              <w:t>Cílové území: celé území České republiky</w:t>
            </w:r>
          </w:p>
        </w:tc>
      </w:tr>
      <w:tr w:rsidR="00152A0D" w:rsidRPr="008B53A9">
        <w:tc>
          <w:tcPr>
            <w:tcW w:w="1167" w:type="pct"/>
            <w:shd w:val="clear" w:color="auto" w:fill="DBE5F1"/>
            <w:vAlign w:val="center"/>
          </w:tcPr>
          <w:p w:rsidR="00152A0D" w:rsidRPr="008B53A9" w:rsidRDefault="00152A0D" w:rsidP="00152A0D">
            <w:pPr>
              <w:pStyle w:val="Tabulka"/>
              <w:jc w:val="left"/>
              <w:rPr>
                <w:rFonts w:cs="Calibri"/>
                <w:b/>
                <w:lang w:val="cs-CZ" w:eastAsia="cs-CZ"/>
              </w:rPr>
            </w:pPr>
            <w:r w:rsidRPr="008B53A9">
              <w:rPr>
                <w:rFonts w:cs="Calibri"/>
                <w:b/>
                <w:lang w:val="cs-CZ" w:eastAsia="cs-CZ"/>
              </w:rPr>
              <w:t>Synergie/komplementarita</w:t>
            </w:r>
          </w:p>
        </w:tc>
        <w:tc>
          <w:tcPr>
            <w:tcW w:w="1579" w:type="pct"/>
            <w:tcBorders>
              <w:tr2bl w:val="single" w:sz="4" w:space="0" w:color="auto"/>
            </w:tcBorders>
            <w:shd w:val="clear" w:color="auto" w:fill="auto"/>
            <w:vAlign w:val="center"/>
          </w:tcPr>
          <w:p w:rsidR="00152A0D" w:rsidRPr="008B53A9" w:rsidRDefault="00152A0D" w:rsidP="00152A0D">
            <w:pPr>
              <w:pStyle w:val="Tabulka"/>
              <w:jc w:val="left"/>
              <w:rPr>
                <w:rFonts w:cs="Calibri"/>
                <w:lang w:val="cs-CZ" w:eastAsia="cs-CZ"/>
              </w:rPr>
            </w:pPr>
          </w:p>
        </w:tc>
        <w:tc>
          <w:tcPr>
            <w:tcW w:w="82" w:type="pct"/>
            <w:tcBorders>
              <w:top w:val="nil"/>
              <w:bottom w:val="nil"/>
            </w:tcBorders>
            <w:shd w:val="clear" w:color="auto" w:fill="auto"/>
            <w:vAlign w:val="center"/>
          </w:tcPr>
          <w:p w:rsidR="00152A0D" w:rsidRPr="008B53A9" w:rsidRDefault="00152A0D" w:rsidP="0062540E">
            <w:pPr>
              <w:pStyle w:val="Tabulka"/>
              <w:jc w:val="left"/>
              <w:rPr>
                <w:rFonts w:cs="Calibri"/>
                <w:sz w:val="6"/>
                <w:szCs w:val="6"/>
                <w:lang w:val="cs-CZ" w:eastAsia="cs-CZ"/>
              </w:rPr>
            </w:pPr>
          </w:p>
        </w:tc>
        <w:tc>
          <w:tcPr>
            <w:tcW w:w="2172" w:type="pct"/>
            <w:shd w:val="clear" w:color="auto" w:fill="auto"/>
            <w:vAlign w:val="center"/>
          </w:tcPr>
          <w:p w:rsidR="00152A0D" w:rsidRPr="008B53A9" w:rsidRDefault="00152A0D" w:rsidP="0062540E">
            <w:pPr>
              <w:pStyle w:val="Tabulka"/>
              <w:jc w:val="left"/>
              <w:rPr>
                <w:rFonts w:cs="Calibri"/>
                <w:lang w:val="cs-CZ" w:eastAsia="cs-CZ"/>
              </w:rPr>
            </w:pPr>
            <w:r w:rsidRPr="008B53A9">
              <w:rPr>
                <w:rFonts w:cs="Calibri"/>
                <w:lang w:val="cs-CZ" w:eastAsia="cs-CZ"/>
              </w:rPr>
              <w:t>synergie</w:t>
            </w:r>
          </w:p>
        </w:tc>
      </w:tr>
      <w:tr w:rsidR="00152A0D" w:rsidRPr="008B53A9">
        <w:tc>
          <w:tcPr>
            <w:tcW w:w="1167" w:type="pct"/>
            <w:shd w:val="clear" w:color="auto" w:fill="DBE5F1"/>
            <w:vAlign w:val="center"/>
          </w:tcPr>
          <w:p w:rsidR="00152A0D" w:rsidRPr="008B53A9" w:rsidRDefault="00152A0D" w:rsidP="0062540E">
            <w:pPr>
              <w:pStyle w:val="Tabulka"/>
              <w:jc w:val="left"/>
              <w:rPr>
                <w:rFonts w:cs="Calibri"/>
                <w:b/>
                <w:lang w:val="cs-CZ" w:eastAsia="cs-CZ"/>
              </w:rPr>
            </w:pPr>
            <w:r w:rsidRPr="008B53A9">
              <w:rPr>
                <w:rFonts w:cs="Calibri"/>
                <w:b/>
                <w:lang w:val="cs-CZ" w:eastAsia="cs-CZ"/>
              </w:rPr>
              <w:t>Mechanismus koordinace</w:t>
            </w:r>
          </w:p>
        </w:tc>
        <w:tc>
          <w:tcPr>
            <w:tcW w:w="3833" w:type="pct"/>
            <w:gridSpan w:val="3"/>
            <w:shd w:val="clear" w:color="auto" w:fill="auto"/>
            <w:vAlign w:val="center"/>
          </w:tcPr>
          <w:p w:rsidR="00152A0D" w:rsidRPr="008B53A9" w:rsidRDefault="00152A0D" w:rsidP="0062540E">
            <w:pPr>
              <w:pStyle w:val="Tabulka"/>
              <w:jc w:val="left"/>
              <w:rPr>
                <w:rFonts w:cs="Calibri"/>
                <w:lang w:val="cs-CZ" w:eastAsia="cs-CZ"/>
              </w:rPr>
            </w:pPr>
            <w:r w:rsidRPr="008B53A9">
              <w:rPr>
                <w:rFonts w:cs="Calibri"/>
                <w:b/>
                <w:i/>
                <w:lang w:val="cs-CZ" w:eastAsia="cs-CZ"/>
              </w:rPr>
              <w:t>Memorandum o spolupráci při přípravě a budoucí realizaci OP Z</w:t>
            </w:r>
            <w:r w:rsidRPr="008B53A9">
              <w:rPr>
                <w:rFonts w:cs="Calibri"/>
                <w:b/>
                <w:lang w:val="cs-CZ" w:eastAsia="cs-CZ"/>
              </w:rPr>
              <w:t xml:space="preserve"> </w:t>
            </w:r>
            <w:r w:rsidRPr="008B53A9">
              <w:rPr>
                <w:rFonts w:cs="Calibri"/>
                <w:lang w:val="cs-CZ" w:eastAsia="cs-CZ"/>
              </w:rPr>
              <w:t>zakotvuje</w:t>
            </w:r>
            <w:r w:rsidRPr="008B53A9">
              <w:rPr>
                <w:rFonts w:cs="Calibri"/>
                <w:b/>
                <w:lang w:val="cs-CZ" w:eastAsia="cs-CZ"/>
              </w:rPr>
              <w:t xml:space="preserve"> </w:t>
            </w:r>
            <w:r w:rsidRPr="008B53A9">
              <w:rPr>
                <w:rFonts w:cs="Calibri"/>
                <w:lang w:val="cs-CZ" w:eastAsia="cs-CZ"/>
              </w:rPr>
              <w:t xml:space="preserve">vymezení základní role věcného garanta, kterým bude MPO, při přípravě a budoucí realizaci tohoto operačního programu. </w:t>
            </w:r>
            <w:r w:rsidRPr="008B53A9">
              <w:rPr>
                <w:rFonts w:cs="Calibri"/>
                <w:b/>
                <w:lang w:val="cs-CZ" w:eastAsia="cs-CZ"/>
              </w:rPr>
              <w:t xml:space="preserve">Základní role věcného garanta při přípravě OP Z </w:t>
            </w:r>
            <w:r w:rsidRPr="008B53A9">
              <w:rPr>
                <w:rFonts w:cs="Calibri"/>
                <w:lang w:val="cs-CZ" w:eastAsia="cs-CZ"/>
              </w:rPr>
              <w:t>zahrnuje zejména:</w:t>
            </w:r>
          </w:p>
          <w:p w:rsidR="00152A0D" w:rsidRPr="008B53A9" w:rsidRDefault="00152A0D" w:rsidP="005F43DF">
            <w:pPr>
              <w:pStyle w:val="Tabulka"/>
              <w:numPr>
                <w:ilvl w:val="0"/>
                <w:numId w:val="61"/>
              </w:numPr>
              <w:jc w:val="left"/>
              <w:rPr>
                <w:rFonts w:cs="Calibri"/>
                <w:lang w:val="cs-CZ" w:eastAsia="cs-CZ"/>
              </w:rPr>
            </w:pPr>
            <w:r w:rsidRPr="008B53A9">
              <w:rPr>
                <w:rFonts w:cs="Calibri"/>
                <w:lang w:val="cs-CZ" w:eastAsia="cs-CZ"/>
              </w:rPr>
              <w:t>příprava věcného zaměření příslušných oblastí intervence v OP Z;</w:t>
            </w:r>
          </w:p>
          <w:p w:rsidR="00152A0D" w:rsidRPr="008B53A9" w:rsidRDefault="00152A0D" w:rsidP="005F43DF">
            <w:pPr>
              <w:pStyle w:val="Tabulka"/>
              <w:numPr>
                <w:ilvl w:val="0"/>
                <w:numId w:val="61"/>
              </w:numPr>
              <w:jc w:val="left"/>
              <w:rPr>
                <w:rFonts w:cs="Calibri"/>
                <w:lang w:val="cs-CZ" w:eastAsia="cs-CZ"/>
              </w:rPr>
            </w:pPr>
            <w:r w:rsidRPr="008B53A9">
              <w:rPr>
                <w:rFonts w:cs="Calibri"/>
                <w:lang w:val="cs-CZ" w:eastAsia="cs-CZ"/>
              </w:rPr>
              <w:t>členství v relevantních platformách ustavených MPSV pro přípravu OP Z;</w:t>
            </w:r>
          </w:p>
          <w:p w:rsidR="00152A0D" w:rsidRPr="008B53A9" w:rsidRDefault="00152A0D" w:rsidP="005F43DF">
            <w:pPr>
              <w:pStyle w:val="Tabulka"/>
              <w:numPr>
                <w:ilvl w:val="0"/>
                <w:numId w:val="61"/>
              </w:numPr>
              <w:jc w:val="left"/>
              <w:rPr>
                <w:rFonts w:cs="Calibri"/>
                <w:lang w:val="cs-CZ" w:eastAsia="cs-CZ"/>
              </w:rPr>
            </w:pPr>
            <w:r w:rsidRPr="008B53A9">
              <w:rPr>
                <w:rFonts w:cs="Calibri"/>
                <w:lang w:val="cs-CZ" w:eastAsia="cs-CZ"/>
              </w:rPr>
              <w:lastRenderedPageBreak/>
              <w:t>podíl na přípravě souvisejících podkladů a spolupráce na vypořádání připomínek k OP Z.</w:t>
            </w:r>
          </w:p>
          <w:p w:rsidR="00152A0D" w:rsidRPr="008B53A9" w:rsidRDefault="00152A0D" w:rsidP="0062540E">
            <w:pPr>
              <w:pStyle w:val="Tabulka"/>
              <w:jc w:val="left"/>
              <w:rPr>
                <w:rFonts w:cs="Calibri"/>
                <w:lang w:val="cs-CZ" w:eastAsia="cs-CZ"/>
              </w:rPr>
            </w:pPr>
            <w:r w:rsidRPr="008B53A9">
              <w:rPr>
                <w:rFonts w:cs="Calibri"/>
                <w:b/>
                <w:lang w:val="cs-CZ" w:eastAsia="cs-CZ"/>
              </w:rPr>
              <w:t>Základní role věcného garanta při realizaci OP Z</w:t>
            </w:r>
            <w:r w:rsidRPr="008B53A9">
              <w:rPr>
                <w:rFonts w:cs="Calibri"/>
                <w:lang w:val="cs-CZ" w:eastAsia="cs-CZ"/>
              </w:rPr>
              <w:t> zahrnuje zejména:</w:t>
            </w:r>
          </w:p>
          <w:p w:rsidR="00152A0D" w:rsidRPr="008B53A9" w:rsidRDefault="00152A0D" w:rsidP="005F43DF">
            <w:pPr>
              <w:pStyle w:val="Tabulka"/>
              <w:numPr>
                <w:ilvl w:val="0"/>
                <w:numId w:val="62"/>
              </w:numPr>
              <w:jc w:val="left"/>
              <w:rPr>
                <w:rFonts w:cs="Calibri"/>
                <w:lang w:val="cs-CZ" w:eastAsia="cs-CZ"/>
              </w:rPr>
            </w:pPr>
            <w:r w:rsidRPr="008B53A9">
              <w:rPr>
                <w:rFonts w:cs="Calibri"/>
                <w:lang w:val="cs-CZ" w:eastAsia="cs-CZ"/>
              </w:rPr>
              <w:t>podíl na nastavení harmonogramu výzev, plánu čerpání a naplňování monitorovacích indikátorů;</w:t>
            </w:r>
          </w:p>
          <w:p w:rsidR="00152A0D" w:rsidRPr="008B53A9" w:rsidRDefault="00152A0D" w:rsidP="005F43DF">
            <w:pPr>
              <w:pStyle w:val="Tabulka"/>
              <w:numPr>
                <w:ilvl w:val="0"/>
                <w:numId w:val="62"/>
              </w:numPr>
              <w:jc w:val="left"/>
              <w:rPr>
                <w:rFonts w:cs="Calibri"/>
                <w:lang w:val="cs-CZ" w:eastAsia="cs-CZ"/>
              </w:rPr>
            </w:pPr>
            <w:r w:rsidRPr="008B53A9">
              <w:rPr>
                <w:rFonts w:cs="Calibri"/>
                <w:lang w:val="cs-CZ" w:eastAsia="cs-CZ"/>
              </w:rPr>
              <w:t xml:space="preserve">garance věcného obsahu zaměření výzev k předkládání projektů s ohledem na naplňování plánovaných hodnot monitorovacích ukazatelů, plánu čerpání a milníků implementace; </w:t>
            </w:r>
          </w:p>
          <w:p w:rsidR="00152A0D" w:rsidRPr="008B53A9" w:rsidRDefault="00152A0D" w:rsidP="005F43DF">
            <w:pPr>
              <w:pStyle w:val="Tabulka"/>
              <w:numPr>
                <w:ilvl w:val="0"/>
                <w:numId w:val="62"/>
              </w:numPr>
              <w:jc w:val="left"/>
              <w:rPr>
                <w:rFonts w:cs="Calibri"/>
                <w:lang w:val="cs-CZ" w:eastAsia="cs-CZ"/>
              </w:rPr>
            </w:pPr>
            <w:r w:rsidRPr="008B53A9">
              <w:rPr>
                <w:rFonts w:cs="Calibri"/>
                <w:lang w:val="cs-CZ" w:eastAsia="cs-CZ"/>
              </w:rPr>
              <w:t>podíl na nastavení technických parametrů výzev (alokace finančních prostředků, stanovení formy výzvy, územní zaměření, specifikace oprávněných žadatelů a příjemců atd.);</w:t>
            </w:r>
          </w:p>
          <w:p w:rsidR="00152A0D" w:rsidRPr="008B53A9" w:rsidRDefault="00152A0D" w:rsidP="005F43DF">
            <w:pPr>
              <w:pStyle w:val="Tabulka"/>
              <w:numPr>
                <w:ilvl w:val="0"/>
                <w:numId w:val="62"/>
              </w:numPr>
              <w:jc w:val="left"/>
              <w:rPr>
                <w:rFonts w:cs="Calibri"/>
                <w:lang w:val="cs-CZ" w:eastAsia="cs-CZ"/>
              </w:rPr>
            </w:pPr>
            <w:r w:rsidRPr="008B53A9">
              <w:rPr>
                <w:rFonts w:cs="Calibri"/>
                <w:lang w:val="cs-CZ" w:eastAsia="cs-CZ"/>
              </w:rPr>
              <w:t>účast ve výběrové komisi;</w:t>
            </w:r>
          </w:p>
          <w:p w:rsidR="00152A0D" w:rsidRPr="008B53A9" w:rsidRDefault="00152A0D" w:rsidP="005F43DF">
            <w:pPr>
              <w:pStyle w:val="Tabulka"/>
              <w:numPr>
                <w:ilvl w:val="0"/>
                <w:numId w:val="62"/>
              </w:numPr>
              <w:jc w:val="left"/>
              <w:rPr>
                <w:rFonts w:cs="Calibri"/>
                <w:lang w:val="cs-CZ" w:eastAsia="cs-CZ"/>
              </w:rPr>
            </w:pPr>
            <w:r w:rsidRPr="008B53A9">
              <w:rPr>
                <w:rFonts w:cs="Calibri"/>
                <w:lang w:val="cs-CZ" w:eastAsia="cs-CZ"/>
              </w:rPr>
              <w:t>podíl na vyhodnocení výzev;</w:t>
            </w:r>
          </w:p>
          <w:p w:rsidR="00152A0D" w:rsidRPr="008B53A9" w:rsidRDefault="00152A0D" w:rsidP="005F43DF">
            <w:pPr>
              <w:pStyle w:val="Tabulka"/>
              <w:numPr>
                <w:ilvl w:val="0"/>
                <w:numId w:val="62"/>
              </w:numPr>
              <w:jc w:val="left"/>
              <w:rPr>
                <w:rFonts w:cs="Calibri"/>
                <w:lang w:val="cs-CZ" w:eastAsia="cs-CZ"/>
              </w:rPr>
            </w:pPr>
            <w:r w:rsidRPr="008B53A9">
              <w:rPr>
                <w:rFonts w:cs="Calibri"/>
                <w:lang w:val="cs-CZ" w:eastAsia="cs-CZ"/>
              </w:rPr>
              <w:t>podíl na hodnocení přínosů projektů a spolupráce na evaluacích OP Z;</w:t>
            </w:r>
          </w:p>
          <w:p w:rsidR="00152A0D" w:rsidRPr="008B53A9" w:rsidRDefault="00152A0D" w:rsidP="005F43DF">
            <w:pPr>
              <w:pStyle w:val="Tabulka"/>
              <w:numPr>
                <w:ilvl w:val="0"/>
                <w:numId w:val="62"/>
              </w:numPr>
              <w:jc w:val="left"/>
              <w:rPr>
                <w:rFonts w:cs="Calibri"/>
                <w:lang w:val="cs-CZ" w:eastAsia="cs-CZ"/>
              </w:rPr>
            </w:pPr>
            <w:r w:rsidRPr="008B53A9">
              <w:rPr>
                <w:rFonts w:cs="Calibri"/>
                <w:lang w:val="cs-CZ" w:eastAsia="cs-CZ"/>
              </w:rPr>
              <w:t>spolupráce na monitorování OP Z (výroční zprávy, zprávy o realizaci, plnění milníků, apod.) v příslušných oblastech;</w:t>
            </w:r>
          </w:p>
          <w:p w:rsidR="00152A0D" w:rsidRPr="008B53A9" w:rsidRDefault="00152A0D" w:rsidP="005F43DF">
            <w:pPr>
              <w:pStyle w:val="Tabulka"/>
              <w:numPr>
                <w:ilvl w:val="0"/>
                <w:numId w:val="62"/>
              </w:numPr>
              <w:jc w:val="left"/>
              <w:rPr>
                <w:rFonts w:cs="Calibri"/>
                <w:lang w:val="cs-CZ" w:eastAsia="cs-CZ"/>
              </w:rPr>
            </w:pPr>
            <w:r w:rsidRPr="008B53A9">
              <w:rPr>
                <w:rFonts w:cs="Calibri"/>
                <w:lang w:val="cs-CZ" w:eastAsia="cs-CZ"/>
              </w:rPr>
              <w:t>členství v Monitorovacím výboru OP Z a dalších relevantních platformách;</w:t>
            </w:r>
          </w:p>
          <w:p w:rsidR="00152A0D" w:rsidRPr="008B53A9" w:rsidRDefault="00152A0D" w:rsidP="005F43DF">
            <w:pPr>
              <w:pStyle w:val="Tabulka"/>
              <w:numPr>
                <w:ilvl w:val="0"/>
                <w:numId w:val="62"/>
              </w:numPr>
              <w:jc w:val="left"/>
              <w:rPr>
                <w:rFonts w:cs="Calibri"/>
                <w:lang w:val="cs-CZ" w:eastAsia="cs-CZ"/>
              </w:rPr>
            </w:pPr>
            <w:r w:rsidRPr="008B53A9">
              <w:rPr>
                <w:rFonts w:cs="Calibri"/>
                <w:lang w:val="cs-CZ" w:eastAsia="cs-CZ"/>
              </w:rPr>
              <w:t>spolupráci při auditech Evropské komise, Evropského účetního dvora, Auditního orgánu, Nejvyššího kontrolního úřadu.</w:t>
            </w:r>
          </w:p>
        </w:tc>
      </w:tr>
    </w:tbl>
    <w:p w:rsidR="00D51A7B" w:rsidRPr="008B53A9" w:rsidRDefault="00D51A7B" w:rsidP="00D51A7B">
      <w:pPr>
        <w:pStyle w:val="Standardntext"/>
      </w:pPr>
    </w:p>
    <w:p w:rsidR="00F004B3" w:rsidRPr="008B53A9" w:rsidRDefault="00F004B3" w:rsidP="005D178C">
      <w:pPr>
        <w:pStyle w:val="Standardntext"/>
        <w:numPr>
          <w:ilvl w:val="0"/>
          <w:numId w:val="95"/>
        </w:numPr>
        <w:rPr>
          <w:b/>
        </w:rPr>
      </w:pPr>
      <w:r w:rsidRPr="008B53A9">
        <w:rPr>
          <w:b/>
        </w:rPr>
        <w:t>Brownfieldy</w:t>
      </w:r>
    </w:p>
    <w:p w:rsidR="00F004B3" w:rsidRPr="008B53A9" w:rsidRDefault="00F004B3" w:rsidP="00F004B3">
      <w:pPr>
        <w:pStyle w:val="Standardntext"/>
      </w:pPr>
      <w:r w:rsidRPr="008B53A9">
        <w:t xml:space="preserve">Vedle OP PIK řeší otázku brownfieldů rovněž </w:t>
      </w:r>
      <w:r w:rsidRPr="008B53A9">
        <w:rPr>
          <w:b/>
        </w:rPr>
        <w:t>OP ŽP</w:t>
      </w:r>
      <w:r w:rsidRPr="008B53A9">
        <w:t xml:space="preserve"> a nepřímo také </w:t>
      </w:r>
      <w:r w:rsidRPr="008B53A9">
        <w:rPr>
          <w:b/>
        </w:rPr>
        <w:t>PRV</w:t>
      </w:r>
      <w:r w:rsidRPr="008B53A9">
        <w:t>. Předmětem podpory v OP ŽP je sanace vážně kontaminovaných lokalit, u nichž jsou prokázána rizika pro lidské zdraví a ekosystémy</w:t>
      </w:r>
      <w:r w:rsidRPr="008B53A9">
        <w:rPr>
          <w:rStyle w:val="Znakapoznpodarou"/>
        </w:rPr>
        <w:footnoteReference w:id="134"/>
      </w:r>
      <w:r w:rsidRPr="008B53A9">
        <w:t>. Těmito lokalitami nemusí být brownfieldy pro následné podnikatelské využití, na které se bude orientovat výhradně OP PIK. V rámci OP PIK nebude podporována sanace ekologických zátěží, ale bude podporována demolice a likvidace stavebních materiálů, z nichž některé mohou spadat do vyšší rizikovosti, nicméně byly v minulosti běžně užívány a stavby typu brownfield je běžně obsahují (např. izolace vykazující rado, asfaltové pásy ze střech, různé typy izolantů, pěnové izolace, barevné či olejem znečištěné betonové suti apod.)</w:t>
      </w:r>
    </w:p>
    <w:p w:rsidR="00F004B3" w:rsidRPr="008B53A9" w:rsidRDefault="00F004B3" w:rsidP="00F004B3">
      <w:pPr>
        <w:pStyle w:val="Standardntext"/>
        <w:rPr>
          <w:lang w:val="cs-CZ"/>
        </w:rPr>
      </w:pPr>
      <w:r w:rsidRPr="008B53A9">
        <w:lastRenderedPageBreak/>
        <w:t>V případě PRV jde rovněž o komplementaritu</w:t>
      </w:r>
      <w:r w:rsidR="00681577" w:rsidRPr="008B53A9">
        <w:rPr>
          <w:lang w:val="cs-CZ"/>
        </w:rPr>
        <w:t xml:space="preserve">, </w:t>
      </w:r>
      <w:r w:rsidRPr="008B53A9">
        <w:t>kdy výběr projektů PRV bude v některých opatřeních posuzován také z hlediska možné revitalizace brownfieldů</w:t>
      </w:r>
      <w:r w:rsidR="00681577" w:rsidRPr="008B53A9">
        <w:rPr>
          <w:lang w:val="cs-CZ"/>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4208"/>
        <w:gridCol w:w="344"/>
        <w:gridCol w:w="3659"/>
        <w:gridCol w:w="3427"/>
      </w:tblGrid>
      <w:tr w:rsidR="00295566" w:rsidRPr="008B53A9">
        <w:trPr>
          <w:trHeight w:val="233"/>
        </w:trPr>
        <w:tc>
          <w:tcPr>
            <w:tcW w:w="0" w:type="auto"/>
            <w:shd w:val="clear" w:color="auto" w:fill="739BCB"/>
            <w:vAlign w:val="center"/>
          </w:tcPr>
          <w:p w:rsidR="00295566" w:rsidRPr="008B53A9" w:rsidRDefault="00295566" w:rsidP="00BF7E1C">
            <w:pPr>
              <w:pStyle w:val="Tabulka"/>
              <w:keepNext/>
              <w:keepLines/>
              <w:jc w:val="left"/>
              <w:rPr>
                <w:rFonts w:cs="Calibri"/>
                <w:b/>
                <w:lang w:val="cs-CZ" w:eastAsia="cs-CZ"/>
              </w:rPr>
            </w:pPr>
            <w:r w:rsidRPr="008B53A9">
              <w:rPr>
                <w:rFonts w:cs="Calibri"/>
                <w:b/>
                <w:color w:val="FFFFFF"/>
                <w:lang w:val="cs-CZ" w:eastAsia="cs-CZ"/>
              </w:rPr>
              <w:t>Brownfield</w:t>
            </w:r>
            <w:r w:rsidR="00BF7E1C" w:rsidRPr="008B53A9">
              <w:rPr>
                <w:rFonts w:cs="Calibri"/>
                <w:b/>
                <w:color w:val="FFFFFF"/>
                <w:lang w:val="cs-CZ" w:eastAsia="cs-CZ"/>
              </w:rPr>
              <w:t>y</w:t>
            </w:r>
          </w:p>
        </w:tc>
        <w:tc>
          <w:tcPr>
            <w:tcW w:w="4159" w:type="dxa"/>
            <w:tcBorders>
              <w:bottom w:val="single" w:sz="4" w:space="0" w:color="000000"/>
            </w:tcBorders>
            <w:shd w:val="clear" w:color="auto" w:fill="B8CCE4"/>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OP PIK</w:t>
            </w:r>
          </w:p>
        </w:tc>
        <w:tc>
          <w:tcPr>
            <w:tcW w:w="294" w:type="dxa"/>
            <w:tcBorders>
              <w:top w:val="nil"/>
              <w:bottom w:val="nil"/>
            </w:tcBorders>
            <w:shd w:val="clear" w:color="auto" w:fill="auto"/>
            <w:vAlign w:val="center"/>
          </w:tcPr>
          <w:p w:rsidR="00295566" w:rsidRPr="008B53A9" w:rsidRDefault="00295566" w:rsidP="00267430">
            <w:pPr>
              <w:pStyle w:val="Tabulka"/>
              <w:keepNext/>
              <w:keepLines/>
              <w:rPr>
                <w:rFonts w:cs="Calibri"/>
                <w:b/>
                <w:sz w:val="6"/>
                <w:szCs w:val="6"/>
                <w:lang w:val="cs-CZ" w:eastAsia="cs-CZ"/>
              </w:rPr>
            </w:pPr>
          </w:p>
        </w:tc>
        <w:tc>
          <w:tcPr>
            <w:tcW w:w="3725" w:type="dxa"/>
            <w:tcBorders>
              <w:bottom w:val="single" w:sz="4" w:space="0" w:color="000000"/>
              <w:right w:val="single" w:sz="4" w:space="0" w:color="auto"/>
            </w:tcBorders>
            <w:shd w:val="clear" w:color="auto" w:fill="B8CCE4"/>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OP ŽP</w:t>
            </w:r>
          </w:p>
        </w:tc>
        <w:tc>
          <w:tcPr>
            <w:tcW w:w="3460" w:type="dxa"/>
            <w:tcBorders>
              <w:left w:val="single" w:sz="4" w:space="0" w:color="auto"/>
              <w:bottom w:val="single" w:sz="4" w:space="0" w:color="000000"/>
            </w:tcBorders>
            <w:shd w:val="clear" w:color="auto" w:fill="B8CCE4"/>
          </w:tcPr>
          <w:p w:rsidR="00295566" w:rsidRPr="008B53A9" w:rsidRDefault="00295566" w:rsidP="00267430">
            <w:pPr>
              <w:pStyle w:val="Tabulka"/>
              <w:keepNext/>
              <w:keepLines/>
              <w:rPr>
                <w:rFonts w:cs="Calibri"/>
                <w:b/>
                <w:lang w:val="cs-CZ" w:eastAsia="cs-CZ"/>
              </w:rPr>
            </w:pPr>
            <w:r w:rsidRPr="008B53A9">
              <w:rPr>
                <w:rFonts w:cs="Calibri"/>
                <w:b/>
                <w:lang w:val="cs-CZ" w:eastAsia="cs-CZ"/>
              </w:rPr>
              <w:t>PRV</w:t>
            </w:r>
          </w:p>
        </w:tc>
      </w:tr>
      <w:tr w:rsidR="00295566" w:rsidRPr="008B53A9">
        <w:trPr>
          <w:trHeight w:val="738"/>
        </w:trPr>
        <w:tc>
          <w:tcPr>
            <w:tcW w:w="0" w:type="auto"/>
            <w:tcBorders>
              <w:bottom w:val="dotted" w:sz="4" w:space="0" w:color="auto"/>
            </w:tcBorders>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Tematický cíl / investiční priorita</w:t>
            </w:r>
          </w:p>
        </w:tc>
        <w:tc>
          <w:tcPr>
            <w:tcW w:w="4159" w:type="dxa"/>
            <w:tcBorders>
              <w:bottom w:val="dotted" w:sz="4" w:space="0" w:color="auto"/>
              <w:right w:val="single" w:sz="4" w:space="0" w:color="auto"/>
            </w:tcBorders>
            <w:shd w:val="clear" w:color="auto" w:fill="auto"/>
            <w:vAlign w:val="center"/>
          </w:tcPr>
          <w:p w:rsidR="00295566" w:rsidRPr="008B53A9" w:rsidRDefault="00295566" w:rsidP="004044A1">
            <w:pPr>
              <w:pStyle w:val="Tabulka"/>
              <w:jc w:val="left"/>
              <w:rPr>
                <w:rFonts w:cs="Calibri"/>
                <w:lang w:val="cs-CZ" w:eastAsia="cs-CZ"/>
              </w:rPr>
            </w:pPr>
            <w:r w:rsidRPr="008B53A9">
              <w:rPr>
                <w:rFonts w:cs="Calibri"/>
                <w:lang w:val="cs-CZ" w:eastAsia="cs-CZ"/>
              </w:rPr>
              <w:t>TC 3 / 3 c)</w:t>
            </w:r>
          </w:p>
        </w:tc>
        <w:tc>
          <w:tcPr>
            <w:tcW w:w="294" w:type="dxa"/>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725" w:type="dxa"/>
            <w:tcBorders>
              <w:left w:val="single" w:sz="4" w:space="0" w:color="auto"/>
              <w:bottom w:val="dotted" w:sz="4" w:space="0" w:color="auto"/>
              <w:right w:val="single" w:sz="4" w:space="0" w:color="auto"/>
            </w:tcBorders>
            <w:shd w:val="clear" w:color="auto" w:fill="auto"/>
            <w:vAlign w:val="center"/>
          </w:tcPr>
          <w:p w:rsidR="00295566" w:rsidRPr="008B53A9" w:rsidRDefault="00295566" w:rsidP="004044A1">
            <w:pPr>
              <w:pStyle w:val="Tabulka"/>
              <w:jc w:val="left"/>
              <w:rPr>
                <w:rFonts w:cs="Calibri"/>
                <w:lang w:val="cs-CZ" w:eastAsia="cs-CZ"/>
              </w:rPr>
            </w:pPr>
            <w:r w:rsidRPr="008B53A9">
              <w:rPr>
                <w:rFonts w:cs="Calibri"/>
                <w:lang w:val="cs-CZ" w:eastAsia="cs-CZ"/>
              </w:rPr>
              <w:t>TC 5 / 5 b)</w:t>
            </w:r>
          </w:p>
        </w:tc>
        <w:tc>
          <w:tcPr>
            <w:tcW w:w="3460" w:type="dxa"/>
            <w:tcBorders>
              <w:left w:val="single" w:sz="4" w:space="0" w:color="auto"/>
              <w:bottom w:val="dotted" w:sz="4" w:space="0" w:color="auto"/>
            </w:tcBorders>
            <w:shd w:val="clear" w:color="auto" w:fill="auto"/>
            <w:vAlign w:val="center"/>
          </w:tcPr>
          <w:p w:rsidR="00295566" w:rsidRPr="008B53A9" w:rsidRDefault="00295566" w:rsidP="00114021">
            <w:pPr>
              <w:pStyle w:val="Tabulka"/>
              <w:ind w:left="23"/>
              <w:jc w:val="left"/>
              <w:rPr>
                <w:rFonts w:cs="Calibri"/>
                <w:lang w:val="cs-CZ" w:eastAsia="cs-CZ"/>
              </w:rPr>
            </w:pPr>
            <w:r w:rsidRPr="008B53A9">
              <w:rPr>
                <w:rFonts w:cs="Calibri"/>
                <w:lang w:val="cs-CZ" w:eastAsia="cs-CZ"/>
              </w:rPr>
              <w:t>- / -</w:t>
            </w:r>
          </w:p>
        </w:tc>
      </w:tr>
      <w:tr w:rsidR="00295566" w:rsidRPr="008B53A9">
        <w:trPr>
          <w:trHeight w:val="212"/>
        </w:trPr>
        <w:tc>
          <w:tcPr>
            <w:tcW w:w="0" w:type="auto"/>
            <w:tcBorders>
              <w:top w:val="dotted" w:sz="4" w:space="0" w:color="auto"/>
              <w:bottom w:val="dotted" w:sz="4" w:space="0" w:color="auto"/>
            </w:tcBorders>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Prioritní osa</w:t>
            </w:r>
          </w:p>
        </w:tc>
        <w:tc>
          <w:tcPr>
            <w:tcW w:w="4159" w:type="dxa"/>
            <w:tcBorders>
              <w:top w:val="dotted"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PO 2: Rozvoj podnikání a konkurenceschopnosti malých a středních podniků</w:t>
            </w:r>
          </w:p>
        </w:tc>
        <w:tc>
          <w:tcPr>
            <w:tcW w:w="294" w:type="dxa"/>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725" w:type="dxa"/>
            <w:tcBorders>
              <w:top w:val="dotted" w:sz="4" w:space="0" w:color="auto"/>
              <w:left w:val="single"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PO 3: Odpady a materiálové toky, ekologické zátěže a rizika</w:t>
            </w:r>
          </w:p>
        </w:tc>
        <w:tc>
          <w:tcPr>
            <w:tcW w:w="3460" w:type="dxa"/>
            <w:tcBorders>
              <w:top w:val="dotted" w:sz="4" w:space="0" w:color="auto"/>
              <w:left w:val="single" w:sz="4" w:space="0" w:color="auto"/>
              <w:bottom w:val="dotted" w:sz="4" w:space="0" w:color="auto"/>
            </w:tcBorders>
            <w:shd w:val="clear" w:color="auto" w:fill="auto"/>
            <w:vAlign w:val="center"/>
          </w:tcPr>
          <w:p w:rsidR="00295566" w:rsidRPr="008B53A9" w:rsidRDefault="00295566" w:rsidP="00267430">
            <w:pPr>
              <w:pStyle w:val="Tabulka"/>
              <w:jc w:val="left"/>
              <w:rPr>
                <w:rFonts w:cs="Calibri"/>
                <w:i/>
                <w:lang w:val="cs-CZ" w:eastAsia="cs-CZ"/>
              </w:rPr>
            </w:pPr>
            <w:r w:rsidRPr="008B53A9">
              <w:rPr>
                <w:rFonts w:cs="Calibri"/>
                <w:lang w:val="cs-CZ" w:eastAsia="cs-CZ"/>
              </w:rPr>
              <w:t xml:space="preserve">6.4 </w:t>
            </w:r>
            <w:r w:rsidR="00556501" w:rsidRPr="008B53A9">
              <w:rPr>
                <w:rFonts w:cs="Calibri"/>
                <w:lang w:val="cs-CZ" w:eastAsia="cs-CZ"/>
              </w:rPr>
              <w:t>Podpora investic na založení nebo rozvoj nezemědělských činností</w:t>
            </w:r>
          </w:p>
        </w:tc>
      </w:tr>
      <w:tr w:rsidR="00295566" w:rsidRPr="008B53A9">
        <w:tc>
          <w:tcPr>
            <w:tcW w:w="0" w:type="auto"/>
            <w:tcBorders>
              <w:top w:val="dotted" w:sz="4" w:space="0" w:color="auto"/>
            </w:tcBorders>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Specifický cíl</w:t>
            </w:r>
          </w:p>
        </w:tc>
        <w:tc>
          <w:tcPr>
            <w:tcW w:w="4159" w:type="dxa"/>
            <w:tcBorders>
              <w:top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SC 2.3: Zvýšit využitelnost infrastruktury pro podnikání</w:t>
            </w:r>
          </w:p>
        </w:tc>
        <w:tc>
          <w:tcPr>
            <w:tcW w:w="294" w:type="dxa"/>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725" w:type="dxa"/>
            <w:tcBorders>
              <w:top w:val="dotted" w:sz="4" w:space="0" w:color="auto"/>
              <w:left w:val="single" w:sz="4" w:space="0" w:color="auto"/>
              <w:right w:val="single" w:sz="4" w:space="0" w:color="auto"/>
            </w:tcBorders>
            <w:shd w:val="clear" w:color="auto" w:fill="auto"/>
            <w:vAlign w:val="center"/>
          </w:tcPr>
          <w:p w:rsidR="00295566" w:rsidRPr="008B53A9" w:rsidRDefault="000201D0" w:rsidP="00267430">
            <w:pPr>
              <w:pStyle w:val="Tabulka"/>
              <w:jc w:val="left"/>
              <w:rPr>
                <w:rFonts w:cs="Calibri"/>
                <w:lang w:val="cs-CZ" w:eastAsia="cs-CZ"/>
              </w:rPr>
            </w:pPr>
            <w:r w:rsidRPr="008B53A9">
              <w:rPr>
                <w:rFonts w:cs="Calibri"/>
                <w:lang w:val="cs-CZ" w:eastAsia="cs-CZ"/>
              </w:rPr>
              <w:t>SC 3.4 Odstranit a inventarizovat ekologické zátěže</w:t>
            </w:r>
          </w:p>
        </w:tc>
        <w:tc>
          <w:tcPr>
            <w:tcW w:w="3460" w:type="dxa"/>
            <w:tcBorders>
              <w:top w:val="dotted" w:sz="4" w:space="0" w:color="auto"/>
              <w:left w:val="single" w:sz="4" w:space="0" w:color="auto"/>
            </w:tcBorders>
            <w:shd w:val="clear" w:color="auto" w:fill="auto"/>
            <w:vAlign w:val="center"/>
          </w:tcPr>
          <w:p w:rsidR="00295566" w:rsidRPr="008B53A9" w:rsidRDefault="00295566" w:rsidP="007E444D">
            <w:pPr>
              <w:pStyle w:val="Tabulka"/>
              <w:jc w:val="left"/>
              <w:rPr>
                <w:rFonts w:cs="Calibri"/>
                <w:lang w:val="cs-CZ" w:eastAsia="cs-CZ"/>
              </w:rPr>
            </w:pPr>
            <w:r w:rsidRPr="008B53A9">
              <w:rPr>
                <w:rFonts w:cs="Calibri"/>
                <w:lang w:val="cs-CZ" w:eastAsia="cs-CZ"/>
              </w:rPr>
              <w:t>1. Investice do nezemědělských činností</w:t>
            </w:r>
          </w:p>
          <w:p w:rsidR="00295566" w:rsidRPr="008B53A9" w:rsidRDefault="00295566" w:rsidP="007E444D">
            <w:pPr>
              <w:pStyle w:val="Tabulka"/>
              <w:jc w:val="left"/>
              <w:rPr>
                <w:rFonts w:cs="Calibri"/>
                <w:lang w:val="cs-CZ" w:eastAsia="cs-CZ"/>
              </w:rPr>
            </w:pPr>
            <w:r w:rsidRPr="008B53A9">
              <w:rPr>
                <w:rFonts w:cs="Calibri"/>
                <w:lang w:val="cs-CZ" w:eastAsia="cs-CZ"/>
              </w:rPr>
              <w:t xml:space="preserve">2. </w:t>
            </w:r>
            <w:r w:rsidR="00556501" w:rsidRPr="008B53A9">
              <w:rPr>
                <w:rFonts w:cs="Calibri"/>
                <w:lang w:val="cs-CZ" w:eastAsia="cs-CZ"/>
              </w:rPr>
              <w:t>Podpora Agroturistiky</w:t>
            </w:r>
          </w:p>
          <w:p w:rsidR="00295566" w:rsidRPr="008B53A9" w:rsidRDefault="00295566" w:rsidP="007E444D">
            <w:pPr>
              <w:pStyle w:val="Tabulka"/>
              <w:jc w:val="left"/>
              <w:rPr>
                <w:rFonts w:cs="Calibri"/>
                <w:lang w:val="cs-CZ" w:eastAsia="cs-CZ"/>
              </w:rPr>
            </w:pPr>
            <w:r w:rsidRPr="008B53A9">
              <w:rPr>
                <w:rFonts w:cs="Calibri"/>
                <w:lang w:val="cs-CZ" w:eastAsia="cs-CZ"/>
              </w:rPr>
              <w:t>3. Podpora využívání obnovitelných zdrojů energie</w:t>
            </w:r>
          </w:p>
        </w:tc>
      </w:tr>
      <w:tr w:rsidR="00295566" w:rsidRPr="008B53A9">
        <w:tc>
          <w:tcPr>
            <w:tcW w:w="0" w:type="auto"/>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Věcná specifikace (zaměření, aktivity)</w:t>
            </w:r>
          </w:p>
        </w:tc>
        <w:tc>
          <w:tcPr>
            <w:tcW w:w="4159" w:type="dxa"/>
            <w:shd w:val="clear" w:color="auto" w:fill="auto"/>
            <w:vAlign w:val="center"/>
          </w:tcPr>
          <w:p w:rsidR="00295566" w:rsidRPr="008B53A9" w:rsidRDefault="00047773" w:rsidP="00267430">
            <w:pPr>
              <w:pStyle w:val="Tabulka"/>
              <w:jc w:val="left"/>
              <w:rPr>
                <w:rFonts w:cs="Calibri"/>
                <w:lang w:val="cs-CZ" w:eastAsia="cs-CZ"/>
              </w:rPr>
            </w:pPr>
            <w:r w:rsidRPr="008B53A9">
              <w:rPr>
                <w:rFonts w:cs="Calibri"/>
                <w:lang w:val="cs-CZ" w:eastAsia="cs-CZ"/>
              </w:rPr>
              <w:t>R</w:t>
            </w:r>
            <w:r w:rsidR="00BF7E1C" w:rsidRPr="008B53A9">
              <w:rPr>
                <w:rFonts w:cs="Calibri"/>
                <w:lang w:val="cs-CZ" w:eastAsia="cs-CZ"/>
              </w:rPr>
              <w:t>ekonstrukce brownfieldů</w:t>
            </w:r>
            <w:r w:rsidR="00295566" w:rsidRPr="008B53A9">
              <w:rPr>
                <w:rFonts w:cs="Calibri"/>
                <w:lang w:val="cs-CZ" w:eastAsia="cs-CZ"/>
              </w:rPr>
              <w:t xml:space="preserve"> pro průmyslové využití</w:t>
            </w:r>
          </w:p>
        </w:tc>
        <w:tc>
          <w:tcPr>
            <w:tcW w:w="294" w:type="dxa"/>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725" w:type="dxa"/>
            <w:tcBorders>
              <w:right w:val="single" w:sz="4" w:space="0" w:color="auto"/>
            </w:tcBorders>
            <w:shd w:val="clear" w:color="auto" w:fill="auto"/>
            <w:vAlign w:val="center"/>
          </w:tcPr>
          <w:p w:rsidR="00295566" w:rsidRPr="008B53A9" w:rsidRDefault="00D509E4" w:rsidP="00267430">
            <w:pPr>
              <w:pStyle w:val="Tabulka"/>
              <w:jc w:val="left"/>
              <w:rPr>
                <w:rFonts w:cs="Calibri"/>
                <w:lang w:val="cs-CZ" w:eastAsia="cs-CZ"/>
              </w:rPr>
            </w:pPr>
            <w:r w:rsidRPr="008B53A9">
              <w:rPr>
                <w:rFonts w:cs="Calibri"/>
                <w:lang w:val="cs-CZ" w:eastAsia="cs-CZ"/>
              </w:rPr>
              <w:t>Sanace vážně kontaminovaných lokalit (Lokality, u nichž jsou prokázána rizika pro lidské zdraví a ekosystémy)</w:t>
            </w:r>
          </w:p>
        </w:tc>
        <w:tc>
          <w:tcPr>
            <w:tcW w:w="3460" w:type="dxa"/>
            <w:tcBorders>
              <w:left w:val="single" w:sz="4" w:space="0" w:color="auto"/>
            </w:tcBorders>
            <w:shd w:val="clear" w:color="auto" w:fill="auto"/>
            <w:vAlign w:val="center"/>
          </w:tcPr>
          <w:p w:rsidR="00295566" w:rsidRPr="008B53A9" w:rsidRDefault="00556501" w:rsidP="00BF7E1C">
            <w:pPr>
              <w:pStyle w:val="Tabulka"/>
              <w:jc w:val="left"/>
              <w:rPr>
                <w:rFonts w:cs="Calibri"/>
                <w:lang w:val="cs-CZ" w:eastAsia="cs-CZ"/>
              </w:rPr>
            </w:pPr>
            <w:r w:rsidRPr="008B53A9">
              <w:rPr>
                <w:rFonts w:cs="Calibri"/>
                <w:lang w:val="cs-CZ" w:eastAsia="cs-CZ"/>
              </w:rPr>
              <w:t>Preference revitalizace brownfield</w:t>
            </w:r>
            <w:r w:rsidR="00BF7E1C" w:rsidRPr="008B53A9">
              <w:rPr>
                <w:rFonts w:cs="Calibri"/>
                <w:lang w:val="cs-CZ" w:eastAsia="cs-CZ"/>
              </w:rPr>
              <w:t>ů</w:t>
            </w:r>
          </w:p>
        </w:tc>
      </w:tr>
      <w:tr w:rsidR="00295566" w:rsidRPr="008B53A9">
        <w:tc>
          <w:tcPr>
            <w:tcW w:w="0" w:type="auto"/>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Implementační prvky</w:t>
            </w:r>
          </w:p>
        </w:tc>
        <w:tc>
          <w:tcPr>
            <w:tcW w:w="4159" w:type="dxa"/>
            <w:tcBorders>
              <w:bottom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Typy příjemců: Podnikatelské subjekty (malé a střední podniky)</w:t>
            </w:r>
          </w:p>
          <w:p w:rsidR="00295566" w:rsidRPr="008B53A9" w:rsidRDefault="00295566" w:rsidP="00267430">
            <w:pPr>
              <w:pStyle w:val="Tabulka"/>
              <w:jc w:val="left"/>
              <w:rPr>
                <w:rFonts w:cs="Calibri"/>
                <w:lang w:val="cs-CZ" w:eastAsia="cs-CZ"/>
              </w:rPr>
            </w:pPr>
            <w:r w:rsidRPr="008B53A9">
              <w:rPr>
                <w:rFonts w:cs="Calibri"/>
                <w:lang w:val="cs-CZ" w:eastAsia="cs-CZ"/>
              </w:rPr>
              <w:t>Cílové území: Území České republiky, mimo území hl. m. Prahy</w:t>
            </w:r>
          </w:p>
        </w:tc>
        <w:tc>
          <w:tcPr>
            <w:tcW w:w="294" w:type="dxa"/>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725" w:type="dxa"/>
            <w:tcBorders>
              <w:right w:val="single" w:sz="4" w:space="0" w:color="auto"/>
            </w:tcBorders>
            <w:shd w:val="clear" w:color="auto" w:fill="auto"/>
            <w:vAlign w:val="center"/>
          </w:tcPr>
          <w:p w:rsidR="00295566" w:rsidRPr="008B53A9" w:rsidRDefault="00D509E4" w:rsidP="00D509E4">
            <w:pPr>
              <w:pStyle w:val="Tabulka"/>
              <w:jc w:val="left"/>
              <w:rPr>
                <w:rFonts w:cs="Calibri"/>
                <w:lang w:val="cs-CZ" w:eastAsia="cs-CZ"/>
              </w:rPr>
            </w:pPr>
            <w:r w:rsidRPr="008B53A9">
              <w:rPr>
                <w:rFonts w:cs="Calibri"/>
                <w:lang w:val="cs-CZ" w:eastAsia="cs-CZ"/>
              </w:rPr>
              <w:t>Typy příjemců: Veřejné subjekty, soukromé subjekty (obce a města, příspěvkové organizace</w:t>
            </w:r>
            <w:r w:rsidR="004A432E" w:rsidRPr="008B53A9">
              <w:rPr>
                <w:rFonts w:cs="Calibri"/>
                <w:lang w:val="cs-CZ" w:eastAsia="cs-CZ"/>
              </w:rPr>
              <w:t xml:space="preserve"> </w:t>
            </w:r>
            <w:r w:rsidRPr="008B53A9">
              <w:rPr>
                <w:rFonts w:cs="Calibri"/>
                <w:lang w:val="cs-CZ" w:eastAsia="cs-CZ"/>
              </w:rPr>
              <w:t xml:space="preserve">a organizační složky obcí a měst, svazky obcí, příspěvkové organizace a organizační složky krajů, kraje, státní podniky, státní organizace, Česká republika – prostřednictvím organizačních složek státu, příspěvkové organizace – stát, spolky, obecně prospěšné společnosti, ostatní nepodnikatelské subjekty vlastněné z více než 50 % majetku </w:t>
            </w:r>
            <w:r w:rsidRPr="008B53A9">
              <w:rPr>
                <w:rFonts w:cs="Calibri"/>
                <w:lang w:val="cs-CZ" w:eastAsia="cs-CZ"/>
              </w:rPr>
              <w:lastRenderedPageBreak/>
              <w:t>obcemi či jinými veřejnoprávními subjekty, obchodní společnosti a družstva vlastněné z více než 50 % majetku obcemi či jinými veřejnoprávními subjekty, obchodní společnosti a družstva vlastněné z méně než 50 % majetku obcemi či jinými veřejnoprávními subjekty, podnikatelské subjekty – fyzické osoby, fyzické osoby – nepodnikatelé)</w:t>
            </w:r>
          </w:p>
          <w:p w:rsidR="00295566" w:rsidRPr="008B53A9" w:rsidRDefault="00295566" w:rsidP="00670A1C">
            <w:pPr>
              <w:pStyle w:val="Tabulka"/>
              <w:jc w:val="left"/>
              <w:rPr>
                <w:rFonts w:cs="Calibri"/>
                <w:lang w:val="cs-CZ" w:eastAsia="cs-CZ"/>
              </w:rPr>
            </w:pPr>
            <w:r w:rsidRPr="008B53A9">
              <w:rPr>
                <w:rFonts w:cs="Calibri"/>
                <w:lang w:val="cs-CZ" w:eastAsia="cs-CZ"/>
              </w:rPr>
              <w:t>Cílové území: území celé ČR</w:t>
            </w:r>
          </w:p>
        </w:tc>
        <w:tc>
          <w:tcPr>
            <w:tcW w:w="3460" w:type="dxa"/>
            <w:tcBorders>
              <w:lef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lastRenderedPageBreak/>
              <w:t>Typy příjemců: Zemědělský podnikatel</w:t>
            </w:r>
          </w:p>
          <w:p w:rsidR="00295566" w:rsidRPr="008B53A9" w:rsidRDefault="00295566" w:rsidP="00267430">
            <w:pPr>
              <w:pStyle w:val="Tabulka"/>
              <w:jc w:val="left"/>
              <w:rPr>
                <w:rFonts w:cs="Calibri"/>
                <w:lang w:val="cs-CZ" w:eastAsia="cs-CZ"/>
              </w:rPr>
            </w:pPr>
            <w:r w:rsidRPr="008B53A9">
              <w:rPr>
                <w:rFonts w:cs="Calibri"/>
                <w:lang w:val="cs-CZ" w:eastAsia="cs-CZ"/>
              </w:rPr>
              <w:t>Cílové území: území České republiky s výjimkou území hl. města Prahy</w:t>
            </w:r>
          </w:p>
        </w:tc>
      </w:tr>
      <w:tr w:rsidR="00530742" w:rsidRPr="008B53A9">
        <w:tc>
          <w:tcPr>
            <w:tcW w:w="0" w:type="auto"/>
            <w:shd w:val="clear" w:color="auto" w:fill="DBE5F1"/>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lastRenderedPageBreak/>
              <w:t>Synergie/komplementarita</w:t>
            </w:r>
          </w:p>
        </w:tc>
        <w:tc>
          <w:tcPr>
            <w:tcW w:w="4159" w:type="dxa"/>
            <w:tcBorders>
              <w:tr2bl w:val="single" w:sz="4" w:space="0" w:color="auto"/>
            </w:tcBorders>
            <w:shd w:val="clear" w:color="auto" w:fill="auto"/>
            <w:vAlign w:val="center"/>
          </w:tcPr>
          <w:p w:rsidR="00530742" w:rsidRPr="008B53A9" w:rsidRDefault="00530742" w:rsidP="00267430">
            <w:pPr>
              <w:pStyle w:val="Tabulka"/>
              <w:jc w:val="left"/>
              <w:rPr>
                <w:rFonts w:cs="Calibri"/>
                <w:lang w:val="cs-CZ" w:eastAsia="cs-CZ"/>
              </w:rPr>
            </w:pPr>
          </w:p>
        </w:tc>
        <w:tc>
          <w:tcPr>
            <w:tcW w:w="294" w:type="dxa"/>
            <w:tcBorders>
              <w:top w:val="nil"/>
              <w:bottom w:val="nil"/>
            </w:tcBorders>
            <w:shd w:val="clear" w:color="auto" w:fill="auto"/>
            <w:vAlign w:val="center"/>
          </w:tcPr>
          <w:p w:rsidR="00530742" w:rsidRPr="008B53A9" w:rsidRDefault="00530742" w:rsidP="00267430">
            <w:pPr>
              <w:pStyle w:val="Tabulka"/>
              <w:jc w:val="left"/>
              <w:rPr>
                <w:rFonts w:cs="Calibri"/>
                <w:sz w:val="6"/>
                <w:szCs w:val="6"/>
                <w:lang w:val="cs-CZ" w:eastAsia="cs-CZ"/>
              </w:rPr>
            </w:pPr>
          </w:p>
        </w:tc>
        <w:tc>
          <w:tcPr>
            <w:tcW w:w="3725" w:type="dxa"/>
            <w:tcBorders>
              <w:right w:val="single" w:sz="4" w:space="0" w:color="auto"/>
            </w:tcBorders>
            <w:shd w:val="clear" w:color="auto" w:fill="auto"/>
            <w:vAlign w:val="center"/>
          </w:tcPr>
          <w:p w:rsidR="00530742" w:rsidRPr="008B53A9" w:rsidRDefault="00530742" w:rsidP="00D509E4">
            <w:pPr>
              <w:pStyle w:val="Tabulka"/>
              <w:jc w:val="left"/>
              <w:rPr>
                <w:rFonts w:cs="Calibri"/>
                <w:lang w:val="cs-CZ" w:eastAsia="cs-CZ"/>
              </w:rPr>
            </w:pPr>
            <w:r w:rsidRPr="008B53A9">
              <w:rPr>
                <w:rFonts w:cs="Calibri"/>
                <w:lang w:val="cs-CZ" w:eastAsia="cs-CZ"/>
              </w:rPr>
              <w:t>komplementarita</w:t>
            </w:r>
          </w:p>
        </w:tc>
        <w:tc>
          <w:tcPr>
            <w:tcW w:w="3460" w:type="dxa"/>
            <w:tcBorders>
              <w:left w:val="single" w:sz="4" w:space="0" w:color="auto"/>
            </w:tcBorders>
            <w:shd w:val="clear" w:color="auto" w:fill="auto"/>
            <w:vAlign w:val="center"/>
          </w:tcPr>
          <w:p w:rsidR="00530742" w:rsidRPr="008B53A9" w:rsidRDefault="00530742" w:rsidP="00267430">
            <w:pPr>
              <w:pStyle w:val="Tabulka"/>
              <w:jc w:val="left"/>
              <w:rPr>
                <w:rFonts w:cs="Calibri"/>
                <w:lang w:val="cs-CZ" w:eastAsia="cs-CZ"/>
              </w:rPr>
            </w:pPr>
            <w:r w:rsidRPr="008B53A9">
              <w:rPr>
                <w:rFonts w:cs="Calibri"/>
                <w:lang w:val="cs-CZ" w:eastAsia="cs-CZ"/>
              </w:rPr>
              <w:t>komplementarita</w:t>
            </w:r>
          </w:p>
        </w:tc>
      </w:tr>
      <w:tr w:rsidR="00363809" w:rsidRPr="008B53A9">
        <w:tc>
          <w:tcPr>
            <w:tcW w:w="0" w:type="auto"/>
            <w:shd w:val="clear" w:color="auto" w:fill="DBE5F1"/>
            <w:vAlign w:val="center"/>
          </w:tcPr>
          <w:p w:rsidR="00363809" w:rsidRPr="008B53A9" w:rsidRDefault="00363809" w:rsidP="00267430">
            <w:pPr>
              <w:pStyle w:val="Tabulka"/>
              <w:jc w:val="left"/>
              <w:rPr>
                <w:rFonts w:cs="Calibri"/>
                <w:b/>
                <w:lang w:val="cs-CZ" w:eastAsia="cs-CZ"/>
              </w:rPr>
            </w:pPr>
            <w:r w:rsidRPr="008B53A9">
              <w:rPr>
                <w:rFonts w:cs="Calibri"/>
                <w:b/>
                <w:lang w:val="cs-CZ" w:eastAsia="cs-CZ"/>
              </w:rPr>
              <w:t>Mechanismus koordinace</w:t>
            </w:r>
          </w:p>
        </w:tc>
        <w:tc>
          <w:tcPr>
            <w:tcW w:w="0" w:type="auto"/>
            <w:gridSpan w:val="4"/>
            <w:shd w:val="clear" w:color="auto" w:fill="auto"/>
            <w:vAlign w:val="center"/>
          </w:tcPr>
          <w:p w:rsidR="00363809" w:rsidRPr="008B53A9" w:rsidRDefault="00363809" w:rsidP="00267430">
            <w:pPr>
              <w:pStyle w:val="Tabulka"/>
              <w:jc w:val="left"/>
              <w:rPr>
                <w:rFonts w:cs="Calibri"/>
                <w:lang w:val="cs-CZ" w:eastAsia="cs-CZ"/>
              </w:rPr>
            </w:pPr>
            <w:r w:rsidRPr="008B53A9">
              <w:rPr>
                <w:rFonts w:cs="Calibri"/>
                <w:lang w:val="cs-CZ" w:eastAsia="cs-CZ"/>
              </w:rPr>
              <w:t xml:space="preserve">Návrh: </w:t>
            </w:r>
            <w:r w:rsidR="00223250" w:rsidRPr="008B53A9">
              <w:rPr>
                <w:rFonts w:cs="Calibri"/>
                <w:lang w:val="cs-CZ" w:eastAsia="cs-CZ"/>
              </w:rPr>
              <w:t>V</w:t>
            </w:r>
            <w:r w:rsidR="000B426C" w:rsidRPr="008B53A9">
              <w:rPr>
                <w:rFonts w:cs="Calibri"/>
                <w:lang w:val="cs-CZ" w:eastAsia="cs-CZ"/>
              </w:rPr>
              <w:t>zájemná účast zástupců řídích orgánů v pracovních skupinách a platformách ve fázi přípravy i realizace programu, zastoupení na monitorovacím výboru,</w:t>
            </w:r>
            <w:r w:rsidR="00223250" w:rsidRPr="008B53A9">
              <w:rPr>
                <w:rFonts w:cs="Calibri"/>
                <w:lang w:val="cs-CZ" w:eastAsia="cs-CZ"/>
              </w:rPr>
              <w:t xml:space="preserve"> výměna informací o projektech podpořených v OP PŽ a v OP PIK, </w:t>
            </w:r>
            <w:r w:rsidRPr="008B53A9">
              <w:rPr>
                <w:rFonts w:cs="Calibri"/>
                <w:lang w:val="cs-CZ" w:eastAsia="cs-CZ"/>
              </w:rPr>
              <w:t>spolupráce na evaluacích v této oblasti.</w:t>
            </w:r>
          </w:p>
          <w:p w:rsidR="00363809" w:rsidRPr="008B53A9" w:rsidRDefault="00363809" w:rsidP="00267430">
            <w:pPr>
              <w:pStyle w:val="Tabulka"/>
              <w:jc w:val="left"/>
              <w:rPr>
                <w:rFonts w:cs="Calibri"/>
                <w:lang w:val="cs-CZ" w:eastAsia="cs-CZ"/>
              </w:rPr>
            </w:pPr>
          </w:p>
          <w:p w:rsidR="00363809" w:rsidRPr="008B53A9" w:rsidRDefault="00363809" w:rsidP="00223250">
            <w:pPr>
              <w:pStyle w:val="Tabulka"/>
              <w:jc w:val="left"/>
              <w:rPr>
                <w:rFonts w:cs="Calibri"/>
                <w:lang w:val="cs-CZ" w:eastAsia="cs-CZ"/>
              </w:rPr>
            </w:pPr>
            <w:r w:rsidRPr="008B53A9">
              <w:rPr>
                <w:rFonts w:cs="Calibri"/>
                <w:lang w:val="cs-CZ" w:eastAsia="cs-CZ"/>
              </w:rPr>
              <w:t xml:space="preserve">V případě PRV se předpokládá </w:t>
            </w:r>
            <w:r w:rsidR="000B426C" w:rsidRPr="008B53A9">
              <w:rPr>
                <w:rFonts w:cs="Calibri"/>
                <w:lang w:val="cs-CZ" w:eastAsia="cs-CZ"/>
              </w:rPr>
              <w:t>vzájemná účast zástupců řídích orgánů v pracovních skupinách a platformách ve fázi přípravy i realizace programu, zastoupení na monitorovacím výboru,</w:t>
            </w:r>
            <w:r w:rsidR="00B6210A" w:rsidRPr="008B53A9">
              <w:rPr>
                <w:rFonts w:cs="Calibri"/>
                <w:lang w:val="cs-CZ" w:eastAsia="cs-CZ"/>
              </w:rPr>
              <w:t xml:space="preserve"> </w:t>
            </w:r>
            <w:r w:rsidRPr="008B53A9">
              <w:rPr>
                <w:rFonts w:cs="Calibri"/>
                <w:lang w:val="cs-CZ" w:eastAsia="cs-CZ"/>
              </w:rPr>
              <w:t>spolupráce na evaluacích v této oblasti.</w:t>
            </w:r>
          </w:p>
        </w:tc>
      </w:tr>
    </w:tbl>
    <w:p w:rsidR="00896004" w:rsidRPr="008B53A9" w:rsidRDefault="00896004" w:rsidP="0062540E">
      <w:pPr>
        <w:pStyle w:val="Standardntext"/>
      </w:pPr>
    </w:p>
    <w:p w:rsidR="00F004B3" w:rsidRPr="008B53A9" w:rsidRDefault="00F004B3" w:rsidP="005D178C">
      <w:pPr>
        <w:pStyle w:val="Standardntext"/>
        <w:numPr>
          <w:ilvl w:val="0"/>
          <w:numId w:val="95"/>
        </w:numPr>
        <w:rPr>
          <w:b/>
        </w:rPr>
      </w:pPr>
      <w:r w:rsidRPr="008B53A9">
        <w:rPr>
          <w:b/>
        </w:rPr>
        <w:t>Bioplynové stanice</w:t>
      </w:r>
    </w:p>
    <w:p w:rsidR="00270C7E" w:rsidRPr="008B53A9" w:rsidRDefault="00F004B3" w:rsidP="00F004B3">
      <w:pPr>
        <w:pStyle w:val="Standardntext"/>
      </w:pPr>
      <w:r w:rsidRPr="008B53A9">
        <w:t>V této oblasti vykazuje OP PIK komplementární vazbu na</w:t>
      </w:r>
      <w:r w:rsidRPr="008B53A9">
        <w:rPr>
          <w:b/>
        </w:rPr>
        <w:t xml:space="preserve"> OP ŽP </w:t>
      </w:r>
      <w:r w:rsidRPr="008B53A9">
        <w:t xml:space="preserve">a </w:t>
      </w:r>
      <w:r w:rsidRPr="008B53A9">
        <w:rPr>
          <w:b/>
        </w:rPr>
        <w:t>PRV</w:t>
      </w:r>
      <w:r w:rsidRPr="008B53A9">
        <w:t>. V OP PIK nebude podporována výstavba nových bioplynových stanic; předmětem podpory bude pouze využití užitečného tepla ze stávajících bioplynových stanic. OP ŽP se na rozdíl od OP PIK zaměřuje na výstavbu nových bioplynových stanic v souvislosti s využitím odpadu. OP ŽP by mělo v rámci této intervence současně podporovat také maximálně efektivní využití tepla. Smyslem je minimalizace administrativní zátěže na straně žadatele tím, že obě tyto činnosti (výstavba a využití tepla) budou podpořeny v rámci jednoho operačního programu (tj</w:t>
      </w:r>
      <w:r w:rsidR="00270C7E" w:rsidRPr="008B53A9">
        <w:t>. jednoho projektového záměru).</w:t>
      </w:r>
    </w:p>
    <w:p w:rsidR="00F004B3" w:rsidRPr="008B53A9" w:rsidRDefault="00F004B3" w:rsidP="00F004B3">
      <w:pPr>
        <w:pStyle w:val="Standardntext"/>
        <w:rPr>
          <w:b/>
        </w:rPr>
      </w:pPr>
      <w:r w:rsidRPr="008B53A9">
        <w:t>V PRV bude podporována výstavba koncových zemědělských staveb pro využití tepla (skleník, porodna, apod.) a výstavba zemědělských bioplynových stanic.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3084"/>
        <w:gridCol w:w="222"/>
        <w:gridCol w:w="4109"/>
        <w:gridCol w:w="4109"/>
      </w:tblGrid>
      <w:tr w:rsidR="00295566" w:rsidRPr="008B53A9">
        <w:trPr>
          <w:trHeight w:val="233"/>
        </w:trPr>
        <w:tc>
          <w:tcPr>
            <w:tcW w:w="0" w:type="auto"/>
            <w:shd w:val="clear" w:color="auto" w:fill="739BCB"/>
            <w:vAlign w:val="center"/>
          </w:tcPr>
          <w:p w:rsidR="00295566" w:rsidRPr="008B53A9" w:rsidRDefault="00295566" w:rsidP="00C92215">
            <w:pPr>
              <w:pStyle w:val="Tabulka"/>
              <w:keepNext/>
              <w:keepLines/>
              <w:jc w:val="left"/>
              <w:rPr>
                <w:rFonts w:cs="Calibri"/>
                <w:b/>
                <w:i/>
                <w:lang w:val="cs-CZ" w:eastAsia="cs-CZ"/>
              </w:rPr>
            </w:pPr>
            <w:r w:rsidRPr="008B53A9">
              <w:rPr>
                <w:rFonts w:cs="Calibri"/>
                <w:b/>
                <w:color w:val="FFFFFF"/>
                <w:lang w:val="cs-CZ" w:eastAsia="cs-CZ"/>
              </w:rPr>
              <w:lastRenderedPageBreak/>
              <w:t>Bioplynové stanice</w:t>
            </w:r>
          </w:p>
        </w:tc>
        <w:tc>
          <w:tcPr>
            <w:tcW w:w="0" w:type="auto"/>
            <w:tcBorders>
              <w:bottom w:val="single" w:sz="4" w:space="0" w:color="000000"/>
            </w:tcBorders>
            <w:shd w:val="clear" w:color="auto" w:fill="B8CCE4"/>
            <w:vAlign w:val="center"/>
          </w:tcPr>
          <w:p w:rsidR="00295566" w:rsidRPr="008B53A9" w:rsidRDefault="00295566" w:rsidP="00C92215">
            <w:pPr>
              <w:pStyle w:val="Tabulka"/>
              <w:keepNext/>
              <w:keepLines/>
              <w:rPr>
                <w:rFonts w:cs="Calibri"/>
                <w:b/>
                <w:lang w:val="cs-CZ" w:eastAsia="cs-CZ"/>
              </w:rPr>
            </w:pPr>
            <w:r w:rsidRPr="008B53A9">
              <w:rPr>
                <w:rFonts w:cs="Calibri"/>
                <w:b/>
                <w:lang w:val="cs-CZ" w:eastAsia="cs-CZ"/>
              </w:rPr>
              <w:t>OP PIK</w:t>
            </w:r>
          </w:p>
        </w:tc>
        <w:tc>
          <w:tcPr>
            <w:tcW w:w="0" w:type="auto"/>
            <w:tcBorders>
              <w:top w:val="nil"/>
              <w:bottom w:val="nil"/>
            </w:tcBorders>
            <w:shd w:val="clear" w:color="auto" w:fill="auto"/>
            <w:vAlign w:val="center"/>
          </w:tcPr>
          <w:p w:rsidR="00295566" w:rsidRPr="008B53A9" w:rsidRDefault="00295566" w:rsidP="00C92215">
            <w:pPr>
              <w:pStyle w:val="Tabulka"/>
              <w:keepNext/>
              <w:keepLines/>
              <w:rPr>
                <w:rFonts w:cs="Calibri"/>
                <w:b/>
                <w:sz w:val="6"/>
                <w:szCs w:val="6"/>
                <w:lang w:val="cs-CZ" w:eastAsia="cs-CZ"/>
              </w:rPr>
            </w:pPr>
          </w:p>
        </w:tc>
        <w:tc>
          <w:tcPr>
            <w:tcW w:w="4109" w:type="dxa"/>
            <w:tcBorders>
              <w:bottom w:val="single" w:sz="4" w:space="0" w:color="000000"/>
              <w:right w:val="single" w:sz="4" w:space="0" w:color="auto"/>
            </w:tcBorders>
            <w:shd w:val="clear" w:color="auto" w:fill="B8CCE4"/>
            <w:vAlign w:val="center"/>
          </w:tcPr>
          <w:p w:rsidR="00295566" w:rsidRPr="008B53A9" w:rsidRDefault="00295566" w:rsidP="00C92215">
            <w:pPr>
              <w:pStyle w:val="Tabulka"/>
              <w:keepNext/>
              <w:keepLines/>
              <w:rPr>
                <w:rFonts w:cs="Calibri"/>
                <w:b/>
                <w:lang w:val="cs-CZ" w:eastAsia="cs-CZ"/>
              </w:rPr>
            </w:pPr>
            <w:r w:rsidRPr="008B53A9">
              <w:rPr>
                <w:rFonts w:cs="Calibri"/>
                <w:b/>
                <w:lang w:val="cs-CZ" w:eastAsia="cs-CZ"/>
              </w:rPr>
              <w:t>OP ŽP</w:t>
            </w:r>
          </w:p>
        </w:tc>
        <w:tc>
          <w:tcPr>
            <w:tcW w:w="4109" w:type="dxa"/>
            <w:tcBorders>
              <w:left w:val="single" w:sz="4" w:space="0" w:color="auto"/>
              <w:bottom w:val="single" w:sz="4" w:space="0" w:color="000000"/>
            </w:tcBorders>
            <w:shd w:val="clear" w:color="auto" w:fill="B8CCE4"/>
          </w:tcPr>
          <w:p w:rsidR="00295566" w:rsidRPr="008B53A9" w:rsidRDefault="00295566" w:rsidP="00C92215">
            <w:pPr>
              <w:pStyle w:val="Tabulka"/>
              <w:keepNext/>
              <w:keepLines/>
              <w:rPr>
                <w:rFonts w:cs="Calibri"/>
                <w:b/>
                <w:lang w:val="cs-CZ" w:eastAsia="cs-CZ"/>
              </w:rPr>
            </w:pPr>
            <w:r w:rsidRPr="008B53A9">
              <w:rPr>
                <w:rFonts w:cs="Calibri"/>
                <w:b/>
                <w:lang w:val="cs-CZ" w:eastAsia="cs-CZ"/>
              </w:rPr>
              <w:t>PRV</w:t>
            </w:r>
          </w:p>
        </w:tc>
      </w:tr>
      <w:tr w:rsidR="00295566" w:rsidRPr="008B53A9">
        <w:trPr>
          <w:trHeight w:val="1234"/>
        </w:trPr>
        <w:tc>
          <w:tcPr>
            <w:tcW w:w="0" w:type="auto"/>
            <w:vMerge w:val="restart"/>
            <w:shd w:val="clear" w:color="auto" w:fill="DBE5F1"/>
            <w:vAlign w:val="center"/>
          </w:tcPr>
          <w:p w:rsidR="00295566" w:rsidRPr="008B53A9" w:rsidRDefault="00295566" w:rsidP="00C92215">
            <w:pPr>
              <w:pStyle w:val="Tabulka"/>
              <w:jc w:val="left"/>
              <w:rPr>
                <w:rFonts w:cs="Calibri"/>
                <w:b/>
                <w:lang w:val="cs-CZ" w:eastAsia="cs-CZ"/>
              </w:rPr>
            </w:pPr>
            <w:r w:rsidRPr="008B53A9">
              <w:rPr>
                <w:rFonts w:cs="Calibri"/>
                <w:b/>
                <w:lang w:val="cs-CZ" w:eastAsia="cs-CZ"/>
              </w:rPr>
              <w:t>Tematický cíl / investiční priorita</w:t>
            </w:r>
          </w:p>
        </w:tc>
        <w:tc>
          <w:tcPr>
            <w:tcW w:w="0" w:type="auto"/>
            <w:vMerge w:val="restart"/>
            <w:tcBorders>
              <w:right w:val="single" w:sz="4" w:space="0" w:color="auto"/>
            </w:tcBorders>
            <w:shd w:val="clear" w:color="auto" w:fill="auto"/>
            <w:vAlign w:val="center"/>
          </w:tcPr>
          <w:p w:rsidR="00295566" w:rsidRPr="008B53A9" w:rsidRDefault="00295566" w:rsidP="00E1414C">
            <w:pPr>
              <w:pStyle w:val="Tabulka"/>
              <w:jc w:val="left"/>
              <w:rPr>
                <w:rFonts w:cs="Calibri"/>
                <w:lang w:val="cs-CZ" w:eastAsia="cs-CZ"/>
              </w:rPr>
            </w:pPr>
            <w:r w:rsidRPr="008B53A9">
              <w:rPr>
                <w:rFonts w:cs="Calibri"/>
                <w:lang w:val="cs-CZ" w:eastAsia="cs-CZ"/>
              </w:rPr>
              <w:t>TC 4 / 4 a)</w:t>
            </w:r>
          </w:p>
        </w:tc>
        <w:tc>
          <w:tcPr>
            <w:tcW w:w="0" w:type="auto"/>
            <w:vMerge w:val="restart"/>
            <w:tcBorders>
              <w:top w:val="nil"/>
              <w:left w:val="single" w:sz="4" w:space="0" w:color="auto"/>
              <w:bottom w:val="nil"/>
              <w:right w:val="single" w:sz="4" w:space="0" w:color="auto"/>
            </w:tcBorders>
            <w:shd w:val="clear" w:color="auto" w:fill="auto"/>
            <w:vAlign w:val="center"/>
          </w:tcPr>
          <w:p w:rsidR="00295566" w:rsidRPr="008B53A9" w:rsidRDefault="00295566" w:rsidP="00C92215">
            <w:pPr>
              <w:pStyle w:val="Tabulka"/>
              <w:jc w:val="left"/>
              <w:rPr>
                <w:rFonts w:cs="Calibri"/>
                <w:sz w:val="6"/>
                <w:szCs w:val="6"/>
                <w:lang w:val="cs-CZ" w:eastAsia="cs-CZ"/>
              </w:rPr>
            </w:pPr>
          </w:p>
        </w:tc>
        <w:tc>
          <w:tcPr>
            <w:tcW w:w="4109" w:type="dxa"/>
            <w:vMerge w:val="restart"/>
            <w:tcBorders>
              <w:left w:val="single" w:sz="4" w:space="0" w:color="auto"/>
              <w:right w:val="single" w:sz="4" w:space="0" w:color="auto"/>
            </w:tcBorders>
            <w:shd w:val="clear" w:color="auto" w:fill="auto"/>
            <w:vAlign w:val="center"/>
          </w:tcPr>
          <w:p w:rsidR="00295566" w:rsidRPr="008B53A9" w:rsidRDefault="00295566" w:rsidP="00E1414C">
            <w:pPr>
              <w:pStyle w:val="Tabulka"/>
              <w:jc w:val="left"/>
              <w:rPr>
                <w:rFonts w:cs="Calibri"/>
                <w:lang w:val="cs-CZ" w:eastAsia="cs-CZ"/>
              </w:rPr>
            </w:pPr>
            <w:r w:rsidRPr="008B53A9">
              <w:rPr>
                <w:rFonts w:cs="Calibri"/>
                <w:lang w:val="cs-CZ" w:eastAsia="cs-CZ"/>
              </w:rPr>
              <w:t>TC 6 / 6 a)</w:t>
            </w:r>
          </w:p>
        </w:tc>
        <w:tc>
          <w:tcPr>
            <w:tcW w:w="4109" w:type="dxa"/>
            <w:vMerge w:val="restart"/>
            <w:tcBorders>
              <w:left w:val="single" w:sz="4" w:space="0" w:color="auto"/>
            </w:tcBorders>
            <w:shd w:val="clear" w:color="auto" w:fill="auto"/>
            <w:vAlign w:val="center"/>
          </w:tcPr>
          <w:p w:rsidR="00295566" w:rsidRPr="008B53A9" w:rsidRDefault="00295566" w:rsidP="00C92215">
            <w:pPr>
              <w:pStyle w:val="Tabulka"/>
              <w:jc w:val="left"/>
              <w:rPr>
                <w:rFonts w:cs="Calibri"/>
                <w:lang w:val="cs-CZ" w:eastAsia="cs-CZ"/>
              </w:rPr>
            </w:pPr>
            <w:r w:rsidRPr="008B53A9">
              <w:rPr>
                <w:rFonts w:cs="Calibri"/>
                <w:lang w:val="cs-CZ" w:eastAsia="cs-CZ"/>
              </w:rPr>
              <w:t>TC 6 / IP 5</w:t>
            </w:r>
          </w:p>
        </w:tc>
      </w:tr>
      <w:tr w:rsidR="00295566" w:rsidRPr="008B53A9">
        <w:trPr>
          <w:trHeight w:val="396"/>
        </w:trPr>
        <w:tc>
          <w:tcPr>
            <w:tcW w:w="0" w:type="auto"/>
            <w:vMerge/>
            <w:tcBorders>
              <w:bottom w:val="dotted" w:sz="4" w:space="0" w:color="auto"/>
            </w:tcBorders>
            <w:shd w:val="clear" w:color="auto" w:fill="DBE5F1"/>
            <w:vAlign w:val="center"/>
          </w:tcPr>
          <w:p w:rsidR="00295566" w:rsidRPr="008B53A9" w:rsidRDefault="00295566" w:rsidP="00C92215">
            <w:pPr>
              <w:pStyle w:val="Tabulka"/>
              <w:jc w:val="left"/>
              <w:rPr>
                <w:rFonts w:cs="Calibri"/>
                <w:lang w:val="cs-CZ" w:eastAsia="cs-CZ"/>
              </w:rPr>
            </w:pPr>
          </w:p>
        </w:tc>
        <w:tc>
          <w:tcPr>
            <w:tcW w:w="0" w:type="auto"/>
            <w:vMerge/>
            <w:tcBorders>
              <w:bottom w:val="dotted" w:sz="4" w:space="0" w:color="auto"/>
              <w:right w:val="single" w:sz="4" w:space="0" w:color="auto"/>
            </w:tcBorders>
            <w:shd w:val="clear" w:color="auto" w:fill="auto"/>
            <w:vAlign w:val="center"/>
          </w:tcPr>
          <w:p w:rsidR="00295566" w:rsidRPr="008B53A9" w:rsidRDefault="00295566" w:rsidP="00C92215">
            <w:pPr>
              <w:pStyle w:val="Tabulka"/>
              <w:jc w:val="left"/>
              <w:rPr>
                <w:rFonts w:cs="Calibri"/>
                <w:lang w:val="cs-CZ" w:eastAsia="cs-CZ"/>
              </w:rPr>
            </w:pPr>
          </w:p>
        </w:tc>
        <w:tc>
          <w:tcPr>
            <w:tcW w:w="0" w:type="auto"/>
            <w:vMerge/>
            <w:tcBorders>
              <w:top w:val="nil"/>
              <w:left w:val="single" w:sz="4" w:space="0" w:color="auto"/>
              <w:bottom w:val="nil"/>
              <w:right w:val="single" w:sz="4" w:space="0" w:color="auto"/>
            </w:tcBorders>
            <w:shd w:val="clear" w:color="auto" w:fill="auto"/>
            <w:vAlign w:val="center"/>
          </w:tcPr>
          <w:p w:rsidR="00295566" w:rsidRPr="008B53A9" w:rsidRDefault="00295566" w:rsidP="00C92215">
            <w:pPr>
              <w:pStyle w:val="Tabulka"/>
              <w:jc w:val="left"/>
              <w:rPr>
                <w:rFonts w:cs="Calibri"/>
                <w:sz w:val="6"/>
                <w:szCs w:val="6"/>
                <w:lang w:val="cs-CZ" w:eastAsia="cs-CZ"/>
              </w:rPr>
            </w:pPr>
          </w:p>
        </w:tc>
        <w:tc>
          <w:tcPr>
            <w:tcW w:w="4109" w:type="dxa"/>
            <w:vMerge/>
            <w:tcBorders>
              <w:left w:val="single" w:sz="4" w:space="0" w:color="auto"/>
              <w:bottom w:val="dotted" w:sz="4" w:space="0" w:color="auto"/>
              <w:right w:val="single" w:sz="4" w:space="0" w:color="auto"/>
            </w:tcBorders>
            <w:shd w:val="clear" w:color="auto" w:fill="auto"/>
            <w:vAlign w:val="center"/>
          </w:tcPr>
          <w:p w:rsidR="00295566" w:rsidRPr="008B53A9" w:rsidRDefault="00295566" w:rsidP="00C92215">
            <w:pPr>
              <w:pStyle w:val="Tabulka"/>
              <w:jc w:val="left"/>
              <w:rPr>
                <w:rFonts w:cs="Calibri"/>
                <w:lang w:val="cs-CZ" w:eastAsia="cs-CZ"/>
              </w:rPr>
            </w:pPr>
          </w:p>
        </w:tc>
        <w:tc>
          <w:tcPr>
            <w:tcW w:w="4109" w:type="dxa"/>
            <w:vMerge/>
            <w:tcBorders>
              <w:left w:val="single" w:sz="4" w:space="0" w:color="auto"/>
              <w:bottom w:val="dotted" w:sz="4" w:space="0" w:color="auto"/>
            </w:tcBorders>
            <w:shd w:val="clear" w:color="auto" w:fill="auto"/>
            <w:vAlign w:val="center"/>
          </w:tcPr>
          <w:p w:rsidR="00295566" w:rsidRPr="008B53A9" w:rsidRDefault="00295566" w:rsidP="00C92215">
            <w:pPr>
              <w:pStyle w:val="Tabulka"/>
              <w:jc w:val="left"/>
              <w:rPr>
                <w:rFonts w:cs="Calibri"/>
                <w:i/>
                <w:lang w:val="cs-CZ" w:eastAsia="cs-CZ"/>
              </w:rPr>
            </w:pPr>
          </w:p>
        </w:tc>
      </w:tr>
      <w:tr w:rsidR="00295566" w:rsidRPr="008B53A9">
        <w:trPr>
          <w:trHeight w:val="212"/>
        </w:trPr>
        <w:tc>
          <w:tcPr>
            <w:tcW w:w="0" w:type="auto"/>
            <w:tcBorders>
              <w:top w:val="dotted" w:sz="4" w:space="0" w:color="auto"/>
              <w:bottom w:val="dotted" w:sz="4" w:space="0" w:color="auto"/>
            </w:tcBorders>
            <w:shd w:val="clear" w:color="auto" w:fill="DBE5F1"/>
            <w:vAlign w:val="center"/>
          </w:tcPr>
          <w:p w:rsidR="00295566" w:rsidRPr="008B53A9" w:rsidRDefault="00295566" w:rsidP="00C92215">
            <w:pPr>
              <w:pStyle w:val="Tabulka"/>
              <w:jc w:val="left"/>
              <w:rPr>
                <w:rFonts w:cs="Calibri"/>
                <w:b/>
                <w:lang w:val="cs-CZ" w:eastAsia="cs-CZ"/>
              </w:rPr>
            </w:pPr>
            <w:r w:rsidRPr="008B53A9">
              <w:rPr>
                <w:rFonts w:cs="Calibri"/>
                <w:b/>
                <w:lang w:val="cs-CZ" w:eastAsia="cs-CZ"/>
              </w:rPr>
              <w:t>Prioritní osa</w:t>
            </w:r>
          </w:p>
        </w:tc>
        <w:tc>
          <w:tcPr>
            <w:tcW w:w="0" w:type="auto"/>
            <w:tcBorders>
              <w:top w:val="dotted" w:sz="4" w:space="0" w:color="auto"/>
              <w:bottom w:val="dotted" w:sz="4" w:space="0" w:color="auto"/>
              <w:right w:val="single" w:sz="4" w:space="0" w:color="auto"/>
            </w:tcBorders>
            <w:shd w:val="clear" w:color="auto" w:fill="auto"/>
            <w:vAlign w:val="center"/>
          </w:tcPr>
          <w:p w:rsidR="00295566" w:rsidRPr="008B53A9" w:rsidRDefault="00295566" w:rsidP="00C92215">
            <w:pPr>
              <w:pStyle w:val="Tabulka"/>
              <w:jc w:val="left"/>
              <w:rPr>
                <w:rFonts w:cs="Calibri"/>
                <w:lang w:val="cs-CZ" w:eastAsia="cs-CZ"/>
              </w:rPr>
            </w:pPr>
            <w:r w:rsidRPr="008B53A9">
              <w:rPr>
                <w:rFonts w:cs="Calibri"/>
                <w:lang w:val="cs-CZ" w:eastAsia="cs-CZ"/>
              </w:rPr>
              <w:t>PO 3: Účinné nakládání energií, rozvoj energetické infrastruktury a obnovitelných zdrojů energie, podpora zavádění nových technologií v oblasti nakládání energií a druhotných surovin</w:t>
            </w:r>
          </w:p>
        </w:tc>
        <w:tc>
          <w:tcPr>
            <w:tcW w:w="0" w:type="auto"/>
            <w:tcBorders>
              <w:top w:val="nil"/>
              <w:left w:val="single" w:sz="4" w:space="0" w:color="auto"/>
              <w:bottom w:val="nil"/>
              <w:right w:val="single" w:sz="4" w:space="0" w:color="auto"/>
            </w:tcBorders>
            <w:shd w:val="clear" w:color="auto" w:fill="auto"/>
            <w:vAlign w:val="center"/>
          </w:tcPr>
          <w:p w:rsidR="00295566" w:rsidRPr="008B53A9" w:rsidRDefault="00295566" w:rsidP="00C92215">
            <w:pPr>
              <w:pStyle w:val="Tabulka"/>
              <w:jc w:val="left"/>
              <w:rPr>
                <w:rFonts w:cs="Calibri"/>
                <w:sz w:val="6"/>
                <w:szCs w:val="6"/>
                <w:lang w:val="cs-CZ" w:eastAsia="cs-CZ"/>
              </w:rPr>
            </w:pPr>
          </w:p>
        </w:tc>
        <w:tc>
          <w:tcPr>
            <w:tcW w:w="4109" w:type="dxa"/>
            <w:tcBorders>
              <w:top w:val="dotted" w:sz="4" w:space="0" w:color="auto"/>
              <w:left w:val="single" w:sz="4" w:space="0" w:color="auto"/>
              <w:bottom w:val="dotted" w:sz="4" w:space="0" w:color="auto"/>
              <w:right w:val="single" w:sz="4" w:space="0" w:color="auto"/>
            </w:tcBorders>
            <w:shd w:val="clear" w:color="auto" w:fill="auto"/>
            <w:vAlign w:val="center"/>
          </w:tcPr>
          <w:p w:rsidR="00295566" w:rsidRPr="008B53A9" w:rsidRDefault="00295566" w:rsidP="00C92215">
            <w:pPr>
              <w:pStyle w:val="Tabulka"/>
              <w:jc w:val="left"/>
              <w:rPr>
                <w:rFonts w:cs="Calibri"/>
                <w:lang w:val="cs-CZ" w:eastAsia="cs-CZ"/>
              </w:rPr>
            </w:pPr>
            <w:r w:rsidRPr="008B53A9">
              <w:rPr>
                <w:rFonts w:cs="Calibri"/>
                <w:lang w:val="cs-CZ" w:eastAsia="cs-CZ"/>
              </w:rPr>
              <w:t>PO 3: Odpady a materiálové toky, ekologické zátěže a rizika</w:t>
            </w:r>
          </w:p>
        </w:tc>
        <w:tc>
          <w:tcPr>
            <w:tcW w:w="4109" w:type="dxa"/>
            <w:tcBorders>
              <w:top w:val="dotted" w:sz="4" w:space="0" w:color="auto"/>
              <w:left w:val="single" w:sz="4" w:space="0" w:color="auto"/>
              <w:bottom w:val="dotted" w:sz="4" w:space="0" w:color="auto"/>
            </w:tcBorders>
            <w:shd w:val="clear" w:color="auto" w:fill="auto"/>
            <w:vAlign w:val="center"/>
          </w:tcPr>
          <w:p w:rsidR="00295566" w:rsidRPr="008B53A9" w:rsidRDefault="00295566" w:rsidP="00C92215">
            <w:pPr>
              <w:pStyle w:val="Tabulka"/>
              <w:jc w:val="left"/>
              <w:rPr>
                <w:rFonts w:cs="Calibri"/>
                <w:lang w:val="cs-CZ" w:eastAsia="cs-CZ"/>
              </w:rPr>
            </w:pPr>
            <w:r w:rsidRPr="008B53A9">
              <w:rPr>
                <w:rFonts w:cs="Calibri"/>
                <w:lang w:val="cs-CZ" w:eastAsia="cs-CZ"/>
              </w:rPr>
              <w:t>4.1 Investice do hmotného majetku</w:t>
            </w:r>
          </w:p>
        </w:tc>
      </w:tr>
      <w:tr w:rsidR="00295566" w:rsidRPr="008B53A9">
        <w:tc>
          <w:tcPr>
            <w:tcW w:w="0" w:type="auto"/>
            <w:tcBorders>
              <w:top w:val="dotted" w:sz="4" w:space="0" w:color="auto"/>
            </w:tcBorders>
            <w:shd w:val="clear" w:color="auto" w:fill="DBE5F1"/>
            <w:vAlign w:val="center"/>
          </w:tcPr>
          <w:p w:rsidR="00295566" w:rsidRPr="008B53A9" w:rsidRDefault="00295566" w:rsidP="00C92215">
            <w:pPr>
              <w:pStyle w:val="Tabulka"/>
              <w:jc w:val="left"/>
              <w:rPr>
                <w:rFonts w:cs="Calibri"/>
                <w:b/>
                <w:lang w:val="cs-CZ" w:eastAsia="cs-CZ"/>
              </w:rPr>
            </w:pPr>
            <w:r w:rsidRPr="008B53A9">
              <w:rPr>
                <w:rFonts w:cs="Calibri"/>
                <w:b/>
                <w:lang w:val="cs-CZ" w:eastAsia="cs-CZ"/>
              </w:rPr>
              <w:t>Specifický cíl</w:t>
            </w:r>
          </w:p>
        </w:tc>
        <w:tc>
          <w:tcPr>
            <w:tcW w:w="0" w:type="auto"/>
            <w:tcBorders>
              <w:top w:val="dotted" w:sz="4" w:space="0" w:color="auto"/>
              <w:right w:val="single" w:sz="4" w:space="0" w:color="auto"/>
            </w:tcBorders>
            <w:shd w:val="clear" w:color="auto" w:fill="auto"/>
            <w:vAlign w:val="center"/>
          </w:tcPr>
          <w:p w:rsidR="00295566" w:rsidRPr="008B53A9" w:rsidRDefault="00295566" w:rsidP="00C92215">
            <w:pPr>
              <w:pStyle w:val="Tabulka"/>
              <w:jc w:val="left"/>
              <w:rPr>
                <w:rFonts w:cs="Calibri"/>
                <w:lang w:val="cs-CZ" w:eastAsia="cs-CZ"/>
              </w:rPr>
            </w:pPr>
            <w:r w:rsidRPr="008B53A9">
              <w:rPr>
                <w:rFonts w:cs="Calibri"/>
                <w:lang w:val="cs-CZ" w:eastAsia="cs-CZ"/>
              </w:rPr>
              <w:t>SC 3.1: Zvýšit podíl výroby energie z obnovitelných zdrojů na hrubé konečné spotřebě ČR</w:t>
            </w:r>
          </w:p>
        </w:tc>
        <w:tc>
          <w:tcPr>
            <w:tcW w:w="0" w:type="auto"/>
            <w:tcBorders>
              <w:top w:val="nil"/>
              <w:left w:val="single" w:sz="4" w:space="0" w:color="auto"/>
              <w:bottom w:val="nil"/>
              <w:right w:val="single" w:sz="4" w:space="0" w:color="auto"/>
            </w:tcBorders>
            <w:shd w:val="clear" w:color="auto" w:fill="auto"/>
            <w:vAlign w:val="center"/>
          </w:tcPr>
          <w:p w:rsidR="00295566" w:rsidRPr="008B53A9" w:rsidRDefault="00295566" w:rsidP="00C92215">
            <w:pPr>
              <w:pStyle w:val="Tabulka"/>
              <w:jc w:val="left"/>
              <w:rPr>
                <w:rFonts w:cs="Calibri"/>
                <w:sz w:val="6"/>
                <w:szCs w:val="6"/>
                <w:lang w:val="cs-CZ" w:eastAsia="cs-CZ"/>
              </w:rPr>
            </w:pPr>
          </w:p>
        </w:tc>
        <w:tc>
          <w:tcPr>
            <w:tcW w:w="4109" w:type="dxa"/>
            <w:tcBorders>
              <w:top w:val="dotted" w:sz="4" w:space="0" w:color="auto"/>
              <w:left w:val="single" w:sz="4" w:space="0" w:color="auto"/>
              <w:right w:val="single" w:sz="4" w:space="0" w:color="auto"/>
            </w:tcBorders>
            <w:shd w:val="clear" w:color="auto" w:fill="auto"/>
            <w:vAlign w:val="center"/>
          </w:tcPr>
          <w:p w:rsidR="00295566" w:rsidRPr="008B53A9" w:rsidRDefault="00295566" w:rsidP="006531D2">
            <w:pPr>
              <w:pStyle w:val="Tabulka"/>
              <w:jc w:val="left"/>
              <w:rPr>
                <w:rFonts w:cs="Calibri"/>
                <w:lang w:val="cs-CZ" w:eastAsia="cs-CZ"/>
              </w:rPr>
            </w:pPr>
            <w:r w:rsidRPr="008B53A9">
              <w:rPr>
                <w:rFonts w:cs="Calibri"/>
                <w:lang w:val="cs-CZ" w:eastAsia="cs-CZ"/>
              </w:rPr>
              <w:t xml:space="preserve">SC 3.2: </w:t>
            </w:r>
            <w:r w:rsidR="006531D2" w:rsidRPr="008B53A9">
              <w:rPr>
                <w:rFonts w:cs="Calibri"/>
                <w:lang w:val="cs-CZ" w:eastAsia="cs-CZ"/>
              </w:rPr>
              <w:t>Zvýšit podíl materiálového a energetické využití odpadů</w:t>
            </w:r>
          </w:p>
        </w:tc>
        <w:tc>
          <w:tcPr>
            <w:tcW w:w="4109" w:type="dxa"/>
            <w:tcBorders>
              <w:top w:val="dotted" w:sz="4" w:space="0" w:color="auto"/>
              <w:left w:val="single" w:sz="4" w:space="0" w:color="auto"/>
            </w:tcBorders>
            <w:shd w:val="clear" w:color="auto" w:fill="auto"/>
            <w:vAlign w:val="center"/>
          </w:tcPr>
          <w:p w:rsidR="00295566" w:rsidRPr="008B53A9" w:rsidRDefault="00295566" w:rsidP="00C92215">
            <w:pPr>
              <w:pStyle w:val="Tabulka"/>
              <w:jc w:val="left"/>
              <w:rPr>
                <w:rFonts w:cs="Calibri"/>
                <w:lang w:val="cs-CZ" w:eastAsia="cs-CZ"/>
              </w:rPr>
            </w:pPr>
            <w:r w:rsidRPr="008B53A9">
              <w:rPr>
                <w:rFonts w:cs="Calibri"/>
                <w:lang w:val="cs-CZ" w:eastAsia="cs-CZ"/>
              </w:rPr>
              <w:t>1. Investice do zemědělských podniků</w:t>
            </w:r>
          </w:p>
        </w:tc>
      </w:tr>
      <w:tr w:rsidR="00295566" w:rsidRPr="008B53A9">
        <w:tc>
          <w:tcPr>
            <w:tcW w:w="0" w:type="auto"/>
            <w:shd w:val="clear" w:color="auto" w:fill="DBE5F1"/>
            <w:vAlign w:val="center"/>
          </w:tcPr>
          <w:p w:rsidR="00295566" w:rsidRPr="008B53A9" w:rsidRDefault="00295566" w:rsidP="00C92215">
            <w:pPr>
              <w:pStyle w:val="Tabulka"/>
              <w:jc w:val="left"/>
              <w:rPr>
                <w:rFonts w:cs="Calibri"/>
                <w:b/>
                <w:lang w:val="cs-CZ" w:eastAsia="cs-CZ"/>
              </w:rPr>
            </w:pPr>
            <w:r w:rsidRPr="008B53A9">
              <w:rPr>
                <w:rFonts w:cs="Calibri"/>
                <w:b/>
                <w:lang w:val="cs-CZ" w:eastAsia="cs-CZ"/>
              </w:rPr>
              <w:t>Věcná specifikace (zaměření, aktivity)</w:t>
            </w:r>
          </w:p>
        </w:tc>
        <w:tc>
          <w:tcPr>
            <w:tcW w:w="0" w:type="auto"/>
            <w:shd w:val="clear" w:color="auto" w:fill="auto"/>
            <w:vAlign w:val="center"/>
          </w:tcPr>
          <w:p w:rsidR="00295566" w:rsidRPr="008B53A9" w:rsidRDefault="00047773" w:rsidP="006531D2">
            <w:pPr>
              <w:pStyle w:val="Tabulka"/>
              <w:jc w:val="left"/>
              <w:rPr>
                <w:rFonts w:cs="Calibri"/>
                <w:lang w:val="cs-CZ" w:eastAsia="cs-CZ"/>
              </w:rPr>
            </w:pPr>
            <w:r w:rsidRPr="008B53A9">
              <w:rPr>
                <w:rFonts w:cs="Calibri"/>
                <w:lang w:val="cs-CZ" w:eastAsia="cs-CZ"/>
              </w:rPr>
              <w:t>V</w:t>
            </w:r>
            <w:r w:rsidR="00295566" w:rsidRPr="008B53A9">
              <w:rPr>
                <w:rFonts w:cs="Calibri"/>
                <w:lang w:val="cs-CZ" w:eastAsia="cs-CZ"/>
              </w:rPr>
              <w:t>yužití užitečného tepla z</w:t>
            </w:r>
            <w:r w:rsidR="006531D2" w:rsidRPr="008B53A9">
              <w:rPr>
                <w:rFonts w:cs="Calibri"/>
                <w:lang w:val="cs-CZ" w:eastAsia="cs-CZ"/>
              </w:rPr>
              <w:t>e stávajících</w:t>
            </w:r>
            <w:r w:rsidR="00295566" w:rsidRPr="008B53A9">
              <w:rPr>
                <w:rFonts w:cs="Calibri"/>
                <w:lang w:val="cs-CZ" w:eastAsia="cs-CZ"/>
              </w:rPr>
              <w:t xml:space="preserve"> bioplynových stanic</w:t>
            </w:r>
          </w:p>
        </w:tc>
        <w:tc>
          <w:tcPr>
            <w:tcW w:w="0" w:type="auto"/>
            <w:tcBorders>
              <w:top w:val="nil"/>
              <w:bottom w:val="nil"/>
            </w:tcBorders>
            <w:shd w:val="clear" w:color="auto" w:fill="auto"/>
            <w:vAlign w:val="center"/>
          </w:tcPr>
          <w:p w:rsidR="00295566" w:rsidRPr="008B53A9" w:rsidRDefault="00295566" w:rsidP="00C92215">
            <w:pPr>
              <w:pStyle w:val="Tabulka"/>
              <w:jc w:val="left"/>
              <w:rPr>
                <w:rFonts w:cs="Calibri"/>
                <w:sz w:val="6"/>
                <w:szCs w:val="6"/>
                <w:lang w:val="cs-CZ" w:eastAsia="cs-CZ"/>
              </w:rPr>
            </w:pPr>
          </w:p>
        </w:tc>
        <w:tc>
          <w:tcPr>
            <w:tcW w:w="4109" w:type="dxa"/>
            <w:tcBorders>
              <w:right w:val="single" w:sz="4" w:space="0" w:color="auto"/>
            </w:tcBorders>
            <w:shd w:val="clear" w:color="auto" w:fill="auto"/>
            <w:vAlign w:val="center"/>
          </w:tcPr>
          <w:p w:rsidR="00295566" w:rsidRPr="008B53A9" w:rsidRDefault="00047773" w:rsidP="00C92215">
            <w:pPr>
              <w:pStyle w:val="Tabulka"/>
              <w:jc w:val="left"/>
              <w:rPr>
                <w:rFonts w:cs="Calibri"/>
                <w:lang w:val="cs-CZ" w:eastAsia="cs-CZ"/>
              </w:rPr>
            </w:pPr>
            <w:r w:rsidRPr="008B53A9">
              <w:rPr>
                <w:rFonts w:cs="Calibri"/>
                <w:lang w:val="cs-CZ" w:eastAsia="cs-CZ"/>
              </w:rPr>
              <w:t>V</w:t>
            </w:r>
            <w:r w:rsidR="006531D2" w:rsidRPr="008B53A9">
              <w:rPr>
                <w:rFonts w:cs="Calibri"/>
                <w:lang w:val="cs-CZ" w:eastAsia="cs-CZ"/>
              </w:rPr>
              <w:t>ýstavba bioplynových a biofermentačních stanic pro zpracování bioodpadů</w:t>
            </w:r>
          </w:p>
        </w:tc>
        <w:tc>
          <w:tcPr>
            <w:tcW w:w="4109" w:type="dxa"/>
            <w:tcBorders>
              <w:left w:val="single" w:sz="4" w:space="0" w:color="auto"/>
            </w:tcBorders>
            <w:shd w:val="clear" w:color="auto" w:fill="auto"/>
            <w:vAlign w:val="center"/>
          </w:tcPr>
          <w:p w:rsidR="00295566" w:rsidRPr="008B53A9" w:rsidRDefault="00047773" w:rsidP="00C92215">
            <w:pPr>
              <w:pStyle w:val="Tabulka"/>
              <w:jc w:val="left"/>
              <w:rPr>
                <w:rFonts w:cs="Calibri"/>
                <w:lang w:val="cs-CZ" w:eastAsia="cs-CZ"/>
              </w:rPr>
            </w:pPr>
            <w:r w:rsidRPr="008B53A9">
              <w:rPr>
                <w:rFonts w:cs="Calibri"/>
                <w:lang w:val="cs-CZ" w:eastAsia="cs-CZ"/>
              </w:rPr>
              <w:t>V</w:t>
            </w:r>
            <w:r w:rsidR="00295566" w:rsidRPr="008B53A9">
              <w:rPr>
                <w:rFonts w:cs="Calibri"/>
                <w:lang w:val="cs-CZ" w:eastAsia="cs-CZ"/>
              </w:rPr>
              <w:t>ýstavba koncových zemědělských staveb pro využití tepla (skleník, porodna, apod.)</w:t>
            </w:r>
            <w:r w:rsidR="0098703A" w:rsidRPr="008B53A9">
              <w:rPr>
                <w:rFonts w:cs="Calibri"/>
                <w:lang w:val="cs-CZ" w:eastAsia="cs-CZ"/>
              </w:rPr>
              <w:t xml:space="preserve"> a výstavba zemědělských bioplynových stanic</w:t>
            </w:r>
          </w:p>
        </w:tc>
      </w:tr>
      <w:tr w:rsidR="00295566" w:rsidRPr="008B53A9">
        <w:tc>
          <w:tcPr>
            <w:tcW w:w="0" w:type="auto"/>
            <w:shd w:val="clear" w:color="auto" w:fill="DBE5F1"/>
            <w:vAlign w:val="center"/>
          </w:tcPr>
          <w:p w:rsidR="00295566" w:rsidRPr="008B53A9" w:rsidRDefault="00295566" w:rsidP="00C92215">
            <w:pPr>
              <w:pStyle w:val="Tabulka"/>
              <w:jc w:val="left"/>
              <w:rPr>
                <w:rFonts w:cs="Calibri"/>
                <w:b/>
                <w:lang w:val="cs-CZ" w:eastAsia="cs-CZ"/>
              </w:rPr>
            </w:pPr>
            <w:r w:rsidRPr="008B53A9">
              <w:rPr>
                <w:rFonts w:cs="Calibri"/>
                <w:b/>
                <w:lang w:val="cs-CZ" w:eastAsia="cs-CZ"/>
              </w:rPr>
              <w:t>Implementační prvky</w:t>
            </w:r>
          </w:p>
        </w:tc>
        <w:tc>
          <w:tcPr>
            <w:tcW w:w="0" w:type="auto"/>
            <w:tcBorders>
              <w:bottom w:val="single" w:sz="4" w:space="0" w:color="auto"/>
            </w:tcBorders>
            <w:shd w:val="clear" w:color="auto" w:fill="auto"/>
            <w:vAlign w:val="center"/>
          </w:tcPr>
          <w:p w:rsidR="00295566" w:rsidRPr="008B53A9" w:rsidRDefault="00295566" w:rsidP="00C92215">
            <w:pPr>
              <w:pStyle w:val="Tabulka"/>
              <w:jc w:val="left"/>
              <w:rPr>
                <w:rFonts w:cs="Calibri"/>
                <w:lang w:val="cs-CZ" w:eastAsia="cs-CZ"/>
              </w:rPr>
            </w:pPr>
            <w:r w:rsidRPr="008B53A9">
              <w:rPr>
                <w:rFonts w:cs="Calibri"/>
                <w:lang w:val="cs-CZ" w:eastAsia="cs-CZ"/>
              </w:rPr>
              <w:t>Typy příjemců: Podnikatelské subjekty (malé, střední a případně velké podniky)</w:t>
            </w:r>
          </w:p>
          <w:p w:rsidR="00295566" w:rsidRPr="008B53A9" w:rsidRDefault="00295566" w:rsidP="00C92215">
            <w:pPr>
              <w:pStyle w:val="Tabulka"/>
              <w:jc w:val="left"/>
              <w:rPr>
                <w:rFonts w:cs="Calibri"/>
                <w:lang w:val="cs-CZ" w:eastAsia="cs-CZ"/>
              </w:rPr>
            </w:pPr>
            <w:r w:rsidRPr="008B53A9">
              <w:rPr>
                <w:rFonts w:cs="Calibri"/>
                <w:lang w:val="cs-CZ" w:eastAsia="cs-CZ"/>
              </w:rPr>
              <w:t>Cílové území: Území České republiky, mimo území hl. m. Prahy</w:t>
            </w:r>
          </w:p>
        </w:tc>
        <w:tc>
          <w:tcPr>
            <w:tcW w:w="0" w:type="auto"/>
            <w:tcBorders>
              <w:top w:val="nil"/>
              <w:bottom w:val="nil"/>
            </w:tcBorders>
            <w:shd w:val="clear" w:color="auto" w:fill="auto"/>
            <w:vAlign w:val="center"/>
          </w:tcPr>
          <w:p w:rsidR="00295566" w:rsidRPr="008B53A9" w:rsidRDefault="00295566" w:rsidP="00C92215">
            <w:pPr>
              <w:pStyle w:val="Tabulka"/>
              <w:jc w:val="left"/>
              <w:rPr>
                <w:rFonts w:cs="Calibri"/>
                <w:sz w:val="6"/>
                <w:szCs w:val="6"/>
                <w:lang w:val="cs-CZ" w:eastAsia="cs-CZ"/>
              </w:rPr>
            </w:pPr>
          </w:p>
        </w:tc>
        <w:tc>
          <w:tcPr>
            <w:tcW w:w="4109" w:type="dxa"/>
            <w:tcBorders>
              <w:right w:val="single" w:sz="4" w:space="0" w:color="auto"/>
            </w:tcBorders>
            <w:shd w:val="clear" w:color="auto" w:fill="auto"/>
            <w:vAlign w:val="center"/>
          </w:tcPr>
          <w:p w:rsidR="006531D2" w:rsidRPr="008B53A9" w:rsidRDefault="000201D0" w:rsidP="00C92215">
            <w:pPr>
              <w:pStyle w:val="Tabulka"/>
              <w:jc w:val="left"/>
              <w:rPr>
                <w:rFonts w:cs="Calibri"/>
                <w:lang w:val="cs-CZ" w:eastAsia="cs-CZ"/>
              </w:rPr>
            </w:pPr>
            <w:r w:rsidRPr="008B53A9">
              <w:rPr>
                <w:rFonts w:cs="Calibri"/>
                <w:lang w:val="cs-CZ" w:eastAsia="cs-CZ"/>
              </w:rPr>
              <w:t>Typy příjemců: kraje, města a obce, města a pověřené obce, občané, původci odpadu, podnikatelské subjekty.</w:t>
            </w:r>
          </w:p>
          <w:p w:rsidR="00295566" w:rsidRPr="008B53A9" w:rsidRDefault="00295566" w:rsidP="00C92215">
            <w:pPr>
              <w:pStyle w:val="Tabulka"/>
              <w:jc w:val="left"/>
              <w:rPr>
                <w:rFonts w:cs="Calibri"/>
                <w:lang w:val="cs-CZ" w:eastAsia="cs-CZ"/>
              </w:rPr>
            </w:pPr>
            <w:r w:rsidRPr="008B53A9">
              <w:rPr>
                <w:rFonts w:cs="Calibri"/>
                <w:lang w:val="cs-CZ" w:eastAsia="cs-CZ"/>
              </w:rPr>
              <w:t>Cílové území: území celé ČR</w:t>
            </w:r>
          </w:p>
        </w:tc>
        <w:tc>
          <w:tcPr>
            <w:tcW w:w="4109" w:type="dxa"/>
            <w:tcBorders>
              <w:left w:val="single" w:sz="4" w:space="0" w:color="auto"/>
            </w:tcBorders>
            <w:shd w:val="clear" w:color="auto" w:fill="auto"/>
            <w:vAlign w:val="center"/>
          </w:tcPr>
          <w:p w:rsidR="00295566" w:rsidRPr="008B53A9" w:rsidRDefault="00295566" w:rsidP="00E1414C">
            <w:pPr>
              <w:pStyle w:val="Tabulka"/>
              <w:jc w:val="left"/>
              <w:rPr>
                <w:rFonts w:cs="Calibri"/>
                <w:lang w:val="cs-CZ" w:eastAsia="cs-CZ"/>
              </w:rPr>
            </w:pPr>
            <w:r w:rsidRPr="008B53A9">
              <w:rPr>
                <w:rFonts w:cs="Calibri"/>
                <w:lang w:val="cs-CZ" w:eastAsia="cs-CZ"/>
              </w:rPr>
              <w:t>Typy příjemců: Zemědělský podnikatel</w:t>
            </w:r>
          </w:p>
          <w:p w:rsidR="00295566" w:rsidRPr="008B53A9" w:rsidRDefault="00295566" w:rsidP="00E1414C">
            <w:pPr>
              <w:pStyle w:val="Tabulka"/>
              <w:jc w:val="left"/>
              <w:rPr>
                <w:rFonts w:cs="Calibri"/>
                <w:lang w:val="cs-CZ" w:eastAsia="cs-CZ"/>
              </w:rPr>
            </w:pPr>
            <w:r w:rsidRPr="008B53A9">
              <w:rPr>
                <w:rFonts w:cs="Calibri"/>
                <w:lang w:val="cs-CZ" w:eastAsia="cs-CZ"/>
              </w:rPr>
              <w:t>Cílové území: území České republiky s výjimkou území hl. města Prahy</w:t>
            </w:r>
          </w:p>
        </w:tc>
      </w:tr>
      <w:tr w:rsidR="00530742" w:rsidRPr="008B53A9">
        <w:tc>
          <w:tcPr>
            <w:tcW w:w="0" w:type="auto"/>
            <w:shd w:val="clear" w:color="auto" w:fill="DBE5F1"/>
            <w:vAlign w:val="center"/>
          </w:tcPr>
          <w:p w:rsidR="00530742" w:rsidRPr="008B53A9" w:rsidRDefault="00530742" w:rsidP="00C92215">
            <w:pPr>
              <w:pStyle w:val="Tabulka"/>
              <w:jc w:val="left"/>
              <w:rPr>
                <w:rFonts w:cs="Calibri"/>
                <w:b/>
                <w:lang w:val="cs-CZ" w:eastAsia="cs-CZ"/>
              </w:rPr>
            </w:pPr>
            <w:r w:rsidRPr="008B53A9">
              <w:rPr>
                <w:rFonts w:cs="Calibri"/>
                <w:b/>
                <w:lang w:val="cs-CZ" w:eastAsia="cs-CZ"/>
              </w:rPr>
              <w:t>Synergie/komplementarita</w:t>
            </w:r>
          </w:p>
        </w:tc>
        <w:tc>
          <w:tcPr>
            <w:tcW w:w="0" w:type="auto"/>
            <w:tcBorders>
              <w:tr2bl w:val="single" w:sz="4" w:space="0" w:color="auto"/>
            </w:tcBorders>
            <w:shd w:val="clear" w:color="auto" w:fill="auto"/>
            <w:vAlign w:val="center"/>
          </w:tcPr>
          <w:p w:rsidR="00530742" w:rsidRPr="008B53A9" w:rsidRDefault="00530742" w:rsidP="00C92215">
            <w:pPr>
              <w:pStyle w:val="Tabulka"/>
              <w:jc w:val="left"/>
              <w:rPr>
                <w:rFonts w:cs="Calibri"/>
                <w:lang w:val="cs-CZ" w:eastAsia="cs-CZ"/>
              </w:rPr>
            </w:pPr>
          </w:p>
        </w:tc>
        <w:tc>
          <w:tcPr>
            <w:tcW w:w="0" w:type="auto"/>
            <w:tcBorders>
              <w:top w:val="nil"/>
              <w:bottom w:val="nil"/>
            </w:tcBorders>
            <w:shd w:val="clear" w:color="auto" w:fill="auto"/>
            <w:vAlign w:val="center"/>
          </w:tcPr>
          <w:p w:rsidR="00530742" w:rsidRPr="008B53A9" w:rsidRDefault="00530742" w:rsidP="00C92215">
            <w:pPr>
              <w:pStyle w:val="Tabulka"/>
              <w:jc w:val="left"/>
              <w:rPr>
                <w:rFonts w:cs="Calibri"/>
                <w:sz w:val="6"/>
                <w:szCs w:val="6"/>
                <w:lang w:val="cs-CZ" w:eastAsia="cs-CZ"/>
              </w:rPr>
            </w:pPr>
          </w:p>
        </w:tc>
        <w:tc>
          <w:tcPr>
            <w:tcW w:w="4109" w:type="dxa"/>
            <w:tcBorders>
              <w:right w:val="single" w:sz="4" w:space="0" w:color="auto"/>
            </w:tcBorders>
            <w:shd w:val="clear" w:color="auto" w:fill="auto"/>
            <w:vAlign w:val="center"/>
          </w:tcPr>
          <w:p w:rsidR="00530742" w:rsidRPr="008B53A9" w:rsidRDefault="00530742" w:rsidP="00C92215">
            <w:pPr>
              <w:pStyle w:val="Tabulka"/>
              <w:jc w:val="left"/>
              <w:rPr>
                <w:rFonts w:cs="Calibri"/>
                <w:lang w:val="cs-CZ" w:eastAsia="cs-CZ"/>
              </w:rPr>
            </w:pPr>
            <w:r w:rsidRPr="008B53A9">
              <w:rPr>
                <w:rFonts w:cs="Calibri"/>
                <w:lang w:val="cs-CZ" w:eastAsia="cs-CZ"/>
              </w:rPr>
              <w:t>komplementarita</w:t>
            </w:r>
          </w:p>
        </w:tc>
        <w:tc>
          <w:tcPr>
            <w:tcW w:w="4109" w:type="dxa"/>
            <w:tcBorders>
              <w:left w:val="single" w:sz="4" w:space="0" w:color="auto"/>
            </w:tcBorders>
            <w:shd w:val="clear" w:color="auto" w:fill="auto"/>
            <w:vAlign w:val="center"/>
          </w:tcPr>
          <w:p w:rsidR="008C5C80" w:rsidRPr="008B53A9" w:rsidRDefault="008C5C80" w:rsidP="00E1414C">
            <w:pPr>
              <w:pStyle w:val="Tabulka"/>
              <w:jc w:val="left"/>
              <w:rPr>
                <w:rFonts w:cs="Calibri"/>
                <w:lang w:val="cs-CZ" w:eastAsia="cs-CZ"/>
              </w:rPr>
            </w:pPr>
            <w:r w:rsidRPr="008B53A9">
              <w:rPr>
                <w:rFonts w:cs="Calibri"/>
                <w:lang w:val="cs-CZ" w:eastAsia="cs-CZ"/>
              </w:rPr>
              <w:t xml:space="preserve">a) výstavba koncových zemědělských staveb pro využití tepla (skleník, porodna, </w:t>
            </w:r>
            <w:r w:rsidRPr="008B53A9">
              <w:rPr>
                <w:rFonts w:cs="Calibri"/>
                <w:lang w:val="cs-CZ" w:eastAsia="cs-CZ"/>
              </w:rPr>
              <w:lastRenderedPageBreak/>
              <w:t xml:space="preserve">apod.) </w:t>
            </w:r>
            <w:r w:rsidR="00365DE1" w:rsidRPr="008B53A9">
              <w:rPr>
                <w:rFonts w:cs="Calibri"/>
                <w:lang w:val="cs-CZ" w:eastAsia="cs-CZ"/>
              </w:rPr>
              <w:t>-</w:t>
            </w:r>
            <w:r w:rsidRPr="008B53A9">
              <w:rPr>
                <w:rFonts w:cs="Calibri"/>
                <w:lang w:val="cs-CZ" w:eastAsia="cs-CZ"/>
              </w:rPr>
              <w:t xml:space="preserve"> synergie</w:t>
            </w:r>
          </w:p>
          <w:p w:rsidR="00530742" w:rsidRPr="008B53A9" w:rsidRDefault="008C5C80" w:rsidP="00E84F99">
            <w:pPr>
              <w:pStyle w:val="Tabulka"/>
              <w:jc w:val="left"/>
              <w:rPr>
                <w:rFonts w:cs="Calibri"/>
                <w:lang w:val="cs-CZ" w:eastAsia="cs-CZ"/>
              </w:rPr>
            </w:pPr>
            <w:r w:rsidRPr="008B53A9">
              <w:rPr>
                <w:rFonts w:cs="Calibri"/>
                <w:lang w:val="cs-CZ" w:eastAsia="cs-CZ"/>
              </w:rPr>
              <w:t xml:space="preserve">b) výstavba zemědělských bioplynových </w:t>
            </w:r>
            <w:r w:rsidR="00E84F99" w:rsidRPr="008B53A9">
              <w:rPr>
                <w:rFonts w:cs="Calibri"/>
                <w:lang w:val="cs-CZ" w:eastAsia="cs-CZ"/>
              </w:rPr>
              <w:t>stanic</w:t>
            </w:r>
            <w:r w:rsidRPr="008B53A9">
              <w:rPr>
                <w:rFonts w:cs="Calibri"/>
                <w:lang w:val="cs-CZ" w:eastAsia="cs-CZ"/>
              </w:rPr>
              <w:t xml:space="preserve"> - komplementarita</w:t>
            </w:r>
          </w:p>
        </w:tc>
      </w:tr>
      <w:tr w:rsidR="00142414" w:rsidRPr="008B53A9">
        <w:tc>
          <w:tcPr>
            <w:tcW w:w="0" w:type="auto"/>
            <w:shd w:val="clear" w:color="auto" w:fill="DBE5F1"/>
            <w:vAlign w:val="center"/>
          </w:tcPr>
          <w:p w:rsidR="00142414" w:rsidRPr="008B53A9" w:rsidRDefault="00142414" w:rsidP="00C92215">
            <w:pPr>
              <w:pStyle w:val="Tabulka"/>
              <w:jc w:val="left"/>
              <w:rPr>
                <w:rFonts w:cs="Calibri"/>
                <w:b/>
                <w:lang w:val="cs-CZ" w:eastAsia="cs-CZ"/>
              </w:rPr>
            </w:pPr>
            <w:r w:rsidRPr="008B53A9">
              <w:rPr>
                <w:rFonts w:cs="Calibri"/>
                <w:b/>
                <w:lang w:val="cs-CZ" w:eastAsia="cs-CZ"/>
              </w:rPr>
              <w:lastRenderedPageBreak/>
              <w:t>Mechanismus koordinace</w:t>
            </w:r>
          </w:p>
        </w:tc>
        <w:tc>
          <w:tcPr>
            <w:tcW w:w="0" w:type="auto"/>
            <w:gridSpan w:val="4"/>
            <w:shd w:val="clear" w:color="auto" w:fill="auto"/>
            <w:vAlign w:val="center"/>
          </w:tcPr>
          <w:p w:rsidR="00142414" w:rsidRPr="008B53A9" w:rsidRDefault="00142414" w:rsidP="008C5C80">
            <w:pPr>
              <w:pStyle w:val="Tabulka"/>
              <w:jc w:val="left"/>
              <w:rPr>
                <w:rFonts w:cs="Calibri"/>
                <w:lang w:val="cs-CZ" w:eastAsia="cs-CZ"/>
              </w:rPr>
            </w:pPr>
            <w:r w:rsidRPr="008B53A9">
              <w:rPr>
                <w:rFonts w:cs="Calibri"/>
                <w:lang w:val="cs-CZ" w:eastAsia="cs-CZ"/>
              </w:rPr>
              <w:t>Návrh: věcná koordinace výzev, spoluprá</w:t>
            </w:r>
            <w:r w:rsidR="008C5C80" w:rsidRPr="008B53A9">
              <w:rPr>
                <w:rFonts w:cs="Calibri"/>
                <w:lang w:val="cs-CZ" w:eastAsia="cs-CZ"/>
              </w:rPr>
              <w:t>ce na evaluacích v této oblast, vzájemná účast na pracovních skupinách připravující znění výzev (pouze v případě výše uvedené synergické vazby s PRV).</w:t>
            </w:r>
          </w:p>
        </w:tc>
      </w:tr>
    </w:tbl>
    <w:p w:rsidR="00E1414C" w:rsidRPr="008B53A9" w:rsidRDefault="00E1414C" w:rsidP="0062540E">
      <w:pPr>
        <w:pStyle w:val="Standardntext"/>
      </w:pPr>
    </w:p>
    <w:p w:rsidR="00F004B3" w:rsidRPr="008B53A9" w:rsidRDefault="00F004B3" w:rsidP="005D178C">
      <w:pPr>
        <w:pStyle w:val="Standardntext"/>
        <w:numPr>
          <w:ilvl w:val="0"/>
          <w:numId w:val="95"/>
        </w:numPr>
        <w:rPr>
          <w:b/>
        </w:rPr>
      </w:pPr>
      <w:r w:rsidRPr="008B53A9">
        <w:rPr>
          <w:b/>
        </w:rPr>
        <w:t>Úspory energie</w:t>
      </w:r>
    </w:p>
    <w:p w:rsidR="00F004B3" w:rsidRPr="008B53A9" w:rsidRDefault="00F004B3" w:rsidP="00F004B3">
      <w:pPr>
        <w:pStyle w:val="Standardntext"/>
      </w:pPr>
      <w:r w:rsidRPr="008B53A9">
        <w:t>Oblast energetických úspor je kromě OP PIK obsažena také v </w:t>
      </w:r>
      <w:r w:rsidRPr="008B53A9">
        <w:rPr>
          <w:b/>
        </w:rPr>
        <w:t>OP ŽP</w:t>
      </w:r>
      <w:r w:rsidRPr="008B53A9">
        <w:t xml:space="preserve">, </w:t>
      </w:r>
      <w:r w:rsidRPr="008B53A9">
        <w:rPr>
          <w:b/>
        </w:rPr>
        <w:t>IROP</w:t>
      </w:r>
      <w:r w:rsidRPr="008B53A9">
        <w:t xml:space="preserve">, </w:t>
      </w:r>
      <w:r w:rsidRPr="008B53A9">
        <w:rPr>
          <w:b/>
        </w:rPr>
        <w:t>OP PPR, PRV</w:t>
      </w:r>
      <w:r w:rsidRPr="008B53A9">
        <w:t xml:space="preserve"> a </w:t>
      </w:r>
      <w:r w:rsidRPr="008B53A9">
        <w:rPr>
          <w:b/>
        </w:rPr>
        <w:t>OP R</w:t>
      </w:r>
      <w:r w:rsidRPr="008B53A9">
        <w:t>. Komplementární vazbu lze sledovat spíše z úrovně tematického cíle v tom smyslu, že všechny jmenované operační programy přispějí ke zvýšení energetické efektivnosti ČR, ovšem každý operační program se orientuje na jinou oblast. Aktivita se průřezově doplňuje dle příjemců podpory, MPO – podnikatelské subjekty; OP ŽP – veřejný sektor; IROP – domácnosti; OP PPR – pilotní projekty ve veřejném sektoru na území Prahy. V rámci PRV by byly podporovány projekty, které svým charakterem nesplňují podmínky energetických úspor definovaných OP PIK. Energetický audit určí, do kterého programu je projekt žadatele způsobilý. Z OP R bude podporována výměna technologií a zařízení spojených s produkcí akvakultury za energeticky méně náročnou a OP PIK poskytne podnikům akvakultury podporu na investice za účelem snižování energetické náročnosti v případě, že to umožní nařízení o státní podpoře v odvětví rybolovu a akvakultury.</w:t>
      </w:r>
    </w:p>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126"/>
        <w:gridCol w:w="284"/>
        <w:gridCol w:w="1974"/>
        <w:gridCol w:w="1974"/>
        <w:gridCol w:w="1974"/>
        <w:gridCol w:w="1974"/>
        <w:gridCol w:w="1975"/>
      </w:tblGrid>
      <w:tr w:rsidR="00295566" w:rsidRPr="008B53A9">
        <w:trPr>
          <w:trHeight w:val="233"/>
        </w:trPr>
        <w:tc>
          <w:tcPr>
            <w:tcW w:w="2093" w:type="dxa"/>
            <w:shd w:val="clear" w:color="auto" w:fill="739BCB"/>
            <w:vAlign w:val="center"/>
          </w:tcPr>
          <w:p w:rsidR="00295566" w:rsidRPr="008B53A9" w:rsidRDefault="00295566" w:rsidP="0097199C">
            <w:pPr>
              <w:pStyle w:val="Tabulka"/>
              <w:keepNext/>
              <w:keepLines/>
              <w:jc w:val="left"/>
              <w:rPr>
                <w:rFonts w:cs="Calibri"/>
                <w:b/>
                <w:lang w:val="cs-CZ" w:eastAsia="cs-CZ"/>
              </w:rPr>
            </w:pPr>
            <w:r w:rsidRPr="008B53A9">
              <w:rPr>
                <w:rFonts w:cs="Calibri"/>
                <w:b/>
                <w:color w:val="FFFFFF"/>
                <w:lang w:val="cs-CZ" w:eastAsia="cs-CZ"/>
              </w:rPr>
              <w:t>Úspory energie</w:t>
            </w:r>
          </w:p>
        </w:tc>
        <w:tc>
          <w:tcPr>
            <w:tcW w:w="2126" w:type="dxa"/>
            <w:tcBorders>
              <w:bottom w:val="single" w:sz="4" w:space="0" w:color="000000"/>
            </w:tcBorders>
            <w:shd w:val="clear" w:color="auto" w:fill="B8CCE4"/>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OP PIK</w:t>
            </w:r>
          </w:p>
        </w:tc>
        <w:tc>
          <w:tcPr>
            <w:tcW w:w="284" w:type="dxa"/>
            <w:tcBorders>
              <w:top w:val="nil"/>
              <w:bottom w:val="nil"/>
            </w:tcBorders>
            <w:shd w:val="clear" w:color="auto" w:fill="auto"/>
            <w:vAlign w:val="center"/>
          </w:tcPr>
          <w:p w:rsidR="00295566" w:rsidRPr="008B53A9" w:rsidRDefault="00295566" w:rsidP="00267430">
            <w:pPr>
              <w:pStyle w:val="Tabulka"/>
              <w:keepNext/>
              <w:keepLines/>
              <w:rPr>
                <w:rFonts w:cs="Calibri"/>
                <w:b/>
                <w:sz w:val="6"/>
                <w:szCs w:val="6"/>
                <w:lang w:val="cs-CZ" w:eastAsia="cs-CZ"/>
              </w:rPr>
            </w:pPr>
          </w:p>
        </w:tc>
        <w:tc>
          <w:tcPr>
            <w:tcW w:w="1974" w:type="dxa"/>
            <w:tcBorders>
              <w:bottom w:val="single" w:sz="4" w:space="0" w:color="000000"/>
              <w:right w:val="single" w:sz="4" w:space="0" w:color="auto"/>
            </w:tcBorders>
            <w:shd w:val="clear" w:color="auto" w:fill="B8CCE4"/>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OP ŽP</w:t>
            </w:r>
          </w:p>
        </w:tc>
        <w:tc>
          <w:tcPr>
            <w:tcW w:w="1974" w:type="dxa"/>
            <w:tcBorders>
              <w:left w:val="single" w:sz="4" w:space="0" w:color="auto"/>
              <w:bottom w:val="single" w:sz="4" w:space="0" w:color="000000"/>
              <w:right w:val="single" w:sz="4" w:space="0" w:color="auto"/>
            </w:tcBorders>
            <w:shd w:val="clear" w:color="auto" w:fill="B8CCE4"/>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IROP</w:t>
            </w:r>
          </w:p>
        </w:tc>
        <w:tc>
          <w:tcPr>
            <w:tcW w:w="1974" w:type="dxa"/>
            <w:tcBorders>
              <w:left w:val="single" w:sz="4" w:space="0" w:color="auto"/>
              <w:bottom w:val="nil"/>
              <w:right w:val="single" w:sz="4" w:space="0" w:color="auto"/>
            </w:tcBorders>
            <w:shd w:val="clear" w:color="auto" w:fill="B8CCE4"/>
            <w:vAlign w:val="center"/>
          </w:tcPr>
          <w:p w:rsidR="00295566" w:rsidRPr="008B53A9" w:rsidRDefault="00295566" w:rsidP="002D4D69">
            <w:pPr>
              <w:pStyle w:val="Tabulka"/>
              <w:keepNext/>
              <w:keepLines/>
              <w:rPr>
                <w:rFonts w:cs="Calibri"/>
                <w:b/>
                <w:lang w:val="cs-CZ" w:eastAsia="cs-CZ"/>
              </w:rPr>
            </w:pPr>
            <w:r w:rsidRPr="008B53A9">
              <w:rPr>
                <w:rFonts w:cs="Calibri"/>
                <w:b/>
                <w:lang w:val="cs-CZ" w:eastAsia="cs-CZ"/>
              </w:rPr>
              <w:t>OP PPR</w:t>
            </w:r>
          </w:p>
        </w:tc>
        <w:tc>
          <w:tcPr>
            <w:tcW w:w="1974" w:type="dxa"/>
            <w:tcBorders>
              <w:left w:val="single" w:sz="4" w:space="0" w:color="auto"/>
              <w:bottom w:val="single" w:sz="4" w:space="0" w:color="000000"/>
              <w:right w:val="single" w:sz="4" w:space="0" w:color="auto"/>
            </w:tcBorders>
            <w:shd w:val="clear" w:color="auto" w:fill="B8CCE4"/>
            <w:vAlign w:val="center"/>
          </w:tcPr>
          <w:p w:rsidR="00295566" w:rsidRPr="008B53A9" w:rsidRDefault="00295566" w:rsidP="00295566">
            <w:pPr>
              <w:pStyle w:val="Tabulka"/>
              <w:keepNext/>
              <w:keepLines/>
              <w:rPr>
                <w:rFonts w:cs="Calibri"/>
                <w:b/>
                <w:lang w:val="cs-CZ" w:eastAsia="cs-CZ"/>
              </w:rPr>
            </w:pPr>
            <w:r w:rsidRPr="008B53A9">
              <w:rPr>
                <w:rFonts w:cs="Calibri"/>
                <w:b/>
                <w:lang w:val="cs-CZ" w:eastAsia="cs-CZ"/>
              </w:rPr>
              <w:t>PRV</w:t>
            </w:r>
          </w:p>
        </w:tc>
        <w:tc>
          <w:tcPr>
            <w:tcW w:w="1975" w:type="dxa"/>
            <w:tcBorders>
              <w:left w:val="single" w:sz="4" w:space="0" w:color="auto"/>
              <w:bottom w:val="single" w:sz="4" w:space="0" w:color="000000"/>
            </w:tcBorders>
            <w:shd w:val="clear" w:color="auto" w:fill="B8CCE4"/>
            <w:vAlign w:val="center"/>
          </w:tcPr>
          <w:p w:rsidR="00295566" w:rsidRPr="008B53A9" w:rsidRDefault="00295566" w:rsidP="00295566">
            <w:pPr>
              <w:pStyle w:val="Tabulka"/>
              <w:keepNext/>
              <w:keepLines/>
              <w:rPr>
                <w:rFonts w:cs="Calibri"/>
                <w:b/>
                <w:lang w:val="cs-CZ" w:eastAsia="cs-CZ"/>
              </w:rPr>
            </w:pPr>
            <w:r w:rsidRPr="008B53A9">
              <w:rPr>
                <w:rFonts w:cs="Calibri"/>
                <w:b/>
                <w:lang w:val="cs-CZ" w:eastAsia="cs-CZ"/>
              </w:rPr>
              <w:t>OP R</w:t>
            </w:r>
          </w:p>
        </w:tc>
      </w:tr>
      <w:tr w:rsidR="00295566" w:rsidRPr="008B53A9">
        <w:trPr>
          <w:trHeight w:val="647"/>
        </w:trPr>
        <w:tc>
          <w:tcPr>
            <w:tcW w:w="2093" w:type="dxa"/>
            <w:tcBorders>
              <w:bottom w:val="dotted" w:sz="4" w:space="0" w:color="auto"/>
            </w:tcBorders>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Tematický cíl / investiční priorita</w:t>
            </w:r>
          </w:p>
        </w:tc>
        <w:tc>
          <w:tcPr>
            <w:tcW w:w="2126" w:type="dxa"/>
            <w:tcBorders>
              <w:bottom w:val="dotted" w:sz="4" w:space="0" w:color="auto"/>
              <w:right w:val="single" w:sz="4" w:space="0" w:color="auto"/>
            </w:tcBorders>
            <w:shd w:val="clear" w:color="auto" w:fill="auto"/>
            <w:vAlign w:val="center"/>
          </w:tcPr>
          <w:p w:rsidR="00295566" w:rsidRPr="008B53A9" w:rsidRDefault="00295566" w:rsidP="004044A1">
            <w:pPr>
              <w:pStyle w:val="Tabulka"/>
              <w:jc w:val="left"/>
              <w:rPr>
                <w:rFonts w:cs="Calibri"/>
                <w:lang w:val="cs-CZ" w:eastAsia="cs-CZ"/>
              </w:rPr>
            </w:pPr>
            <w:r w:rsidRPr="008B53A9">
              <w:rPr>
                <w:rFonts w:cs="Calibri"/>
                <w:lang w:val="cs-CZ" w:eastAsia="cs-CZ"/>
              </w:rPr>
              <w:t>TC 4 / 4 b)</w:t>
            </w:r>
          </w:p>
        </w:tc>
        <w:tc>
          <w:tcPr>
            <w:tcW w:w="284" w:type="dxa"/>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1974" w:type="dxa"/>
            <w:tcBorders>
              <w:left w:val="single" w:sz="4" w:space="0" w:color="auto"/>
              <w:bottom w:val="dotted" w:sz="4" w:space="0" w:color="auto"/>
              <w:right w:val="single" w:sz="4" w:space="0" w:color="auto"/>
            </w:tcBorders>
            <w:shd w:val="clear" w:color="auto" w:fill="auto"/>
            <w:vAlign w:val="center"/>
          </w:tcPr>
          <w:p w:rsidR="00295566" w:rsidRPr="008B53A9" w:rsidRDefault="00295566" w:rsidP="004044A1">
            <w:pPr>
              <w:pStyle w:val="Tabulka"/>
              <w:jc w:val="left"/>
              <w:rPr>
                <w:rFonts w:cs="Calibri"/>
                <w:lang w:val="cs-CZ" w:eastAsia="cs-CZ"/>
              </w:rPr>
            </w:pPr>
            <w:r w:rsidRPr="008B53A9">
              <w:rPr>
                <w:rFonts w:cs="Calibri"/>
                <w:lang w:val="cs-CZ" w:eastAsia="cs-CZ"/>
              </w:rPr>
              <w:t>TC 4 / 4 c)</w:t>
            </w:r>
          </w:p>
        </w:tc>
        <w:tc>
          <w:tcPr>
            <w:tcW w:w="1974" w:type="dxa"/>
            <w:tcBorders>
              <w:left w:val="single" w:sz="4" w:space="0" w:color="auto"/>
              <w:bottom w:val="dotted" w:sz="4" w:space="0" w:color="auto"/>
              <w:right w:val="single" w:sz="4" w:space="0" w:color="auto"/>
            </w:tcBorders>
            <w:shd w:val="clear" w:color="auto" w:fill="auto"/>
            <w:vAlign w:val="center"/>
          </w:tcPr>
          <w:p w:rsidR="00295566" w:rsidRPr="008B53A9" w:rsidRDefault="00295566" w:rsidP="004044A1">
            <w:pPr>
              <w:pStyle w:val="Tabulka"/>
              <w:jc w:val="left"/>
              <w:rPr>
                <w:rFonts w:cs="Calibri"/>
                <w:lang w:val="cs-CZ" w:eastAsia="cs-CZ"/>
              </w:rPr>
            </w:pPr>
            <w:r w:rsidRPr="008B53A9">
              <w:rPr>
                <w:rFonts w:cs="Calibri"/>
                <w:lang w:val="cs-CZ" w:eastAsia="cs-CZ"/>
              </w:rPr>
              <w:t>TC 4 / 4 c)</w:t>
            </w:r>
          </w:p>
        </w:tc>
        <w:tc>
          <w:tcPr>
            <w:tcW w:w="1974" w:type="dxa"/>
            <w:tcBorders>
              <w:left w:val="single" w:sz="4" w:space="0" w:color="auto"/>
              <w:bottom w:val="dotted" w:sz="4" w:space="0" w:color="auto"/>
              <w:right w:val="single" w:sz="4" w:space="0" w:color="auto"/>
            </w:tcBorders>
            <w:vAlign w:val="center"/>
          </w:tcPr>
          <w:p w:rsidR="00295566" w:rsidRPr="008B53A9" w:rsidRDefault="00295566" w:rsidP="004044A1">
            <w:pPr>
              <w:pStyle w:val="Tabulka"/>
              <w:jc w:val="left"/>
              <w:rPr>
                <w:rFonts w:cs="Calibri"/>
                <w:lang w:val="cs-CZ" w:eastAsia="cs-CZ"/>
              </w:rPr>
            </w:pPr>
            <w:r w:rsidRPr="008B53A9">
              <w:rPr>
                <w:rFonts w:cs="Calibri"/>
                <w:lang w:val="cs-CZ" w:eastAsia="cs-CZ"/>
              </w:rPr>
              <w:t>TC 4 / 4 c)</w:t>
            </w:r>
          </w:p>
        </w:tc>
        <w:tc>
          <w:tcPr>
            <w:tcW w:w="1974" w:type="dxa"/>
            <w:tcBorders>
              <w:left w:val="single" w:sz="4" w:space="0" w:color="auto"/>
              <w:bottom w:val="dotted" w:sz="4" w:space="0" w:color="auto"/>
              <w:right w:val="single" w:sz="4" w:space="0" w:color="auto"/>
            </w:tcBorders>
            <w:shd w:val="clear" w:color="auto" w:fill="auto"/>
            <w:vAlign w:val="center"/>
          </w:tcPr>
          <w:p w:rsidR="00295566" w:rsidRPr="008B53A9" w:rsidRDefault="00295566" w:rsidP="00121E41">
            <w:pPr>
              <w:pStyle w:val="Tabulka"/>
              <w:ind w:left="23"/>
              <w:rPr>
                <w:rFonts w:cs="Calibri"/>
                <w:lang w:val="cs-CZ" w:eastAsia="cs-CZ"/>
              </w:rPr>
            </w:pPr>
            <w:r w:rsidRPr="008B53A9">
              <w:rPr>
                <w:rFonts w:cs="Calibri"/>
                <w:lang w:val="cs-CZ" w:eastAsia="cs-CZ"/>
              </w:rPr>
              <w:t>TC 6 / IP 5</w:t>
            </w:r>
          </w:p>
        </w:tc>
        <w:tc>
          <w:tcPr>
            <w:tcW w:w="1975" w:type="dxa"/>
            <w:tcBorders>
              <w:left w:val="single" w:sz="4" w:space="0" w:color="auto"/>
              <w:bottom w:val="dotted" w:sz="4" w:space="0" w:color="auto"/>
            </w:tcBorders>
            <w:vAlign w:val="center"/>
          </w:tcPr>
          <w:p w:rsidR="00295566" w:rsidRPr="008B53A9" w:rsidRDefault="00556501" w:rsidP="00152A0D">
            <w:pPr>
              <w:pStyle w:val="Tabulka"/>
              <w:jc w:val="left"/>
              <w:rPr>
                <w:rFonts w:cs="Calibri"/>
                <w:lang w:val="cs-CZ" w:eastAsia="cs-CZ"/>
              </w:rPr>
            </w:pPr>
            <w:r w:rsidRPr="008B53A9">
              <w:rPr>
                <w:rFonts w:cs="Calibri"/>
                <w:lang w:val="cs-CZ" w:eastAsia="cs-CZ"/>
              </w:rPr>
              <w:t>TC 3</w:t>
            </w:r>
          </w:p>
        </w:tc>
      </w:tr>
      <w:tr w:rsidR="00295566" w:rsidRPr="008B53A9">
        <w:trPr>
          <w:trHeight w:val="212"/>
        </w:trPr>
        <w:tc>
          <w:tcPr>
            <w:tcW w:w="2093" w:type="dxa"/>
            <w:tcBorders>
              <w:top w:val="dotted" w:sz="4" w:space="0" w:color="auto"/>
              <w:bottom w:val="dotted" w:sz="4" w:space="0" w:color="auto"/>
            </w:tcBorders>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Prioritní osa</w:t>
            </w:r>
          </w:p>
        </w:tc>
        <w:tc>
          <w:tcPr>
            <w:tcW w:w="2126" w:type="dxa"/>
            <w:tcBorders>
              <w:top w:val="dotted"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PO 3: Účinné nakládání energií, rozvoj energetické infrastruktury a obnovitelných zdrojů energie, podpora zavádění nových technologií v oblasti nakládání energií a druhotných surovin</w:t>
            </w:r>
          </w:p>
        </w:tc>
        <w:tc>
          <w:tcPr>
            <w:tcW w:w="284" w:type="dxa"/>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1974" w:type="dxa"/>
            <w:tcBorders>
              <w:top w:val="dotted" w:sz="4" w:space="0" w:color="auto"/>
              <w:left w:val="single"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PO 5: Energetické úspory</w:t>
            </w:r>
          </w:p>
        </w:tc>
        <w:tc>
          <w:tcPr>
            <w:tcW w:w="1974" w:type="dxa"/>
            <w:tcBorders>
              <w:top w:val="dotted" w:sz="4" w:space="0" w:color="auto"/>
              <w:left w:val="single"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PO 2: Zkvalitnění veřejných služeb a podmínek života pro obyvatele regionů</w:t>
            </w:r>
          </w:p>
        </w:tc>
        <w:tc>
          <w:tcPr>
            <w:tcW w:w="1974" w:type="dxa"/>
            <w:tcBorders>
              <w:top w:val="dotted" w:sz="4" w:space="0" w:color="auto"/>
              <w:left w:val="single" w:sz="4" w:space="0" w:color="auto"/>
              <w:bottom w:val="nil"/>
              <w:right w:val="single" w:sz="4" w:space="0" w:color="auto"/>
            </w:tcBorders>
            <w:vAlign w:val="center"/>
          </w:tcPr>
          <w:p w:rsidR="00295566" w:rsidRPr="008B53A9" w:rsidRDefault="00295566" w:rsidP="002D4D69">
            <w:pPr>
              <w:pStyle w:val="Tabulka"/>
              <w:jc w:val="left"/>
              <w:rPr>
                <w:rFonts w:cs="Calibri"/>
                <w:lang w:val="cs-CZ" w:eastAsia="cs-CZ"/>
              </w:rPr>
            </w:pPr>
            <w:r w:rsidRPr="008B53A9">
              <w:rPr>
                <w:rFonts w:cs="Calibri"/>
                <w:lang w:val="cs-CZ" w:eastAsia="cs-CZ"/>
              </w:rPr>
              <w:t xml:space="preserve">PO 2: Udržitelná mobilita a energetické úspory </w:t>
            </w:r>
          </w:p>
        </w:tc>
        <w:tc>
          <w:tcPr>
            <w:tcW w:w="1974" w:type="dxa"/>
            <w:tcBorders>
              <w:top w:val="dotted" w:sz="4" w:space="0" w:color="auto"/>
              <w:left w:val="single"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4.1 Investice do hmotného majetku</w:t>
            </w:r>
          </w:p>
        </w:tc>
        <w:tc>
          <w:tcPr>
            <w:tcW w:w="1975" w:type="dxa"/>
            <w:tcBorders>
              <w:top w:val="dotted" w:sz="4" w:space="0" w:color="auto"/>
              <w:left w:val="single" w:sz="4" w:space="0" w:color="auto"/>
              <w:bottom w:val="dotted" w:sz="4" w:space="0" w:color="auto"/>
            </w:tcBorders>
            <w:vAlign w:val="center"/>
          </w:tcPr>
          <w:p w:rsidR="00295566" w:rsidRPr="008B53A9" w:rsidRDefault="00152A0D" w:rsidP="008B6A65">
            <w:pPr>
              <w:pStyle w:val="Tabulka"/>
              <w:jc w:val="left"/>
              <w:rPr>
                <w:rFonts w:cs="Calibri"/>
                <w:lang w:val="cs-CZ" w:eastAsia="cs-CZ"/>
              </w:rPr>
            </w:pPr>
            <w:r w:rsidRPr="008B53A9">
              <w:rPr>
                <w:rFonts w:cs="Calibri"/>
                <w:lang w:val="cs-CZ" w:eastAsia="cs-CZ"/>
              </w:rPr>
              <w:t>PU 2 Podpora environmentálně udržitelné, inovativní a konkurenceschopné akvakultury založené na znalostech a účinně využívající zdroje</w:t>
            </w:r>
          </w:p>
        </w:tc>
      </w:tr>
      <w:tr w:rsidR="00295566" w:rsidRPr="008B53A9">
        <w:tc>
          <w:tcPr>
            <w:tcW w:w="2093" w:type="dxa"/>
            <w:tcBorders>
              <w:top w:val="dotted" w:sz="4" w:space="0" w:color="auto"/>
            </w:tcBorders>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lastRenderedPageBreak/>
              <w:t>Specifický cíl</w:t>
            </w:r>
          </w:p>
        </w:tc>
        <w:tc>
          <w:tcPr>
            <w:tcW w:w="2126" w:type="dxa"/>
            <w:tcBorders>
              <w:top w:val="dotted"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SC 3.2: Zvýšit energetickou účinnost podnikatelského sektoru</w:t>
            </w:r>
          </w:p>
        </w:tc>
        <w:tc>
          <w:tcPr>
            <w:tcW w:w="284" w:type="dxa"/>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1974" w:type="dxa"/>
            <w:tcBorders>
              <w:top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 xml:space="preserve">SC 5.1: </w:t>
            </w:r>
            <w:r w:rsidR="006531D2" w:rsidRPr="008B53A9">
              <w:rPr>
                <w:rFonts w:cs="Calibri"/>
                <w:lang w:val="cs-CZ" w:eastAsia="cs-CZ"/>
              </w:rPr>
              <w:t>Snížit energetickou náročnost u veřejných budov a zvýšit využití obnovitelných zdrojů energie</w:t>
            </w:r>
          </w:p>
        </w:tc>
        <w:tc>
          <w:tcPr>
            <w:tcW w:w="1974" w:type="dxa"/>
            <w:tcBorders>
              <w:top w:val="dotted" w:sz="4" w:space="0" w:color="auto"/>
              <w:left w:val="single" w:sz="4" w:space="0" w:color="auto"/>
              <w:right w:val="single" w:sz="4" w:space="0" w:color="auto"/>
            </w:tcBorders>
            <w:shd w:val="clear" w:color="auto" w:fill="auto"/>
            <w:vAlign w:val="center"/>
          </w:tcPr>
          <w:p w:rsidR="00295566" w:rsidRPr="008B53A9" w:rsidRDefault="00295566" w:rsidP="004A3D52">
            <w:pPr>
              <w:pStyle w:val="Tabulka"/>
              <w:jc w:val="left"/>
              <w:rPr>
                <w:rFonts w:cs="Calibri"/>
                <w:lang w:val="cs-CZ" w:eastAsia="cs-CZ"/>
              </w:rPr>
            </w:pPr>
            <w:r w:rsidRPr="008B53A9">
              <w:rPr>
                <w:rFonts w:cs="Calibri"/>
                <w:lang w:val="cs-CZ" w:eastAsia="cs-CZ"/>
              </w:rPr>
              <w:t>SC 2.</w:t>
            </w:r>
            <w:r w:rsidR="004A3D52" w:rsidRPr="008B53A9">
              <w:rPr>
                <w:rFonts w:cs="Calibri"/>
                <w:lang w:val="cs-CZ" w:eastAsia="cs-CZ"/>
              </w:rPr>
              <w:t>5</w:t>
            </w:r>
            <w:r w:rsidRPr="008B53A9">
              <w:rPr>
                <w:rFonts w:cs="Calibri"/>
                <w:lang w:val="cs-CZ" w:eastAsia="cs-CZ"/>
              </w:rPr>
              <w:t>: Snížení energetické náročnosti v sektoru bydlení</w:t>
            </w:r>
          </w:p>
        </w:tc>
        <w:tc>
          <w:tcPr>
            <w:tcW w:w="1974" w:type="dxa"/>
            <w:tcBorders>
              <w:top w:val="dotted" w:sz="4" w:space="0" w:color="auto"/>
              <w:left w:val="single" w:sz="4" w:space="0" w:color="auto"/>
              <w:right w:val="single" w:sz="4" w:space="0" w:color="auto"/>
            </w:tcBorders>
            <w:vAlign w:val="center"/>
          </w:tcPr>
          <w:p w:rsidR="00295566" w:rsidRPr="008B53A9" w:rsidRDefault="00295566" w:rsidP="002D4D69">
            <w:pPr>
              <w:pStyle w:val="Tabulka"/>
              <w:jc w:val="left"/>
              <w:rPr>
                <w:rFonts w:cs="Calibri"/>
                <w:lang w:val="cs-CZ" w:eastAsia="cs-CZ"/>
              </w:rPr>
            </w:pPr>
            <w:r w:rsidRPr="008B53A9">
              <w:rPr>
                <w:rFonts w:cs="Calibri"/>
                <w:lang w:val="cs-CZ" w:eastAsia="cs-CZ"/>
              </w:rPr>
              <w:t>SC 2.1: Energetické úspory v městských objektech dosažené také s využitím vhodných obnovitelných zdrojů energie, energeticky efektivních zařízení a inteligentních systémů řízení</w:t>
            </w:r>
          </w:p>
        </w:tc>
        <w:tc>
          <w:tcPr>
            <w:tcW w:w="1974" w:type="dxa"/>
            <w:tcBorders>
              <w:top w:val="dotted" w:sz="4" w:space="0" w:color="auto"/>
              <w:left w:val="single"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1. Investice do zemědělských podniků</w:t>
            </w:r>
          </w:p>
        </w:tc>
        <w:tc>
          <w:tcPr>
            <w:tcW w:w="1975" w:type="dxa"/>
            <w:tcBorders>
              <w:top w:val="dotted" w:sz="4" w:space="0" w:color="auto"/>
              <w:left w:val="single" w:sz="4" w:space="0" w:color="auto"/>
            </w:tcBorders>
            <w:vAlign w:val="center"/>
          </w:tcPr>
          <w:p w:rsidR="00295566" w:rsidRPr="008B53A9" w:rsidRDefault="00556501" w:rsidP="00555FDF">
            <w:pPr>
              <w:pStyle w:val="Tabulka"/>
              <w:jc w:val="left"/>
              <w:rPr>
                <w:rFonts w:cs="Calibri"/>
                <w:lang w:val="cs-CZ" w:eastAsia="cs-CZ"/>
              </w:rPr>
            </w:pPr>
            <w:r w:rsidRPr="008B53A9">
              <w:rPr>
                <w:rFonts w:cs="Calibri"/>
                <w:lang w:val="cs-CZ" w:eastAsia="cs-CZ"/>
              </w:rPr>
              <w:t>2.2 Z</w:t>
            </w:r>
            <w:r w:rsidR="00152A0D" w:rsidRPr="008B53A9">
              <w:rPr>
                <w:rFonts w:cs="Calibri"/>
                <w:lang w:val="cs-CZ" w:eastAsia="cs-CZ"/>
              </w:rPr>
              <w:t>výšení konkurenceschopnosti a životaschopnosti podniků akvakultury, včetně zlepšení bezpečnosti nebo pracovních podmínek, zejména MSP</w:t>
            </w:r>
          </w:p>
        </w:tc>
      </w:tr>
      <w:tr w:rsidR="00295566" w:rsidRPr="008B53A9">
        <w:tc>
          <w:tcPr>
            <w:tcW w:w="2093" w:type="dxa"/>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Věcná specifikace (zaměření, aktivity)</w:t>
            </w:r>
          </w:p>
        </w:tc>
        <w:tc>
          <w:tcPr>
            <w:tcW w:w="2126" w:type="dxa"/>
            <w:shd w:val="clear" w:color="auto" w:fill="auto"/>
            <w:vAlign w:val="center"/>
          </w:tcPr>
          <w:p w:rsidR="00295566" w:rsidRPr="008B53A9" w:rsidRDefault="00047773" w:rsidP="00267430">
            <w:pPr>
              <w:pStyle w:val="Tabulka"/>
              <w:jc w:val="left"/>
              <w:rPr>
                <w:rFonts w:cs="Calibri"/>
                <w:lang w:val="cs-CZ" w:eastAsia="cs-CZ"/>
              </w:rPr>
            </w:pPr>
            <w:r w:rsidRPr="008B53A9">
              <w:rPr>
                <w:rFonts w:cs="Calibri"/>
                <w:lang w:val="cs-CZ" w:eastAsia="cs-CZ"/>
              </w:rPr>
              <w:t>Ú</w:t>
            </w:r>
            <w:r w:rsidR="00295566" w:rsidRPr="008B53A9">
              <w:rPr>
                <w:rFonts w:cs="Calibri"/>
                <w:lang w:val="cs-CZ" w:eastAsia="cs-CZ"/>
              </w:rPr>
              <w:t>spory energie v budovách podnikatelských subjektů</w:t>
            </w:r>
          </w:p>
        </w:tc>
        <w:tc>
          <w:tcPr>
            <w:tcW w:w="284" w:type="dxa"/>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1974" w:type="dxa"/>
            <w:tcBorders>
              <w:right w:val="single" w:sz="4" w:space="0" w:color="auto"/>
            </w:tcBorders>
            <w:shd w:val="clear" w:color="auto" w:fill="auto"/>
            <w:vAlign w:val="center"/>
          </w:tcPr>
          <w:p w:rsidR="00295566" w:rsidRPr="008B53A9" w:rsidRDefault="00047773" w:rsidP="00267430">
            <w:pPr>
              <w:pStyle w:val="Tabulka"/>
              <w:jc w:val="left"/>
              <w:rPr>
                <w:rFonts w:cs="Calibri"/>
                <w:lang w:val="cs-CZ" w:eastAsia="cs-CZ"/>
              </w:rPr>
            </w:pPr>
            <w:r w:rsidRPr="008B53A9">
              <w:rPr>
                <w:rFonts w:cs="Calibri"/>
                <w:lang w:val="cs-CZ" w:eastAsia="cs-CZ"/>
              </w:rPr>
              <w:t>Ú</w:t>
            </w:r>
            <w:r w:rsidR="00295566" w:rsidRPr="008B53A9">
              <w:rPr>
                <w:rFonts w:cs="Calibri"/>
                <w:lang w:val="cs-CZ" w:eastAsia="cs-CZ"/>
              </w:rPr>
              <w:t>spory energie v budovách veřejného sektoru</w:t>
            </w:r>
          </w:p>
        </w:tc>
        <w:tc>
          <w:tcPr>
            <w:tcW w:w="1974" w:type="dxa"/>
            <w:tcBorders>
              <w:left w:val="single" w:sz="4" w:space="0" w:color="auto"/>
              <w:right w:val="single" w:sz="4" w:space="0" w:color="auto"/>
            </w:tcBorders>
            <w:shd w:val="clear" w:color="auto" w:fill="auto"/>
            <w:vAlign w:val="center"/>
          </w:tcPr>
          <w:p w:rsidR="00295566" w:rsidRPr="008B53A9" w:rsidRDefault="00047773" w:rsidP="00267430">
            <w:pPr>
              <w:pStyle w:val="Tabulka"/>
              <w:jc w:val="left"/>
              <w:rPr>
                <w:rFonts w:cs="Calibri"/>
                <w:lang w:val="cs-CZ" w:eastAsia="cs-CZ"/>
              </w:rPr>
            </w:pPr>
            <w:r w:rsidRPr="008B53A9">
              <w:rPr>
                <w:rFonts w:cs="Calibri"/>
                <w:lang w:val="cs-CZ" w:eastAsia="cs-CZ"/>
              </w:rPr>
              <w:t>Ú</w:t>
            </w:r>
            <w:r w:rsidR="00295566" w:rsidRPr="008B53A9">
              <w:rPr>
                <w:rFonts w:cs="Calibri"/>
                <w:lang w:val="cs-CZ" w:eastAsia="cs-CZ"/>
              </w:rPr>
              <w:t>spory energie v budovách domácností</w:t>
            </w:r>
          </w:p>
        </w:tc>
        <w:tc>
          <w:tcPr>
            <w:tcW w:w="1974" w:type="dxa"/>
            <w:tcBorders>
              <w:left w:val="single" w:sz="4" w:space="0" w:color="auto"/>
              <w:right w:val="single" w:sz="4" w:space="0" w:color="auto"/>
            </w:tcBorders>
            <w:vAlign w:val="center"/>
          </w:tcPr>
          <w:p w:rsidR="00295566" w:rsidRPr="008B53A9" w:rsidRDefault="00047773" w:rsidP="002D4D69">
            <w:pPr>
              <w:pStyle w:val="Tabulka"/>
              <w:jc w:val="left"/>
              <w:rPr>
                <w:rFonts w:cs="Calibri"/>
                <w:lang w:val="cs-CZ" w:eastAsia="cs-CZ"/>
              </w:rPr>
            </w:pPr>
            <w:r w:rsidRPr="008B53A9">
              <w:rPr>
                <w:rFonts w:cs="Calibri"/>
                <w:lang w:val="cs-CZ" w:eastAsia="cs-CZ"/>
              </w:rPr>
              <w:t>R</w:t>
            </w:r>
            <w:r w:rsidR="00295566" w:rsidRPr="008B53A9">
              <w:rPr>
                <w:rFonts w:cs="Calibri"/>
                <w:lang w:val="cs-CZ" w:eastAsia="cs-CZ"/>
              </w:rPr>
              <w:t>ealizace pilotních projektů přeměny energeticky náročných veřejných budov na budovy s téměř nulovou spotřebou energie s integrovanými inteligentními systémy</w:t>
            </w:r>
          </w:p>
        </w:tc>
        <w:tc>
          <w:tcPr>
            <w:tcW w:w="1974" w:type="dxa"/>
            <w:tcBorders>
              <w:left w:val="single" w:sz="4" w:space="0" w:color="auto"/>
              <w:right w:val="single" w:sz="4" w:space="0" w:color="auto"/>
            </w:tcBorders>
            <w:shd w:val="clear" w:color="auto" w:fill="auto"/>
            <w:vAlign w:val="center"/>
          </w:tcPr>
          <w:p w:rsidR="00295566" w:rsidRPr="008B53A9" w:rsidRDefault="00047773" w:rsidP="00267430">
            <w:pPr>
              <w:pStyle w:val="Tabulka"/>
              <w:jc w:val="left"/>
              <w:rPr>
                <w:rFonts w:cs="Calibri"/>
                <w:lang w:val="cs-CZ" w:eastAsia="cs-CZ"/>
              </w:rPr>
            </w:pPr>
            <w:r w:rsidRPr="008B53A9">
              <w:rPr>
                <w:rFonts w:cs="Calibri"/>
                <w:lang w:val="cs-CZ" w:eastAsia="cs-CZ"/>
              </w:rPr>
              <w:t>Z</w:t>
            </w:r>
            <w:r w:rsidR="00295566" w:rsidRPr="008B53A9">
              <w:rPr>
                <w:rFonts w:cs="Calibri"/>
                <w:lang w:val="cs-CZ" w:eastAsia="cs-CZ"/>
              </w:rPr>
              <w:t>výšení efektivity výroby (energetická úspora)</w:t>
            </w:r>
          </w:p>
        </w:tc>
        <w:tc>
          <w:tcPr>
            <w:tcW w:w="1975" w:type="dxa"/>
            <w:tcBorders>
              <w:left w:val="single" w:sz="4" w:space="0" w:color="auto"/>
            </w:tcBorders>
            <w:vAlign w:val="center"/>
          </w:tcPr>
          <w:p w:rsidR="00295566" w:rsidRPr="008B53A9" w:rsidRDefault="00047773" w:rsidP="00555FDF">
            <w:pPr>
              <w:pStyle w:val="Tabulka"/>
              <w:jc w:val="left"/>
              <w:rPr>
                <w:rFonts w:cs="Calibri"/>
                <w:lang w:val="cs-CZ" w:eastAsia="cs-CZ"/>
              </w:rPr>
            </w:pPr>
            <w:r w:rsidRPr="008B53A9">
              <w:rPr>
                <w:rFonts w:cs="Calibri"/>
                <w:lang w:val="cs-CZ" w:eastAsia="cs-CZ"/>
              </w:rPr>
              <w:t>S</w:t>
            </w:r>
            <w:r w:rsidR="00295566" w:rsidRPr="008B53A9">
              <w:rPr>
                <w:rFonts w:cs="Calibri"/>
                <w:lang w:val="cs-CZ" w:eastAsia="cs-CZ"/>
              </w:rPr>
              <w:t>nižování energetické náročnosti produkce akvakultury</w:t>
            </w:r>
          </w:p>
        </w:tc>
      </w:tr>
      <w:tr w:rsidR="00295566" w:rsidRPr="008B53A9">
        <w:tc>
          <w:tcPr>
            <w:tcW w:w="2093" w:type="dxa"/>
            <w:shd w:val="clear" w:color="auto" w:fill="DBE5F1"/>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Implementační prvky</w:t>
            </w:r>
          </w:p>
        </w:tc>
        <w:tc>
          <w:tcPr>
            <w:tcW w:w="2126" w:type="dxa"/>
            <w:tcBorders>
              <w:bottom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 xml:space="preserve">Typy příjemců: </w:t>
            </w:r>
            <w:r w:rsidR="006531D2" w:rsidRPr="008B53A9">
              <w:rPr>
                <w:rFonts w:cs="Calibri"/>
                <w:lang w:val="cs-CZ" w:eastAsia="cs-CZ"/>
              </w:rPr>
              <w:t xml:space="preserve">Podnikatelské subjekty (malé, střední a případně velké podniky); pro intervence v oblasti úspor energie (zateplování výrobních a </w:t>
            </w:r>
            <w:r w:rsidR="006531D2" w:rsidRPr="008B53A9">
              <w:rPr>
                <w:rFonts w:cs="Calibri"/>
                <w:lang w:val="cs-CZ" w:eastAsia="cs-CZ"/>
              </w:rPr>
              <w:lastRenderedPageBreak/>
              <w:t>podnikatelských objektů) rovněž zemědělští podnikatelé, podnikatelé v potravinářství, v ubytovacích a stravovacích službách a maloobchodní organizace, podnikatelé v oblasti akvakultury.</w:t>
            </w:r>
          </w:p>
          <w:p w:rsidR="00295566" w:rsidRPr="008B53A9" w:rsidRDefault="00295566" w:rsidP="006531D2">
            <w:pPr>
              <w:pStyle w:val="Tabulka"/>
              <w:jc w:val="left"/>
              <w:rPr>
                <w:rFonts w:cs="Calibri"/>
                <w:lang w:val="cs-CZ" w:eastAsia="cs-CZ"/>
              </w:rPr>
            </w:pPr>
            <w:r w:rsidRPr="008B53A9">
              <w:rPr>
                <w:rFonts w:cs="Calibri"/>
                <w:lang w:val="cs-CZ" w:eastAsia="cs-CZ"/>
              </w:rPr>
              <w:t xml:space="preserve">Cílové území: </w:t>
            </w:r>
            <w:r w:rsidR="006531D2" w:rsidRPr="008B53A9">
              <w:rPr>
                <w:rFonts w:cs="Calibri"/>
                <w:lang w:val="cs-CZ" w:eastAsia="cs-CZ"/>
              </w:rPr>
              <w:t>V</w:t>
            </w:r>
            <w:r w:rsidRPr="008B53A9">
              <w:rPr>
                <w:rFonts w:cs="Calibri"/>
                <w:lang w:val="cs-CZ" w:eastAsia="cs-CZ"/>
              </w:rPr>
              <w:t>šech</w:t>
            </w:r>
            <w:r w:rsidR="006531D2" w:rsidRPr="008B53A9">
              <w:rPr>
                <w:rFonts w:cs="Calibri"/>
                <w:lang w:val="cs-CZ" w:eastAsia="cs-CZ"/>
              </w:rPr>
              <w:t>ny</w:t>
            </w:r>
            <w:r w:rsidRPr="008B53A9">
              <w:rPr>
                <w:rFonts w:cs="Calibri"/>
                <w:lang w:val="cs-CZ" w:eastAsia="cs-CZ"/>
              </w:rPr>
              <w:t xml:space="preserve"> region</w:t>
            </w:r>
            <w:r w:rsidR="006531D2" w:rsidRPr="008B53A9">
              <w:rPr>
                <w:rFonts w:cs="Calibri"/>
                <w:lang w:val="cs-CZ" w:eastAsia="cs-CZ"/>
              </w:rPr>
              <w:t>y</w:t>
            </w:r>
            <w:r w:rsidRPr="008B53A9">
              <w:rPr>
                <w:rFonts w:cs="Calibri"/>
                <w:lang w:val="cs-CZ" w:eastAsia="cs-CZ"/>
              </w:rPr>
              <w:t xml:space="preserve"> České republiky</w:t>
            </w:r>
            <w:r w:rsidR="006531D2" w:rsidRPr="008B53A9">
              <w:rPr>
                <w:rFonts w:cs="Calibri"/>
                <w:lang w:val="cs-CZ" w:eastAsia="cs-CZ"/>
              </w:rPr>
              <w:t>, mimo území hl. města Prahy</w:t>
            </w:r>
            <w:r w:rsidRPr="008B53A9">
              <w:rPr>
                <w:rFonts w:cs="Calibri"/>
                <w:lang w:val="cs-CZ" w:eastAsia="cs-CZ"/>
              </w:rPr>
              <w:t>.</w:t>
            </w:r>
          </w:p>
        </w:tc>
        <w:tc>
          <w:tcPr>
            <w:tcW w:w="284" w:type="dxa"/>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1974" w:type="dxa"/>
            <w:tcBorders>
              <w:right w:val="single" w:sz="4" w:space="0" w:color="auto"/>
            </w:tcBorders>
            <w:shd w:val="clear" w:color="auto" w:fill="auto"/>
            <w:vAlign w:val="center"/>
          </w:tcPr>
          <w:p w:rsidR="006531D2" w:rsidRPr="008B53A9" w:rsidRDefault="006531D2" w:rsidP="006531D2">
            <w:pPr>
              <w:pStyle w:val="Tabulka"/>
              <w:jc w:val="left"/>
              <w:rPr>
                <w:rFonts w:cs="Calibri"/>
                <w:lang w:val="cs-CZ" w:eastAsia="cs-CZ"/>
              </w:rPr>
            </w:pPr>
            <w:r w:rsidRPr="008B53A9">
              <w:rPr>
                <w:rFonts w:cs="Calibri"/>
                <w:lang w:val="cs-CZ" w:eastAsia="cs-CZ"/>
              </w:rPr>
              <w:t xml:space="preserve">Typy příjemců: organizační složky státu, státní příspěvkové organizace, příspěvkové organizace obcí, příspěvkové organizace krajů, </w:t>
            </w:r>
            <w:r w:rsidRPr="008B53A9">
              <w:rPr>
                <w:rFonts w:cs="Calibri"/>
                <w:lang w:val="cs-CZ" w:eastAsia="cs-CZ"/>
              </w:rPr>
              <w:lastRenderedPageBreak/>
              <w:t>obce, kraje, svazky obcí, veřejné výzkumné instituce, veřejné a státní vysoké školy, školské právnické osoby, spolky, účelová zařízení církví nebo náboženských společností, obecně prospěšné společnosti, jiné subjekty sloužící veřejnému zájmu, zejména organizační složky obcí, organizační složky krajů, obchodní společnosti vlastněné ze 100 % obcemi či jinými veřejnoprávními subjekty, státní organizace zřízené zvláštním zákonem.</w:t>
            </w:r>
          </w:p>
          <w:p w:rsidR="00295566" w:rsidRPr="008B53A9" w:rsidRDefault="006531D2" w:rsidP="006531D2">
            <w:pPr>
              <w:pStyle w:val="Tabulka"/>
              <w:jc w:val="left"/>
              <w:rPr>
                <w:rFonts w:cs="Calibri"/>
                <w:lang w:val="cs-CZ" w:eastAsia="cs-CZ"/>
              </w:rPr>
            </w:pPr>
            <w:r w:rsidRPr="008B53A9">
              <w:rPr>
                <w:rFonts w:cs="Calibri"/>
                <w:lang w:val="cs-CZ" w:eastAsia="cs-CZ"/>
              </w:rPr>
              <w:t xml:space="preserve">Cílové území: </w:t>
            </w:r>
            <w:r w:rsidR="000201D0" w:rsidRPr="008B53A9">
              <w:rPr>
                <w:rFonts w:cs="Calibri"/>
                <w:lang w:val="cs-CZ" w:eastAsia="cs-CZ"/>
              </w:rPr>
              <w:t xml:space="preserve">Celá </w:t>
            </w:r>
            <w:r w:rsidRPr="008B53A9">
              <w:rPr>
                <w:rFonts w:cs="Calibri"/>
                <w:lang w:val="cs-CZ" w:eastAsia="cs-CZ"/>
              </w:rPr>
              <w:t>Česká republika.</w:t>
            </w:r>
          </w:p>
        </w:tc>
        <w:tc>
          <w:tcPr>
            <w:tcW w:w="1974" w:type="dxa"/>
            <w:tcBorders>
              <w:left w:val="single" w:sz="4" w:space="0" w:color="auto"/>
              <w:right w:val="single" w:sz="4" w:space="0" w:color="auto"/>
            </w:tcBorders>
            <w:shd w:val="clear" w:color="auto" w:fill="auto"/>
            <w:vAlign w:val="center"/>
          </w:tcPr>
          <w:p w:rsidR="00295566" w:rsidRPr="008B53A9" w:rsidRDefault="00295566" w:rsidP="004A3D52">
            <w:pPr>
              <w:pStyle w:val="Tabulka"/>
              <w:jc w:val="left"/>
              <w:rPr>
                <w:rFonts w:cs="Calibri"/>
                <w:lang w:val="cs-CZ" w:eastAsia="cs-CZ"/>
              </w:rPr>
            </w:pPr>
            <w:r w:rsidRPr="008B53A9">
              <w:rPr>
                <w:rFonts w:cs="Calibri"/>
                <w:lang w:val="cs-CZ" w:eastAsia="cs-CZ"/>
              </w:rPr>
              <w:lastRenderedPageBreak/>
              <w:t xml:space="preserve">Typy příjemců: </w:t>
            </w:r>
            <w:r w:rsidR="004A3D52" w:rsidRPr="008B53A9">
              <w:rPr>
                <w:rFonts w:cs="Calibri"/>
                <w:lang w:val="cs-CZ" w:eastAsia="cs-CZ"/>
              </w:rPr>
              <w:t>Vlastníci bytových domů podle vyhlášky č. 501/2006 Sb. - budovy se čtyřmi a více byty.</w:t>
            </w:r>
          </w:p>
          <w:p w:rsidR="004A3D52" w:rsidRPr="008B53A9" w:rsidRDefault="004A3D52" w:rsidP="004A3D52">
            <w:pPr>
              <w:pStyle w:val="Tabulka"/>
              <w:jc w:val="left"/>
              <w:rPr>
                <w:rFonts w:cs="Calibri"/>
                <w:lang w:val="cs-CZ" w:eastAsia="cs-CZ"/>
              </w:rPr>
            </w:pPr>
            <w:r w:rsidRPr="008B53A9">
              <w:rPr>
                <w:rFonts w:cs="Calibri"/>
                <w:lang w:val="cs-CZ" w:eastAsia="cs-CZ"/>
              </w:rPr>
              <w:t xml:space="preserve">Cílové území: </w:t>
            </w:r>
            <w:r w:rsidRPr="008B53A9">
              <w:rPr>
                <w:rFonts w:cs="Calibri"/>
                <w:lang w:val="cs-CZ" w:eastAsia="cs-CZ"/>
              </w:rPr>
              <w:lastRenderedPageBreak/>
              <w:t>Území všech krajů ČR (NUTS 3) kromě hl. m. Prahy. V území se znečištěným ovzduším bude poskytnuta dotace a na ostatním území bude úvěr.</w:t>
            </w:r>
          </w:p>
        </w:tc>
        <w:tc>
          <w:tcPr>
            <w:tcW w:w="1974" w:type="dxa"/>
            <w:tcBorders>
              <w:left w:val="single" w:sz="4" w:space="0" w:color="auto"/>
              <w:right w:val="single" w:sz="4" w:space="0" w:color="auto"/>
            </w:tcBorders>
            <w:vAlign w:val="center"/>
          </w:tcPr>
          <w:p w:rsidR="00295566" w:rsidRPr="008B53A9" w:rsidRDefault="00295566" w:rsidP="002D4D69">
            <w:pPr>
              <w:pStyle w:val="Tabulka"/>
              <w:jc w:val="left"/>
              <w:rPr>
                <w:rFonts w:cs="Calibri"/>
                <w:lang w:val="cs-CZ" w:eastAsia="cs-CZ"/>
              </w:rPr>
            </w:pPr>
            <w:r w:rsidRPr="008B53A9">
              <w:rPr>
                <w:rFonts w:cs="Calibri"/>
                <w:lang w:val="cs-CZ" w:eastAsia="cs-CZ"/>
              </w:rPr>
              <w:lastRenderedPageBreak/>
              <w:t>Typy příjemců: Hlavní město Praha, Organizace zřízené a založené hl. m. Prahou, Dopravní podnik hl. m. Prahy, a.s.</w:t>
            </w:r>
          </w:p>
          <w:p w:rsidR="00295566" w:rsidRPr="008B53A9" w:rsidRDefault="00295566" w:rsidP="002D4D69">
            <w:pPr>
              <w:pStyle w:val="Tabulka"/>
              <w:jc w:val="left"/>
              <w:rPr>
                <w:rFonts w:cs="Calibri"/>
                <w:lang w:val="cs-CZ" w:eastAsia="cs-CZ"/>
              </w:rPr>
            </w:pPr>
            <w:r w:rsidRPr="008B53A9">
              <w:rPr>
                <w:rFonts w:cs="Calibri"/>
                <w:lang w:val="cs-CZ" w:eastAsia="cs-CZ"/>
              </w:rPr>
              <w:t xml:space="preserve">Cílové území: </w:t>
            </w:r>
            <w:r w:rsidRPr="008B53A9">
              <w:rPr>
                <w:rFonts w:cs="Calibri"/>
                <w:lang w:val="cs-CZ" w:eastAsia="cs-CZ"/>
              </w:rPr>
              <w:lastRenderedPageBreak/>
              <w:t>Region soudržnosti NUTS 2 Praha</w:t>
            </w:r>
          </w:p>
        </w:tc>
        <w:tc>
          <w:tcPr>
            <w:tcW w:w="1974" w:type="dxa"/>
            <w:tcBorders>
              <w:left w:val="single" w:sz="4" w:space="0" w:color="auto"/>
              <w:right w:val="single" w:sz="4" w:space="0" w:color="auto"/>
            </w:tcBorders>
            <w:shd w:val="clear" w:color="auto" w:fill="auto"/>
            <w:vAlign w:val="center"/>
          </w:tcPr>
          <w:p w:rsidR="00295566" w:rsidRPr="008B53A9" w:rsidRDefault="00295566" w:rsidP="00085D12">
            <w:pPr>
              <w:pStyle w:val="Tabulka"/>
              <w:jc w:val="left"/>
              <w:rPr>
                <w:rFonts w:cs="Calibri"/>
                <w:lang w:val="cs-CZ" w:eastAsia="cs-CZ"/>
              </w:rPr>
            </w:pPr>
            <w:r w:rsidRPr="008B53A9">
              <w:rPr>
                <w:rFonts w:cs="Calibri"/>
                <w:lang w:val="cs-CZ" w:eastAsia="cs-CZ"/>
              </w:rPr>
              <w:lastRenderedPageBreak/>
              <w:t>Typy příjemců: Zemědělský podnikatel</w:t>
            </w:r>
          </w:p>
          <w:p w:rsidR="00295566" w:rsidRPr="008B53A9" w:rsidRDefault="00295566" w:rsidP="00085D12">
            <w:pPr>
              <w:pStyle w:val="Tabulka"/>
              <w:jc w:val="left"/>
              <w:rPr>
                <w:rFonts w:cs="Calibri"/>
                <w:lang w:val="cs-CZ" w:eastAsia="cs-CZ"/>
              </w:rPr>
            </w:pPr>
            <w:r w:rsidRPr="008B53A9">
              <w:rPr>
                <w:rFonts w:cs="Calibri"/>
                <w:lang w:val="cs-CZ" w:eastAsia="cs-CZ"/>
              </w:rPr>
              <w:t>Cílové území: území České republiky s výjimkou území hl. města Prahy</w:t>
            </w:r>
          </w:p>
        </w:tc>
        <w:tc>
          <w:tcPr>
            <w:tcW w:w="1975" w:type="dxa"/>
            <w:tcBorders>
              <w:left w:val="single" w:sz="4" w:space="0" w:color="auto"/>
            </w:tcBorders>
            <w:vAlign w:val="center"/>
          </w:tcPr>
          <w:p w:rsidR="00295566" w:rsidRPr="008B53A9" w:rsidRDefault="00295566" w:rsidP="00555FDF">
            <w:pPr>
              <w:pStyle w:val="Tabulka"/>
              <w:jc w:val="left"/>
              <w:rPr>
                <w:rFonts w:cs="Calibri"/>
                <w:lang w:val="cs-CZ" w:eastAsia="cs-CZ"/>
              </w:rPr>
            </w:pPr>
            <w:r w:rsidRPr="008B53A9">
              <w:rPr>
                <w:rFonts w:cs="Calibri"/>
                <w:lang w:val="cs-CZ" w:eastAsia="cs-CZ"/>
              </w:rPr>
              <w:t>Typy příjemců: podniky akvakultury</w:t>
            </w:r>
          </w:p>
          <w:p w:rsidR="00295566" w:rsidRPr="008B53A9" w:rsidRDefault="00295566" w:rsidP="00555FDF">
            <w:pPr>
              <w:pStyle w:val="Tabulka"/>
              <w:jc w:val="left"/>
              <w:rPr>
                <w:rFonts w:cs="Calibri"/>
                <w:lang w:val="cs-CZ" w:eastAsia="cs-CZ"/>
              </w:rPr>
            </w:pPr>
            <w:r w:rsidRPr="008B53A9">
              <w:rPr>
                <w:rFonts w:cs="Calibri"/>
                <w:lang w:val="cs-CZ" w:eastAsia="cs-CZ"/>
              </w:rPr>
              <w:t xml:space="preserve">Cílové území: </w:t>
            </w:r>
            <w:r w:rsidR="00152A0D" w:rsidRPr="008B53A9">
              <w:rPr>
                <w:rFonts w:cs="Calibri"/>
                <w:lang w:val="cs-CZ" w:eastAsia="cs-CZ"/>
              </w:rPr>
              <w:t>území České republiky s výjimkou území hl. města Prahy</w:t>
            </w:r>
          </w:p>
        </w:tc>
      </w:tr>
      <w:tr w:rsidR="00152A0D" w:rsidRPr="008B53A9">
        <w:tc>
          <w:tcPr>
            <w:tcW w:w="2093" w:type="dxa"/>
            <w:shd w:val="clear" w:color="auto" w:fill="DBE5F1"/>
            <w:vAlign w:val="center"/>
          </w:tcPr>
          <w:p w:rsidR="00152A0D" w:rsidRPr="008B53A9" w:rsidRDefault="00152A0D" w:rsidP="00267430">
            <w:pPr>
              <w:pStyle w:val="Tabulka"/>
              <w:jc w:val="left"/>
              <w:rPr>
                <w:rFonts w:cs="Calibri"/>
                <w:b/>
                <w:lang w:val="cs-CZ" w:eastAsia="cs-CZ"/>
              </w:rPr>
            </w:pPr>
            <w:r w:rsidRPr="008B53A9">
              <w:rPr>
                <w:rFonts w:cs="Calibri"/>
                <w:b/>
                <w:lang w:val="cs-CZ" w:eastAsia="cs-CZ"/>
              </w:rPr>
              <w:lastRenderedPageBreak/>
              <w:t xml:space="preserve">Synergie/komplementarita </w:t>
            </w:r>
          </w:p>
        </w:tc>
        <w:tc>
          <w:tcPr>
            <w:tcW w:w="2126" w:type="dxa"/>
            <w:tcBorders>
              <w:tr2bl w:val="single" w:sz="4" w:space="0" w:color="auto"/>
            </w:tcBorders>
            <w:shd w:val="clear" w:color="auto" w:fill="auto"/>
            <w:vAlign w:val="center"/>
          </w:tcPr>
          <w:p w:rsidR="00152A0D" w:rsidRPr="008B53A9" w:rsidRDefault="00152A0D" w:rsidP="00267430">
            <w:pPr>
              <w:pStyle w:val="Tabulka"/>
              <w:jc w:val="left"/>
              <w:rPr>
                <w:rFonts w:cs="Calibri"/>
                <w:lang w:val="cs-CZ" w:eastAsia="cs-CZ"/>
              </w:rPr>
            </w:pPr>
          </w:p>
        </w:tc>
        <w:tc>
          <w:tcPr>
            <w:tcW w:w="284" w:type="dxa"/>
            <w:tcBorders>
              <w:top w:val="nil"/>
              <w:bottom w:val="nil"/>
            </w:tcBorders>
            <w:shd w:val="clear" w:color="auto" w:fill="auto"/>
            <w:vAlign w:val="center"/>
          </w:tcPr>
          <w:p w:rsidR="00152A0D" w:rsidRPr="008B53A9" w:rsidRDefault="00152A0D" w:rsidP="00267430">
            <w:pPr>
              <w:pStyle w:val="Tabulka"/>
              <w:jc w:val="left"/>
              <w:rPr>
                <w:rFonts w:cs="Calibri"/>
                <w:sz w:val="6"/>
                <w:szCs w:val="6"/>
                <w:lang w:val="cs-CZ" w:eastAsia="cs-CZ"/>
              </w:rPr>
            </w:pPr>
          </w:p>
        </w:tc>
        <w:tc>
          <w:tcPr>
            <w:tcW w:w="1974" w:type="dxa"/>
            <w:tcBorders>
              <w:right w:val="single" w:sz="4" w:space="0" w:color="auto"/>
            </w:tcBorders>
            <w:shd w:val="clear" w:color="auto" w:fill="auto"/>
            <w:vAlign w:val="center"/>
          </w:tcPr>
          <w:p w:rsidR="00152A0D" w:rsidRPr="008B53A9" w:rsidRDefault="00530742" w:rsidP="006531D2">
            <w:pPr>
              <w:pStyle w:val="Tabulka"/>
              <w:jc w:val="left"/>
              <w:rPr>
                <w:rFonts w:cs="Calibri"/>
                <w:lang w:val="cs-CZ" w:eastAsia="cs-CZ"/>
              </w:rPr>
            </w:pPr>
            <w:r w:rsidRPr="008B53A9">
              <w:rPr>
                <w:rFonts w:cs="Calibri"/>
                <w:lang w:val="cs-CZ" w:eastAsia="cs-CZ"/>
              </w:rPr>
              <w:t>komplementarita</w:t>
            </w:r>
          </w:p>
        </w:tc>
        <w:tc>
          <w:tcPr>
            <w:tcW w:w="1974" w:type="dxa"/>
            <w:tcBorders>
              <w:left w:val="single" w:sz="4" w:space="0" w:color="auto"/>
              <w:right w:val="single" w:sz="4" w:space="0" w:color="auto"/>
            </w:tcBorders>
            <w:shd w:val="clear" w:color="auto" w:fill="auto"/>
            <w:vAlign w:val="center"/>
          </w:tcPr>
          <w:p w:rsidR="00152A0D" w:rsidRPr="008B53A9" w:rsidRDefault="00530742" w:rsidP="004A3D52">
            <w:pPr>
              <w:pStyle w:val="Tabulka"/>
              <w:jc w:val="left"/>
              <w:rPr>
                <w:rFonts w:cs="Calibri"/>
                <w:lang w:val="cs-CZ" w:eastAsia="cs-CZ"/>
              </w:rPr>
            </w:pPr>
            <w:r w:rsidRPr="008B53A9">
              <w:rPr>
                <w:rFonts w:cs="Calibri"/>
                <w:lang w:val="cs-CZ" w:eastAsia="cs-CZ"/>
              </w:rPr>
              <w:t>komplementarita</w:t>
            </w:r>
          </w:p>
        </w:tc>
        <w:tc>
          <w:tcPr>
            <w:tcW w:w="1974" w:type="dxa"/>
            <w:tcBorders>
              <w:left w:val="single" w:sz="4" w:space="0" w:color="auto"/>
              <w:right w:val="single" w:sz="4" w:space="0" w:color="auto"/>
            </w:tcBorders>
            <w:vAlign w:val="center"/>
          </w:tcPr>
          <w:p w:rsidR="00152A0D" w:rsidRPr="008B53A9" w:rsidRDefault="00530742" w:rsidP="002D4D69">
            <w:pPr>
              <w:pStyle w:val="Tabulka"/>
              <w:jc w:val="left"/>
              <w:rPr>
                <w:rFonts w:cs="Calibri"/>
                <w:lang w:val="cs-CZ" w:eastAsia="cs-CZ"/>
              </w:rPr>
            </w:pPr>
            <w:r w:rsidRPr="008B53A9">
              <w:rPr>
                <w:rFonts w:cs="Calibri"/>
                <w:lang w:val="cs-CZ" w:eastAsia="cs-CZ"/>
              </w:rPr>
              <w:t>komplementarita</w:t>
            </w:r>
          </w:p>
        </w:tc>
        <w:tc>
          <w:tcPr>
            <w:tcW w:w="1974" w:type="dxa"/>
            <w:tcBorders>
              <w:left w:val="single" w:sz="4" w:space="0" w:color="auto"/>
              <w:right w:val="single" w:sz="4" w:space="0" w:color="auto"/>
            </w:tcBorders>
            <w:shd w:val="clear" w:color="auto" w:fill="auto"/>
            <w:vAlign w:val="center"/>
          </w:tcPr>
          <w:p w:rsidR="00152A0D" w:rsidRPr="008B53A9" w:rsidRDefault="00530742" w:rsidP="00085D12">
            <w:pPr>
              <w:pStyle w:val="Tabulka"/>
              <w:jc w:val="left"/>
              <w:rPr>
                <w:rFonts w:cs="Calibri"/>
                <w:lang w:val="cs-CZ" w:eastAsia="cs-CZ"/>
              </w:rPr>
            </w:pPr>
            <w:r w:rsidRPr="008B53A9">
              <w:rPr>
                <w:rFonts w:cs="Calibri"/>
                <w:lang w:val="cs-CZ" w:eastAsia="cs-CZ"/>
              </w:rPr>
              <w:t>komplementarita</w:t>
            </w:r>
          </w:p>
        </w:tc>
        <w:tc>
          <w:tcPr>
            <w:tcW w:w="1975" w:type="dxa"/>
            <w:tcBorders>
              <w:left w:val="single" w:sz="4" w:space="0" w:color="auto"/>
            </w:tcBorders>
            <w:vAlign w:val="center"/>
          </w:tcPr>
          <w:p w:rsidR="00152A0D" w:rsidRPr="008B53A9" w:rsidRDefault="00152A0D" w:rsidP="00555FDF">
            <w:pPr>
              <w:pStyle w:val="Tabulka"/>
              <w:jc w:val="left"/>
              <w:rPr>
                <w:rFonts w:cs="Calibri"/>
                <w:lang w:val="cs-CZ" w:eastAsia="cs-CZ"/>
              </w:rPr>
            </w:pPr>
            <w:r w:rsidRPr="008B53A9">
              <w:rPr>
                <w:rFonts w:cs="Calibri"/>
                <w:lang w:val="cs-CZ" w:eastAsia="cs-CZ"/>
              </w:rPr>
              <w:t>komplementarita</w:t>
            </w:r>
          </w:p>
        </w:tc>
      </w:tr>
      <w:tr w:rsidR="002D4D69" w:rsidRPr="008B53A9">
        <w:tc>
          <w:tcPr>
            <w:tcW w:w="2093" w:type="dxa"/>
            <w:shd w:val="clear" w:color="auto" w:fill="DBE5F1"/>
            <w:vAlign w:val="center"/>
          </w:tcPr>
          <w:p w:rsidR="002D4D69" w:rsidRPr="008B53A9" w:rsidRDefault="002D4D69" w:rsidP="00267430">
            <w:pPr>
              <w:pStyle w:val="Tabulka"/>
              <w:jc w:val="left"/>
              <w:rPr>
                <w:rFonts w:cs="Calibri"/>
                <w:b/>
                <w:lang w:val="cs-CZ" w:eastAsia="cs-CZ"/>
              </w:rPr>
            </w:pPr>
            <w:r w:rsidRPr="008B53A9">
              <w:rPr>
                <w:rFonts w:cs="Calibri"/>
                <w:b/>
                <w:lang w:val="cs-CZ" w:eastAsia="cs-CZ"/>
              </w:rPr>
              <w:lastRenderedPageBreak/>
              <w:t>Mechanismus koordinace</w:t>
            </w:r>
          </w:p>
        </w:tc>
        <w:tc>
          <w:tcPr>
            <w:tcW w:w="12281" w:type="dxa"/>
            <w:gridSpan w:val="7"/>
            <w:tcBorders>
              <w:right w:val="single" w:sz="4" w:space="0" w:color="auto"/>
            </w:tcBorders>
          </w:tcPr>
          <w:p w:rsidR="002D4D69" w:rsidRPr="008B53A9" w:rsidRDefault="002D4D69" w:rsidP="000B426C">
            <w:pPr>
              <w:pStyle w:val="Tabulka"/>
              <w:jc w:val="left"/>
              <w:rPr>
                <w:rFonts w:cs="Calibri"/>
                <w:lang w:val="cs-CZ" w:eastAsia="cs-CZ"/>
              </w:rPr>
            </w:pPr>
            <w:r w:rsidRPr="008B53A9">
              <w:rPr>
                <w:rFonts w:cs="Calibri"/>
                <w:lang w:val="cs-CZ" w:eastAsia="cs-CZ"/>
              </w:rPr>
              <w:t>Návrh: věcná koordinace výzev, vzájemná účast zástupců řídích orgánů v pracovních skupinách a platformách ve fázi přípravy i realizace programu, zastoupení na monitorovacím výboru, koordinace prostřednictvím centrálního webového rozhraní MMR-NOK poskytující komplexní informace potenciálním žadatelům, spolupráce na evaluacích v oblasti energetických úspor napříč všemi zainteresovanými operačními programy</w:t>
            </w:r>
          </w:p>
        </w:tc>
      </w:tr>
    </w:tbl>
    <w:p w:rsidR="00D51A7B" w:rsidRPr="008B53A9" w:rsidRDefault="00D51A7B" w:rsidP="00D51A7B">
      <w:pPr>
        <w:pStyle w:val="Standardntext"/>
      </w:pPr>
    </w:p>
    <w:p w:rsidR="00F004B3" w:rsidRPr="008B53A9" w:rsidRDefault="00F004B3" w:rsidP="005D178C">
      <w:pPr>
        <w:pStyle w:val="Standardntext"/>
        <w:numPr>
          <w:ilvl w:val="0"/>
          <w:numId w:val="95"/>
        </w:numPr>
        <w:rPr>
          <w:b/>
        </w:rPr>
      </w:pPr>
      <w:r w:rsidRPr="008B53A9">
        <w:rPr>
          <w:b/>
        </w:rPr>
        <w:t>Druhotné suroviny</w:t>
      </w:r>
    </w:p>
    <w:p w:rsidR="00F004B3" w:rsidRPr="008B53A9" w:rsidRDefault="00F004B3" w:rsidP="00F004B3">
      <w:pPr>
        <w:pStyle w:val="Standardntext"/>
      </w:pPr>
      <w:r w:rsidRPr="008B53A9">
        <w:t xml:space="preserve">Problematika zavádění inovativních nízkouhlíkatých technologií v oblasti zpracování a využívání druhotných surovin je řešena pouze v OP PIK. Nicméně tato oblast je sledována z důvodu věcné blízkosti tématu odpadového hospodářství, které je v působnosti </w:t>
      </w:r>
      <w:r w:rsidRPr="008B53A9">
        <w:rPr>
          <w:b/>
        </w:rPr>
        <w:t>OP ŽP</w:t>
      </w:r>
      <w:r w:rsidRPr="008B53A9">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4676"/>
        <w:gridCol w:w="236"/>
        <w:gridCol w:w="6097"/>
      </w:tblGrid>
      <w:tr w:rsidR="00D51A7B" w:rsidRPr="008B53A9">
        <w:trPr>
          <w:trHeight w:val="233"/>
        </w:trPr>
        <w:tc>
          <w:tcPr>
            <w:tcW w:w="1167" w:type="pct"/>
            <w:shd w:val="clear" w:color="auto" w:fill="739BCB"/>
            <w:vAlign w:val="center"/>
          </w:tcPr>
          <w:p w:rsidR="00D51A7B" w:rsidRPr="008B53A9" w:rsidRDefault="0097199C" w:rsidP="0097199C">
            <w:pPr>
              <w:pStyle w:val="Tabulka"/>
              <w:keepNext/>
              <w:keepLines/>
              <w:jc w:val="left"/>
              <w:rPr>
                <w:rFonts w:cs="Calibri"/>
                <w:b/>
                <w:lang w:val="cs-CZ" w:eastAsia="cs-CZ"/>
              </w:rPr>
            </w:pPr>
            <w:r w:rsidRPr="008B53A9">
              <w:rPr>
                <w:rFonts w:cs="Calibri"/>
                <w:b/>
                <w:color w:val="FFFFFF"/>
                <w:lang w:val="cs-CZ" w:eastAsia="cs-CZ"/>
              </w:rPr>
              <w:t>Druhotné suroviny</w:t>
            </w:r>
          </w:p>
        </w:tc>
        <w:tc>
          <w:tcPr>
            <w:tcW w:w="1628" w:type="pct"/>
            <w:tcBorders>
              <w:bottom w:val="single" w:sz="4" w:space="0" w:color="000000"/>
            </w:tcBorders>
            <w:shd w:val="clear" w:color="auto" w:fill="B8CCE4"/>
            <w:vAlign w:val="center"/>
          </w:tcPr>
          <w:p w:rsidR="00D51A7B" w:rsidRPr="008B53A9" w:rsidRDefault="00D51A7B" w:rsidP="00267430">
            <w:pPr>
              <w:pStyle w:val="Tabulka"/>
              <w:keepNext/>
              <w:keepLines/>
              <w:rPr>
                <w:rFonts w:cs="Calibri"/>
                <w:b/>
                <w:lang w:val="cs-CZ" w:eastAsia="cs-CZ"/>
              </w:rPr>
            </w:pPr>
            <w:r w:rsidRPr="008B53A9">
              <w:rPr>
                <w:rFonts w:cs="Calibri"/>
                <w:b/>
                <w:lang w:val="cs-CZ" w:eastAsia="cs-CZ"/>
              </w:rPr>
              <w:t>OP PIK</w:t>
            </w:r>
          </w:p>
        </w:tc>
        <w:tc>
          <w:tcPr>
            <w:tcW w:w="82" w:type="pct"/>
            <w:tcBorders>
              <w:top w:val="nil"/>
              <w:bottom w:val="nil"/>
            </w:tcBorders>
            <w:shd w:val="clear" w:color="auto" w:fill="auto"/>
            <w:vAlign w:val="center"/>
          </w:tcPr>
          <w:p w:rsidR="00D51A7B" w:rsidRPr="008B53A9" w:rsidRDefault="00D51A7B" w:rsidP="00267430">
            <w:pPr>
              <w:pStyle w:val="Tabulka"/>
              <w:keepNext/>
              <w:keepLines/>
              <w:rPr>
                <w:rFonts w:cs="Calibri"/>
                <w:b/>
                <w:sz w:val="6"/>
                <w:szCs w:val="6"/>
                <w:lang w:val="cs-CZ" w:eastAsia="cs-CZ"/>
              </w:rPr>
            </w:pPr>
          </w:p>
        </w:tc>
        <w:tc>
          <w:tcPr>
            <w:tcW w:w="2123" w:type="pct"/>
            <w:tcBorders>
              <w:bottom w:val="single" w:sz="4" w:space="0" w:color="000000"/>
            </w:tcBorders>
            <w:shd w:val="clear" w:color="auto" w:fill="B8CCE4"/>
            <w:vAlign w:val="center"/>
          </w:tcPr>
          <w:p w:rsidR="00D51A7B" w:rsidRPr="008B53A9" w:rsidRDefault="00D51A7B" w:rsidP="00267430">
            <w:pPr>
              <w:pStyle w:val="Tabulka"/>
              <w:keepNext/>
              <w:keepLines/>
              <w:rPr>
                <w:rFonts w:cs="Calibri"/>
                <w:b/>
                <w:lang w:val="cs-CZ" w:eastAsia="cs-CZ"/>
              </w:rPr>
            </w:pPr>
            <w:r w:rsidRPr="008B53A9">
              <w:rPr>
                <w:rFonts w:cs="Calibri"/>
                <w:b/>
                <w:lang w:val="cs-CZ" w:eastAsia="cs-CZ"/>
              </w:rPr>
              <w:t>OP ŽP</w:t>
            </w:r>
          </w:p>
        </w:tc>
      </w:tr>
      <w:tr w:rsidR="000305FB" w:rsidRPr="008B53A9">
        <w:trPr>
          <w:trHeight w:val="776"/>
        </w:trPr>
        <w:tc>
          <w:tcPr>
            <w:tcW w:w="1167" w:type="pct"/>
            <w:tcBorders>
              <w:bottom w:val="dotted" w:sz="4" w:space="0" w:color="auto"/>
            </w:tcBorders>
            <w:shd w:val="clear" w:color="auto" w:fill="DBE5F1"/>
            <w:vAlign w:val="center"/>
          </w:tcPr>
          <w:p w:rsidR="00D51A7B" w:rsidRPr="008B53A9" w:rsidRDefault="002E0DC8" w:rsidP="00267430">
            <w:pPr>
              <w:pStyle w:val="Tabulka"/>
              <w:jc w:val="left"/>
              <w:rPr>
                <w:rFonts w:cs="Calibri"/>
                <w:b/>
                <w:lang w:val="cs-CZ" w:eastAsia="cs-CZ"/>
              </w:rPr>
            </w:pPr>
            <w:r w:rsidRPr="008B53A9">
              <w:rPr>
                <w:rFonts w:cs="Calibri"/>
                <w:b/>
                <w:lang w:val="cs-CZ" w:eastAsia="cs-CZ"/>
              </w:rPr>
              <w:t>Tematický cíl / investiční priorita</w:t>
            </w:r>
          </w:p>
        </w:tc>
        <w:tc>
          <w:tcPr>
            <w:tcW w:w="1628" w:type="pct"/>
            <w:tcBorders>
              <w:bottom w:val="dotted" w:sz="4" w:space="0" w:color="auto"/>
              <w:right w:val="single" w:sz="4" w:space="0" w:color="auto"/>
            </w:tcBorders>
            <w:shd w:val="clear" w:color="auto" w:fill="auto"/>
            <w:vAlign w:val="center"/>
          </w:tcPr>
          <w:p w:rsidR="00D51A7B" w:rsidRPr="008B53A9" w:rsidRDefault="008022FA" w:rsidP="004044A1">
            <w:pPr>
              <w:pStyle w:val="Tabulka"/>
              <w:jc w:val="left"/>
              <w:rPr>
                <w:rFonts w:cs="Calibri"/>
                <w:lang w:val="cs-CZ" w:eastAsia="cs-CZ"/>
              </w:rPr>
            </w:pPr>
            <w:r w:rsidRPr="008B53A9">
              <w:rPr>
                <w:rFonts w:cs="Calibri"/>
                <w:lang w:val="cs-CZ" w:eastAsia="cs-CZ"/>
              </w:rPr>
              <w:t xml:space="preserve">TC </w:t>
            </w:r>
            <w:r w:rsidR="00D51A7B" w:rsidRPr="008B53A9">
              <w:rPr>
                <w:rFonts w:cs="Calibri"/>
                <w:lang w:val="cs-CZ" w:eastAsia="cs-CZ"/>
              </w:rPr>
              <w:t>4</w:t>
            </w:r>
            <w:r w:rsidR="00846421" w:rsidRPr="008B53A9">
              <w:rPr>
                <w:rFonts w:cs="Calibri"/>
                <w:lang w:val="cs-CZ" w:eastAsia="cs-CZ"/>
              </w:rPr>
              <w:t xml:space="preserve"> / </w:t>
            </w:r>
            <w:r w:rsidR="004044A1" w:rsidRPr="008B53A9">
              <w:rPr>
                <w:rFonts w:cs="Calibri"/>
                <w:lang w:val="cs-CZ" w:eastAsia="cs-CZ"/>
              </w:rPr>
              <w:t>4 f)</w:t>
            </w:r>
          </w:p>
        </w:tc>
        <w:tc>
          <w:tcPr>
            <w:tcW w:w="82" w:type="pct"/>
            <w:tcBorders>
              <w:top w:val="nil"/>
              <w:left w:val="single" w:sz="4" w:space="0" w:color="auto"/>
              <w:bottom w:val="nil"/>
              <w:right w:val="single" w:sz="4" w:space="0" w:color="auto"/>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tcBorders>
              <w:left w:val="single" w:sz="4" w:space="0" w:color="auto"/>
              <w:bottom w:val="dotted" w:sz="4" w:space="0" w:color="auto"/>
            </w:tcBorders>
            <w:shd w:val="clear" w:color="auto" w:fill="auto"/>
            <w:vAlign w:val="center"/>
          </w:tcPr>
          <w:p w:rsidR="00D51A7B" w:rsidRPr="008B53A9" w:rsidRDefault="008022FA" w:rsidP="004044A1">
            <w:pPr>
              <w:pStyle w:val="Tabulka"/>
              <w:jc w:val="left"/>
              <w:rPr>
                <w:rFonts w:cs="Calibri"/>
                <w:lang w:val="cs-CZ" w:eastAsia="cs-CZ"/>
              </w:rPr>
            </w:pPr>
            <w:r w:rsidRPr="008B53A9">
              <w:rPr>
                <w:rFonts w:cs="Calibri"/>
                <w:lang w:val="cs-CZ" w:eastAsia="cs-CZ"/>
              </w:rPr>
              <w:t xml:space="preserve">TC </w:t>
            </w:r>
            <w:r w:rsidR="00D51A7B" w:rsidRPr="008B53A9">
              <w:rPr>
                <w:rFonts w:cs="Calibri"/>
                <w:lang w:val="cs-CZ" w:eastAsia="cs-CZ"/>
              </w:rPr>
              <w:t>6</w:t>
            </w:r>
            <w:r w:rsidR="00846421" w:rsidRPr="008B53A9">
              <w:rPr>
                <w:rFonts w:cs="Calibri"/>
                <w:lang w:val="cs-CZ" w:eastAsia="cs-CZ"/>
              </w:rPr>
              <w:t xml:space="preserve"> / </w:t>
            </w:r>
            <w:r w:rsidR="004044A1" w:rsidRPr="008B53A9">
              <w:rPr>
                <w:rFonts w:cs="Calibri"/>
                <w:lang w:val="cs-CZ" w:eastAsia="cs-CZ"/>
              </w:rPr>
              <w:t>6 a)</w:t>
            </w:r>
          </w:p>
        </w:tc>
      </w:tr>
      <w:tr w:rsidR="00D51A7B" w:rsidRPr="008B53A9">
        <w:trPr>
          <w:trHeight w:val="212"/>
        </w:trPr>
        <w:tc>
          <w:tcPr>
            <w:tcW w:w="1167" w:type="pct"/>
            <w:tcBorders>
              <w:top w:val="dotted" w:sz="4" w:space="0" w:color="auto"/>
              <w:bottom w:val="dotted" w:sz="4" w:space="0" w:color="auto"/>
            </w:tcBorders>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Prioritní osa</w:t>
            </w:r>
          </w:p>
        </w:tc>
        <w:tc>
          <w:tcPr>
            <w:tcW w:w="1628" w:type="pct"/>
            <w:tcBorders>
              <w:top w:val="dotted" w:sz="4" w:space="0" w:color="auto"/>
              <w:bottom w:val="dotted" w:sz="4" w:space="0" w:color="auto"/>
              <w:righ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3: Účinné nakládání energií, rozvoj energetické infrastruktury a obnovitelných zdrojů energie, podpora zavádění nových technologií v oblasti nakládání energií a druhotných surovin</w:t>
            </w:r>
          </w:p>
        </w:tc>
        <w:tc>
          <w:tcPr>
            <w:tcW w:w="82" w:type="pct"/>
            <w:tcBorders>
              <w:top w:val="nil"/>
              <w:left w:val="single" w:sz="4" w:space="0" w:color="auto"/>
              <w:bottom w:val="nil"/>
              <w:right w:val="single" w:sz="4" w:space="0" w:color="auto"/>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tcBorders>
              <w:top w:val="dotted" w:sz="4" w:space="0" w:color="auto"/>
              <w:left w:val="single" w:sz="4" w:space="0" w:color="auto"/>
              <w:bottom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3: Odpady a materiálové toky, ekologické zátěže a rizika</w:t>
            </w:r>
          </w:p>
        </w:tc>
      </w:tr>
      <w:tr w:rsidR="00D51A7B" w:rsidRPr="008B53A9">
        <w:tc>
          <w:tcPr>
            <w:tcW w:w="1167" w:type="pct"/>
            <w:tcBorders>
              <w:top w:val="dotted" w:sz="4" w:space="0" w:color="auto"/>
            </w:tcBorders>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Specifický cíl</w:t>
            </w:r>
          </w:p>
        </w:tc>
        <w:tc>
          <w:tcPr>
            <w:tcW w:w="1628"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 xml:space="preserve">SC 3.4:  </w:t>
            </w:r>
            <w:r w:rsidR="000D28F9" w:rsidRPr="008B53A9">
              <w:rPr>
                <w:rFonts w:cs="Calibri"/>
                <w:lang w:val="cs-CZ" w:eastAsia="cs-CZ"/>
              </w:rPr>
              <w:t>Uplatnit inovativní nízkouhlíkové technologie v oblasti nakládání energií a při využívání druhotných surovin</w:t>
            </w:r>
          </w:p>
        </w:tc>
        <w:tc>
          <w:tcPr>
            <w:tcW w:w="82"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 xml:space="preserve">SC 3.2: </w:t>
            </w:r>
            <w:r w:rsidR="004015EF" w:rsidRPr="008B53A9">
              <w:rPr>
                <w:rFonts w:cs="Calibri"/>
                <w:lang w:val="cs-CZ" w:eastAsia="cs-CZ"/>
              </w:rPr>
              <w:t>Zvýšit podíl materiálového a energetického využití odpadů</w:t>
            </w:r>
          </w:p>
        </w:tc>
      </w:tr>
      <w:tr w:rsidR="00D51A7B" w:rsidRPr="008B53A9">
        <w:tc>
          <w:tcPr>
            <w:tcW w:w="1167" w:type="pct"/>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Věcná specifikace (zaměření, aktivity)</w:t>
            </w:r>
          </w:p>
        </w:tc>
        <w:tc>
          <w:tcPr>
            <w:tcW w:w="1628" w:type="pct"/>
            <w:shd w:val="clear" w:color="auto" w:fill="auto"/>
            <w:vAlign w:val="center"/>
          </w:tcPr>
          <w:p w:rsidR="00D51A7B" w:rsidRPr="008B53A9" w:rsidRDefault="00047773" w:rsidP="00267430">
            <w:pPr>
              <w:pStyle w:val="Tabulka"/>
              <w:jc w:val="left"/>
              <w:rPr>
                <w:rFonts w:cs="Calibri"/>
                <w:lang w:val="cs-CZ" w:eastAsia="cs-CZ"/>
              </w:rPr>
            </w:pPr>
            <w:r w:rsidRPr="008B53A9">
              <w:rPr>
                <w:rFonts w:cs="Calibri"/>
                <w:lang w:val="cs-CZ" w:eastAsia="cs-CZ"/>
              </w:rPr>
              <w:t>P</w:t>
            </w:r>
            <w:r w:rsidR="00D51A7B" w:rsidRPr="008B53A9">
              <w:rPr>
                <w:rFonts w:cs="Calibri"/>
                <w:lang w:val="cs-CZ" w:eastAsia="cs-CZ"/>
              </w:rPr>
              <w:t>ilotní projekty v oblasti druhotných surovin</w:t>
            </w:r>
          </w:p>
        </w:tc>
        <w:tc>
          <w:tcPr>
            <w:tcW w:w="82"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shd w:val="clear" w:color="auto" w:fill="auto"/>
            <w:vAlign w:val="center"/>
          </w:tcPr>
          <w:p w:rsidR="00D51A7B" w:rsidRPr="008B53A9" w:rsidRDefault="004015EF" w:rsidP="00267430">
            <w:pPr>
              <w:pStyle w:val="Tabulka"/>
              <w:jc w:val="left"/>
              <w:rPr>
                <w:rFonts w:cs="Calibri"/>
                <w:lang w:val="cs-CZ" w:eastAsia="cs-CZ"/>
              </w:rPr>
            </w:pPr>
            <w:r w:rsidRPr="008B53A9">
              <w:rPr>
                <w:rFonts w:cs="Calibri"/>
                <w:lang w:val="cs-CZ" w:eastAsia="cs-CZ"/>
              </w:rPr>
              <w:t>Výstavba a modernizace zařízení pro materiálové a energetické využití odpadů</w:t>
            </w:r>
          </w:p>
        </w:tc>
      </w:tr>
      <w:tr w:rsidR="00D51A7B" w:rsidRPr="008B53A9">
        <w:tc>
          <w:tcPr>
            <w:tcW w:w="1167" w:type="pct"/>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Implementační prvky</w:t>
            </w:r>
          </w:p>
        </w:tc>
        <w:tc>
          <w:tcPr>
            <w:tcW w:w="1628" w:type="pct"/>
            <w:tcBorders>
              <w:bottom w:val="single" w:sz="4" w:space="0" w:color="auto"/>
            </w:tcBorders>
            <w:shd w:val="clear" w:color="auto" w:fill="auto"/>
            <w:vAlign w:val="center"/>
          </w:tcPr>
          <w:p w:rsidR="00D51A7B" w:rsidRPr="008B53A9" w:rsidRDefault="002E36B7" w:rsidP="00267430">
            <w:pPr>
              <w:pStyle w:val="Tabulka"/>
              <w:jc w:val="left"/>
              <w:rPr>
                <w:rFonts w:cs="Calibri"/>
                <w:lang w:val="cs-CZ" w:eastAsia="cs-CZ"/>
              </w:rPr>
            </w:pPr>
            <w:r w:rsidRPr="008B53A9">
              <w:rPr>
                <w:rFonts w:cs="Calibri"/>
                <w:lang w:val="cs-CZ" w:eastAsia="cs-CZ"/>
              </w:rPr>
              <w:t>Typy příjemců: Podnikatelské subjekty (malé, střední a případně velké podniky)</w:t>
            </w:r>
          </w:p>
          <w:p w:rsidR="002E36B7" w:rsidRPr="008B53A9" w:rsidRDefault="002E36B7" w:rsidP="00267430">
            <w:pPr>
              <w:pStyle w:val="Tabulka"/>
              <w:jc w:val="left"/>
              <w:rPr>
                <w:rFonts w:cs="Calibri"/>
                <w:lang w:val="cs-CZ" w:eastAsia="cs-CZ"/>
              </w:rPr>
            </w:pPr>
            <w:r w:rsidRPr="008B53A9">
              <w:rPr>
                <w:rFonts w:cs="Calibri"/>
                <w:bCs/>
                <w:lang w:val="cs-CZ" w:eastAsia="cs-CZ"/>
              </w:rPr>
              <w:t xml:space="preserve">Cílové území: </w:t>
            </w:r>
            <w:r w:rsidRPr="008B53A9">
              <w:rPr>
                <w:rFonts w:cs="Calibri"/>
                <w:lang w:val="cs-CZ" w:eastAsia="cs-CZ"/>
              </w:rPr>
              <w:t>Území České republiky, mimo území hl. m. Prahy</w:t>
            </w:r>
          </w:p>
        </w:tc>
        <w:tc>
          <w:tcPr>
            <w:tcW w:w="82"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shd w:val="clear" w:color="auto" w:fill="auto"/>
            <w:vAlign w:val="center"/>
          </w:tcPr>
          <w:p w:rsidR="002E36B7" w:rsidRPr="008B53A9" w:rsidRDefault="002E36B7" w:rsidP="002E36B7">
            <w:pPr>
              <w:pStyle w:val="Tabulka"/>
              <w:jc w:val="left"/>
              <w:rPr>
                <w:rFonts w:cs="Calibri"/>
                <w:lang w:val="cs-CZ" w:eastAsia="cs-CZ"/>
              </w:rPr>
            </w:pPr>
            <w:r w:rsidRPr="008B53A9">
              <w:rPr>
                <w:rFonts w:cs="Calibri"/>
                <w:lang w:val="cs-CZ" w:eastAsia="cs-CZ"/>
              </w:rPr>
              <w:t xml:space="preserve">Typy příjemců: </w:t>
            </w:r>
            <w:r w:rsidR="001437DD" w:rsidRPr="008B53A9">
              <w:rPr>
                <w:rFonts w:cs="Calibri"/>
                <w:lang w:val="cs-CZ" w:eastAsia="cs-CZ"/>
              </w:rPr>
              <w:t>neziskové organizace, územní samosprávné celky a jejich svazky, spolky, účelová zařízení církví nebo náboženských společností, podnikatelské subjekty, příspěvkové organizace, organizační složky státu a jejich přímo řízené organizace, právnické osoby státem pro tyto účely zřízené, státní podniky, nadace a nadační fondy, organizace zřízené na základě zvláštního zákona</w:t>
            </w:r>
          </w:p>
          <w:p w:rsidR="00D51A7B" w:rsidRPr="008B53A9" w:rsidRDefault="002E36B7" w:rsidP="002E36B7">
            <w:pPr>
              <w:pStyle w:val="Tabulka"/>
              <w:jc w:val="left"/>
              <w:rPr>
                <w:rFonts w:cs="Calibri"/>
                <w:lang w:val="cs-CZ" w:eastAsia="cs-CZ"/>
              </w:rPr>
            </w:pPr>
            <w:r w:rsidRPr="008B53A9">
              <w:rPr>
                <w:rFonts w:cs="Calibri"/>
                <w:lang w:val="cs-CZ" w:eastAsia="cs-CZ"/>
              </w:rPr>
              <w:lastRenderedPageBreak/>
              <w:t>Cílové území: území celé ČR</w:t>
            </w:r>
          </w:p>
        </w:tc>
      </w:tr>
      <w:tr w:rsidR="00530742" w:rsidRPr="008B53A9">
        <w:tc>
          <w:tcPr>
            <w:tcW w:w="1167" w:type="pct"/>
            <w:shd w:val="clear" w:color="auto" w:fill="DBE5F1"/>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lastRenderedPageBreak/>
              <w:t>Synergie/komplementarita</w:t>
            </w:r>
          </w:p>
        </w:tc>
        <w:tc>
          <w:tcPr>
            <w:tcW w:w="1628" w:type="pct"/>
            <w:tcBorders>
              <w:tr2bl w:val="single" w:sz="4" w:space="0" w:color="auto"/>
            </w:tcBorders>
            <w:shd w:val="clear" w:color="auto" w:fill="auto"/>
            <w:vAlign w:val="center"/>
          </w:tcPr>
          <w:p w:rsidR="00530742" w:rsidRPr="008B53A9" w:rsidRDefault="00530742" w:rsidP="00267430">
            <w:pPr>
              <w:pStyle w:val="Tabulka"/>
              <w:jc w:val="left"/>
              <w:rPr>
                <w:rFonts w:cs="Calibri"/>
                <w:lang w:val="cs-CZ" w:eastAsia="cs-CZ"/>
              </w:rPr>
            </w:pPr>
          </w:p>
        </w:tc>
        <w:tc>
          <w:tcPr>
            <w:tcW w:w="82" w:type="pct"/>
            <w:tcBorders>
              <w:top w:val="nil"/>
              <w:bottom w:val="nil"/>
            </w:tcBorders>
            <w:shd w:val="clear" w:color="auto" w:fill="auto"/>
            <w:vAlign w:val="center"/>
          </w:tcPr>
          <w:p w:rsidR="00530742" w:rsidRPr="008B53A9" w:rsidRDefault="00530742" w:rsidP="00267430">
            <w:pPr>
              <w:pStyle w:val="Tabulka"/>
              <w:jc w:val="left"/>
              <w:rPr>
                <w:rFonts w:cs="Calibri"/>
                <w:sz w:val="6"/>
                <w:szCs w:val="6"/>
                <w:lang w:val="cs-CZ" w:eastAsia="cs-CZ"/>
              </w:rPr>
            </w:pPr>
          </w:p>
        </w:tc>
        <w:tc>
          <w:tcPr>
            <w:tcW w:w="2123" w:type="pct"/>
            <w:shd w:val="clear" w:color="auto" w:fill="auto"/>
            <w:vAlign w:val="center"/>
          </w:tcPr>
          <w:p w:rsidR="00530742" w:rsidRPr="008B53A9" w:rsidRDefault="00530742" w:rsidP="002E36B7">
            <w:pPr>
              <w:pStyle w:val="Tabulka"/>
              <w:jc w:val="left"/>
              <w:rPr>
                <w:rFonts w:cs="Calibri"/>
                <w:lang w:val="cs-CZ" w:eastAsia="cs-CZ"/>
              </w:rPr>
            </w:pPr>
            <w:r w:rsidRPr="008B53A9">
              <w:rPr>
                <w:rFonts w:cs="Calibri"/>
                <w:lang w:val="cs-CZ" w:eastAsia="cs-CZ"/>
              </w:rPr>
              <w:t>synergie</w:t>
            </w:r>
          </w:p>
        </w:tc>
      </w:tr>
      <w:tr w:rsidR="00363809" w:rsidRPr="008B53A9">
        <w:tc>
          <w:tcPr>
            <w:tcW w:w="1167" w:type="pct"/>
            <w:shd w:val="clear" w:color="auto" w:fill="DBE5F1"/>
            <w:vAlign w:val="center"/>
          </w:tcPr>
          <w:p w:rsidR="00363809" w:rsidRPr="008B53A9" w:rsidRDefault="00363809" w:rsidP="00267430">
            <w:pPr>
              <w:pStyle w:val="Tabulka"/>
              <w:jc w:val="left"/>
              <w:rPr>
                <w:rFonts w:cs="Calibri"/>
                <w:b/>
                <w:lang w:val="cs-CZ" w:eastAsia="cs-CZ"/>
              </w:rPr>
            </w:pPr>
            <w:r w:rsidRPr="008B53A9">
              <w:rPr>
                <w:rFonts w:cs="Calibri"/>
                <w:b/>
                <w:lang w:val="cs-CZ" w:eastAsia="cs-CZ"/>
              </w:rPr>
              <w:t>Mechanismus koordinace</w:t>
            </w:r>
          </w:p>
        </w:tc>
        <w:tc>
          <w:tcPr>
            <w:tcW w:w="3833" w:type="pct"/>
            <w:gridSpan w:val="3"/>
            <w:shd w:val="clear" w:color="auto" w:fill="auto"/>
            <w:vAlign w:val="center"/>
          </w:tcPr>
          <w:p w:rsidR="00363809" w:rsidRPr="008B53A9" w:rsidRDefault="000B426C" w:rsidP="00267430">
            <w:pPr>
              <w:pStyle w:val="Tabulka"/>
              <w:jc w:val="left"/>
              <w:rPr>
                <w:rFonts w:cs="Calibri"/>
                <w:lang w:val="cs-CZ" w:eastAsia="cs-CZ"/>
              </w:rPr>
            </w:pPr>
            <w:r w:rsidRPr="008B53A9">
              <w:rPr>
                <w:rFonts w:cs="Calibri"/>
                <w:lang w:val="cs-CZ" w:eastAsia="cs-CZ"/>
              </w:rPr>
              <w:t>Návrh: koordinace výzev, vzájemná účast zástupců řídích orgánů v pracovních skupinách a platformách ve fázi přípravy i realizace programu, zastoupení na monitorovacím výboru, koordinace prostřednictvím centrálního webového rozhraní MMR-NOK poskytující komplexní informace potenciálním žadatelům,</w:t>
            </w:r>
            <w:r w:rsidR="00363809" w:rsidRPr="008B53A9">
              <w:rPr>
                <w:rFonts w:cs="Calibri"/>
                <w:lang w:val="cs-CZ" w:eastAsia="cs-CZ"/>
              </w:rPr>
              <w:t xml:space="preserve"> spolupráce na evaluacích v této oblasti</w:t>
            </w:r>
          </w:p>
        </w:tc>
      </w:tr>
    </w:tbl>
    <w:p w:rsidR="00D51A7B" w:rsidRPr="008B53A9" w:rsidRDefault="00D51A7B" w:rsidP="00D51A7B">
      <w:pPr>
        <w:pStyle w:val="Standardntext"/>
      </w:pPr>
    </w:p>
    <w:p w:rsidR="00651018" w:rsidRPr="008B53A9" w:rsidRDefault="00651018" w:rsidP="005D178C">
      <w:pPr>
        <w:pStyle w:val="Standardntext"/>
        <w:numPr>
          <w:ilvl w:val="0"/>
          <w:numId w:val="95"/>
        </w:numPr>
        <w:rPr>
          <w:b/>
        </w:rPr>
      </w:pPr>
      <w:r w:rsidRPr="008B53A9">
        <w:rPr>
          <w:b/>
        </w:rPr>
        <w:t>Alternativní zdroje energie v dopravě</w:t>
      </w:r>
    </w:p>
    <w:p w:rsidR="00651018" w:rsidRPr="008B53A9" w:rsidRDefault="00651018" w:rsidP="00651018">
      <w:pPr>
        <w:pStyle w:val="Standardntext"/>
      </w:pPr>
      <w:r w:rsidRPr="008B53A9">
        <w:t xml:space="preserve">OP PIK se soustředí na zavádění inovativních nízkouhlíkových technologií v oblasti nízkouhlíkové dopravy v podnicích. Alternativní dopravou se dále zabývá také </w:t>
      </w:r>
      <w:r w:rsidRPr="008B53A9">
        <w:rPr>
          <w:b/>
        </w:rPr>
        <w:t>IROP</w:t>
      </w:r>
      <w:r w:rsidRPr="008B53A9">
        <w:t xml:space="preserve"> a </w:t>
      </w:r>
      <w:r w:rsidRPr="008B53A9">
        <w:rPr>
          <w:b/>
        </w:rPr>
        <w:t>OP D</w:t>
      </w:r>
      <w:r w:rsidRPr="008B53A9">
        <w:t>. V případě podpory MSP je dělící hranicí skutečnost, že v rámci IROP budou, na rozdíl od OP PIK, podporovány subjekty, které zajišťují veřejnou službu. Cílovou skupinou OP D v rámci podpory rozvoje sítě napájecích stanic alternativních energií na silniční síti jsou příjemci podpory definování jako vlastníci/správci dotčené infrastruktury s veřejným přístupem.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1"/>
        <w:gridCol w:w="3362"/>
        <w:gridCol w:w="222"/>
        <w:gridCol w:w="2535"/>
        <w:gridCol w:w="5400"/>
      </w:tblGrid>
      <w:tr w:rsidR="004A432E" w:rsidRPr="008B53A9">
        <w:trPr>
          <w:trHeight w:val="233"/>
        </w:trPr>
        <w:tc>
          <w:tcPr>
            <w:tcW w:w="0" w:type="auto"/>
            <w:shd w:val="clear" w:color="auto" w:fill="739BCB"/>
            <w:vAlign w:val="center"/>
          </w:tcPr>
          <w:p w:rsidR="00C73091" w:rsidRPr="008B53A9" w:rsidRDefault="00C73091" w:rsidP="006D1839">
            <w:pPr>
              <w:pStyle w:val="Tabulka"/>
              <w:keepNext/>
              <w:keepLines/>
              <w:jc w:val="left"/>
              <w:rPr>
                <w:rFonts w:cs="Calibri"/>
                <w:b/>
                <w:i/>
                <w:lang w:val="cs-CZ" w:eastAsia="cs-CZ"/>
              </w:rPr>
            </w:pPr>
            <w:r w:rsidRPr="008B53A9">
              <w:rPr>
                <w:rFonts w:cs="Calibri"/>
                <w:b/>
                <w:color w:val="FFFFFF"/>
                <w:lang w:val="cs-CZ" w:eastAsia="cs-CZ"/>
              </w:rPr>
              <w:t>Alternativní zdroje energie v dopravě</w:t>
            </w:r>
          </w:p>
        </w:tc>
        <w:tc>
          <w:tcPr>
            <w:tcW w:w="0" w:type="auto"/>
            <w:tcBorders>
              <w:bottom w:val="single" w:sz="4" w:space="0" w:color="000000"/>
            </w:tcBorders>
            <w:shd w:val="clear" w:color="auto" w:fill="B8CCE4"/>
            <w:vAlign w:val="center"/>
          </w:tcPr>
          <w:p w:rsidR="00C73091" w:rsidRPr="008B53A9" w:rsidRDefault="00C73091" w:rsidP="00E71F34">
            <w:pPr>
              <w:pStyle w:val="Tabulka"/>
              <w:keepNext/>
              <w:keepLines/>
              <w:rPr>
                <w:rFonts w:cs="Calibri"/>
                <w:b/>
                <w:lang w:val="cs-CZ" w:eastAsia="cs-CZ"/>
              </w:rPr>
            </w:pPr>
            <w:r w:rsidRPr="008B53A9">
              <w:rPr>
                <w:rFonts w:cs="Calibri"/>
                <w:b/>
                <w:lang w:val="cs-CZ" w:eastAsia="cs-CZ"/>
              </w:rPr>
              <w:t>OP PIK</w:t>
            </w:r>
          </w:p>
        </w:tc>
        <w:tc>
          <w:tcPr>
            <w:tcW w:w="0" w:type="auto"/>
            <w:tcBorders>
              <w:top w:val="nil"/>
              <w:bottom w:val="nil"/>
            </w:tcBorders>
            <w:shd w:val="clear" w:color="auto" w:fill="auto"/>
            <w:vAlign w:val="center"/>
          </w:tcPr>
          <w:p w:rsidR="00C73091" w:rsidRPr="008B53A9" w:rsidRDefault="00C73091" w:rsidP="00E71F34">
            <w:pPr>
              <w:pStyle w:val="Tabulka"/>
              <w:keepNext/>
              <w:keepLines/>
              <w:rPr>
                <w:rFonts w:cs="Calibri"/>
                <w:b/>
                <w:sz w:val="6"/>
                <w:szCs w:val="6"/>
                <w:lang w:val="cs-CZ" w:eastAsia="cs-CZ"/>
              </w:rPr>
            </w:pPr>
          </w:p>
        </w:tc>
        <w:tc>
          <w:tcPr>
            <w:tcW w:w="0" w:type="auto"/>
            <w:tcBorders>
              <w:left w:val="single" w:sz="4" w:space="0" w:color="auto"/>
              <w:bottom w:val="single" w:sz="4" w:space="0" w:color="000000"/>
              <w:right w:val="single" w:sz="4" w:space="0" w:color="auto"/>
            </w:tcBorders>
            <w:shd w:val="clear" w:color="auto" w:fill="B8CCE4"/>
            <w:vAlign w:val="center"/>
          </w:tcPr>
          <w:p w:rsidR="00C73091" w:rsidRPr="008B53A9" w:rsidRDefault="00C73091" w:rsidP="004044A1">
            <w:pPr>
              <w:pStyle w:val="Tabulka"/>
              <w:keepNext/>
              <w:keepLines/>
              <w:rPr>
                <w:rFonts w:cs="Calibri"/>
                <w:b/>
                <w:lang w:val="cs-CZ" w:eastAsia="cs-CZ"/>
              </w:rPr>
            </w:pPr>
            <w:r w:rsidRPr="008B53A9">
              <w:rPr>
                <w:rFonts w:cs="Calibri"/>
                <w:b/>
                <w:lang w:val="cs-CZ" w:eastAsia="cs-CZ"/>
              </w:rPr>
              <w:t>OP D</w:t>
            </w:r>
          </w:p>
        </w:tc>
        <w:tc>
          <w:tcPr>
            <w:tcW w:w="0" w:type="auto"/>
            <w:tcBorders>
              <w:left w:val="single" w:sz="4" w:space="0" w:color="auto"/>
              <w:bottom w:val="single" w:sz="4" w:space="0" w:color="000000"/>
              <w:right w:val="single" w:sz="4" w:space="0" w:color="auto"/>
            </w:tcBorders>
            <w:shd w:val="clear" w:color="auto" w:fill="B8CCE4"/>
            <w:vAlign w:val="center"/>
          </w:tcPr>
          <w:p w:rsidR="00C73091" w:rsidRPr="008B53A9" w:rsidRDefault="00C73091" w:rsidP="004044A1">
            <w:pPr>
              <w:pStyle w:val="Tabulka"/>
              <w:keepNext/>
              <w:keepLines/>
              <w:rPr>
                <w:rFonts w:cs="Calibri"/>
                <w:b/>
                <w:lang w:val="cs-CZ" w:eastAsia="cs-CZ"/>
              </w:rPr>
            </w:pPr>
            <w:r w:rsidRPr="008B53A9">
              <w:rPr>
                <w:rFonts w:cs="Calibri"/>
                <w:b/>
                <w:lang w:val="cs-CZ" w:eastAsia="cs-CZ"/>
              </w:rPr>
              <w:t>IROP</w:t>
            </w:r>
          </w:p>
        </w:tc>
      </w:tr>
      <w:tr w:rsidR="004A432E" w:rsidRPr="008B53A9">
        <w:trPr>
          <w:trHeight w:val="792"/>
        </w:trPr>
        <w:tc>
          <w:tcPr>
            <w:tcW w:w="0" w:type="auto"/>
            <w:tcBorders>
              <w:bottom w:val="dotted" w:sz="4" w:space="0" w:color="auto"/>
            </w:tcBorders>
            <w:shd w:val="clear" w:color="auto" w:fill="DBE5F1"/>
            <w:vAlign w:val="center"/>
          </w:tcPr>
          <w:p w:rsidR="00C73091" w:rsidRPr="008B53A9" w:rsidRDefault="00C73091" w:rsidP="008022FA">
            <w:pPr>
              <w:pStyle w:val="Tabulka"/>
              <w:jc w:val="left"/>
              <w:rPr>
                <w:rFonts w:cs="Calibri"/>
                <w:b/>
                <w:lang w:val="cs-CZ" w:eastAsia="cs-CZ"/>
              </w:rPr>
            </w:pPr>
            <w:r w:rsidRPr="008B53A9">
              <w:rPr>
                <w:rFonts w:cs="Calibri"/>
                <w:b/>
                <w:lang w:val="cs-CZ" w:eastAsia="cs-CZ"/>
              </w:rPr>
              <w:t>Tematický cíl / investiční priorita</w:t>
            </w:r>
          </w:p>
        </w:tc>
        <w:tc>
          <w:tcPr>
            <w:tcW w:w="0" w:type="auto"/>
            <w:tcBorders>
              <w:bottom w:val="dotted" w:sz="4" w:space="0" w:color="auto"/>
              <w:right w:val="single" w:sz="4" w:space="0" w:color="auto"/>
            </w:tcBorders>
            <w:shd w:val="clear" w:color="auto" w:fill="auto"/>
            <w:vAlign w:val="center"/>
          </w:tcPr>
          <w:p w:rsidR="00C73091" w:rsidRPr="008B53A9" w:rsidRDefault="00C73091" w:rsidP="008022FA">
            <w:pPr>
              <w:pStyle w:val="Tabulka"/>
              <w:jc w:val="left"/>
              <w:rPr>
                <w:rFonts w:cs="Calibri"/>
                <w:lang w:val="cs-CZ" w:eastAsia="cs-CZ"/>
              </w:rPr>
            </w:pPr>
            <w:r w:rsidRPr="008B53A9">
              <w:rPr>
                <w:rFonts w:cs="Calibri"/>
                <w:lang w:val="cs-CZ" w:eastAsia="cs-CZ"/>
              </w:rPr>
              <w:t>TC 4 / 4 f)</w:t>
            </w:r>
          </w:p>
        </w:tc>
        <w:tc>
          <w:tcPr>
            <w:tcW w:w="0" w:type="auto"/>
            <w:tcBorders>
              <w:top w:val="nil"/>
              <w:left w:val="single" w:sz="4" w:space="0" w:color="auto"/>
              <w:bottom w:val="nil"/>
              <w:right w:val="single" w:sz="4" w:space="0" w:color="auto"/>
            </w:tcBorders>
            <w:shd w:val="clear" w:color="auto" w:fill="auto"/>
            <w:vAlign w:val="center"/>
          </w:tcPr>
          <w:p w:rsidR="00C73091" w:rsidRPr="008B53A9" w:rsidRDefault="00C73091" w:rsidP="008022FA">
            <w:pPr>
              <w:pStyle w:val="Tabulka"/>
              <w:jc w:val="left"/>
              <w:rPr>
                <w:rFonts w:cs="Calibri"/>
                <w:sz w:val="6"/>
                <w:szCs w:val="6"/>
                <w:lang w:val="cs-CZ" w:eastAsia="cs-CZ"/>
              </w:rPr>
            </w:pPr>
          </w:p>
        </w:tc>
        <w:tc>
          <w:tcPr>
            <w:tcW w:w="0" w:type="auto"/>
            <w:tcBorders>
              <w:left w:val="single" w:sz="4" w:space="0" w:color="auto"/>
              <w:bottom w:val="dotted" w:sz="4" w:space="0" w:color="auto"/>
              <w:right w:val="single" w:sz="4" w:space="0" w:color="auto"/>
            </w:tcBorders>
            <w:shd w:val="clear" w:color="auto" w:fill="auto"/>
            <w:vAlign w:val="center"/>
          </w:tcPr>
          <w:p w:rsidR="00C73091" w:rsidRPr="008B53A9" w:rsidRDefault="00C73091" w:rsidP="008022FA">
            <w:pPr>
              <w:pStyle w:val="Tabulka"/>
              <w:jc w:val="left"/>
              <w:rPr>
                <w:rFonts w:cs="Calibri"/>
                <w:lang w:val="cs-CZ" w:eastAsia="cs-CZ"/>
              </w:rPr>
            </w:pPr>
            <w:r w:rsidRPr="008B53A9">
              <w:rPr>
                <w:rFonts w:cs="Calibri"/>
                <w:lang w:val="cs-CZ" w:eastAsia="cs-CZ"/>
              </w:rPr>
              <w:t>TC 7 / 7 c)</w:t>
            </w:r>
          </w:p>
        </w:tc>
        <w:tc>
          <w:tcPr>
            <w:tcW w:w="0" w:type="auto"/>
            <w:tcBorders>
              <w:left w:val="single" w:sz="4" w:space="0" w:color="auto"/>
              <w:bottom w:val="dotted" w:sz="4" w:space="0" w:color="auto"/>
              <w:right w:val="single" w:sz="4" w:space="0" w:color="auto"/>
            </w:tcBorders>
            <w:vAlign w:val="center"/>
          </w:tcPr>
          <w:p w:rsidR="00C73091" w:rsidRPr="008B53A9" w:rsidRDefault="00C73091" w:rsidP="00C73091">
            <w:pPr>
              <w:pStyle w:val="Tabulka"/>
              <w:rPr>
                <w:rFonts w:cs="Calibri"/>
                <w:lang w:val="cs-CZ" w:eastAsia="cs-CZ"/>
              </w:rPr>
            </w:pPr>
            <w:r w:rsidRPr="008B53A9">
              <w:rPr>
                <w:rFonts w:cs="Calibri"/>
                <w:lang w:val="cs-CZ" w:eastAsia="cs-CZ"/>
              </w:rPr>
              <w:t>TC 7 /  7 c)</w:t>
            </w:r>
          </w:p>
        </w:tc>
      </w:tr>
      <w:tr w:rsidR="004A432E" w:rsidRPr="008B53A9">
        <w:trPr>
          <w:trHeight w:val="212"/>
        </w:trPr>
        <w:tc>
          <w:tcPr>
            <w:tcW w:w="0" w:type="auto"/>
            <w:tcBorders>
              <w:top w:val="dotted" w:sz="4" w:space="0" w:color="auto"/>
              <w:bottom w:val="dotted" w:sz="4" w:space="0" w:color="auto"/>
            </w:tcBorders>
            <w:shd w:val="clear" w:color="auto" w:fill="DBE5F1"/>
            <w:vAlign w:val="center"/>
          </w:tcPr>
          <w:p w:rsidR="00C73091" w:rsidRPr="008B53A9" w:rsidRDefault="00C73091" w:rsidP="00E71F34">
            <w:pPr>
              <w:pStyle w:val="Tabulka"/>
              <w:jc w:val="left"/>
              <w:rPr>
                <w:rFonts w:cs="Calibri"/>
                <w:b/>
                <w:lang w:val="cs-CZ" w:eastAsia="cs-CZ"/>
              </w:rPr>
            </w:pPr>
            <w:r w:rsidRPr="008B53A9">
              <w:rPr>
                <w:rFonts w:cs="Calibri"/>
                <w:b/>
                <w:lang w:val="cs-CZ" w:eastAsia="cs-CZ"/>
              </w:rPr>
              <w:t>Prioritní osa</w:t>
            </w:r>
          </w:p>
        </w:tc>
        <w:tc>
          <w:tcPr>
            <w:tcW w:w="0" w:type="auto"/>
            <w:tcBorders>
              <w:top w:val="dotted" w:sz="4" w:space="0" w:color="auto"/>
              <w:bottom w:val="dotted" w:sz="4" w:space="0" w:color="auto"/>
              <w:right w:val="single" w:sz="4" w:space="0" w:color="auto"/>
            </w:tcBorders>
            <w:shd w:val="clear" w:color="auto" w:fill="auto"/>
            <w:vAlign w:val="center"/>
          </w:tcPr>
          <w:p w:rsidR="00C73091" w:rsidRPr="008B53A9" w:rsidRDefault="00C73091" w:rsidP="00E71F34">
            <w:pPr>
              <w:pStyle w:val="Tabulka"/>
              <w:jc w:val="left"/>
              <w:rPr>
                <w:rFonts w:cs="Calibri"/>
                <w:lang w:val="cs-CZ" w:eastAsia="cs-CZ"/>
              </w:rPr>
            </w:pPr>
            <w:r w:rsidRPr="008B53A9">
              <w:rPr>
                <w:rFonts w:cs="Calibri"/>
                <w:lang w:val="cs-CZ" w:eastAsia="cs-CZ"/>
              </w:rPr>
              <w:t>PO 3: Účinné nakládání energií, rozvoj energetické infrastruktury a obnovitelných zdrojů energie, podpora zavádění nových technologií v oblasti nakládání energií a druhotných surovin</w:t>
            </w:r>
          </w:p>
        </w:tc>
        <w:tc>
          <w:tcPr>
            <w:tcW w:w="0" w:type="auto"/>
            <w:tcBorders>
              <w:top w:val="nil"/>
              <w:left w:val="single" w:sz="4" w:space="0" w:color="auto"/>
              <w:bottom w:val="nil"/>
              <w:right w:val="single" w:sz="4" w:space="0" w:color="auto"/>
            </w:tcBorders>
            <w:shd w:val="clear" w:color="auto" w:fill="auto"/>
            <w:vAlign w:val="center"/>
          </w:tcPr>
          <w:p w:rsidR="00C73091" w:rsidRPr="008B53A9" w:rsidRDefault="00C73091" w:rsidP="00E71F34">
            <w:pPr>
              <w:pStyle w:val="Tabulka"/>
              <w:jc w:val="left"/>
              <w:rPr>
                <w:rFonts w:cs="Calibri"/>
                <w:sz w:val="6"/>
                <w:szCs w:val="6"/>
                <w:lang w:val="cs-CZ" w:eastAsia="cs-CZ"/>
              </w:rPr>
            </w:pPr>
          </w:p>
        </w:tc>
        <w:tc>
          <w:tcPr>
            <w:tcW w:w="0" w:type="auto"/>
            <w:tcBorders>
              <w:top w:val="dotted" w:sz="4" w:space="0" w:color="auto"/>
              <w:left w:val="single" w:sz="4" w:space="0" w:color="auto"/>
              <w:bottom w:val="dotted" w:sz="4" w:space="0" w:color="auto"/>
              <w:right w:val="single" w:sz="4" w:space="0" w:color="auto"/>
            </w:tcBorders>
            <w:shd w:val="clear" w:color="auto" w:fill="auto"/>
            <w:vAlign w:val="center"/>
          </w:tcPr>
          <w:p w:rsidR="00C73091" w:rsidRPr="008B53A9" w:rsidRDefault="00C73091" w:rsidP="00E71F34">
            <w:pPr>
              <w:pStyle w:val="Tabulka"/>
              <w:jc w:val="left"/>
              <w:rPr>
                <w:rFonts w:cs="Calibri"/>
                <w:lang w:val="cs-CZ" w:eastAsia="cs-CZ"/>
              </w:rPr>
            </w:pPr>
            <w:r w:rsidRPr="008B53A9">
              <w:rPr>
                <w:rFonts w:cs="Calibri"/>
                <w:lang w:val="cs-CZ" w:eastAsia="cs-CZ"/>
              </w:rPr>
              <w:t>PO 2: Silniční infrastruktura na síti TEN-T a veřejná infrastruktura pro čistou mobilitu</w:t>
            </w:r>
          </w:p>
        </w:tc>
        <w:tc>
          <w:tcPr>
            <w:tcW w:w="0" w:type="auto"/>
            <w:tcBorders>
              <w:top w:val="dotted" w:sz="4" w:space="0" w:color="auto"/>
              <w:left w:val="single" w:sz="4" w:space="0" w:color="auto"/>
              <w:bottom w:val="dotted" w:sz="4" w:space="0" w:color="auto"/>
              <w:right w:val="single" w:sz="4" w:space="0" w:color="auto"/>
            </w:tcBorders>
            <w:vAlign w:val="center"/>
          </w:tcPr>
          <w:p w:rsidR="00C73091" w:rsidRPr="008B53A9" w:rsidRDefault="00C73091" w:rsidP="00C73091">
            <w:pPr>
              <w:pStyle w:val="Tabulka"/>
              <w:jc w:val="left"/>
              <w:rPr>
                <w:rFonts w:cs="Calibri"/>
                <w:lang w:val="cs-CZ" w:eastAsia="cs-CZ"/>
              </w:rPr>
            </w:pPr>
            <w:r w:rsidRPr="008B53A9">
              <w:rPr>
                <w:rFonts w:cs="Calibri"/>
                <w:lang w:val="cs-CZ" w:eastAsia="cs-CZ"/>
              </w:rPr>
              <w:t>PO 1: Konkurenceschopné, dostupné a bezpečné regiony</w:t>
            </w:r>
          </w:p>
        </w:tc>
      </w:tr>
      <w:tr w:rsidR="004A432E" w:rsidRPr="008B53A9">
        <w:tc>
          <w:tcPr>
            <w:tcW w:w="0" w:type="auto"/>
            <w:tcBorders>
              <w:top w:val="dotted" w:sz="4" w:space="0" w:color="auto"/>
            </w:tcBorders>
            <w:shd w:val="clear" w:color="auto" w:fill="DBE5F1"/>
            <w:vAlign w:val="center"/>
          </w:tcPr>
          <w:p w:rsidR="00C73091" w:rsidRPr="008B53A9" w:rsidRDefault="00C73091" w:rsidP="00E71F34">
            <w:pPr>
              <w:pStyle w:val="Tabulka"/>
              <w:jc w:val="left"/>
              <w:rPr>
                <w:rFonts w:cs="Calibri"/>
                <w:b/>
                <w:lang w:val="cs-CZ" w:eastAsia="cs-CZ"/>
              </w:rPr>
            </w:pPr>
            <w:r w:rsidRPr="008B53A9">
              <w:rPr>
                <w:rFonts w:cs="Calibri"/>
                <w:b/>
                <w:lang w:val="cs-CZ" w:eastAsia="cs-CZ"/>
              </w:rPr>
              <w:t>Specifický cíl</w:t>
            </w:r>
          </w:p>
        </w:tc>
        <w:tc>
          <w:tcPr>
            <w:tcW w:w="0" w:type="auto"/>
            <w:tcBorders>
              <w:top w:val="dotted" w:sz="4" w:space="0" w:color="auto"/>
              <w:right w:val="single" w:sz="4" w:space="0" w:color="auto"/>
            </w:tcBorders>
            <w:shd w:val="clear" w:color="auto" w:fill="auto"/>
            <w:vAlign w:val="center"/>
          </w:tcPr>
          <w:p w:rsidR="00C73091" w:rsidRPr="008B53A9" w:rsidRDefault="00C73091" w:rsidP="00E71F34">
            <w:pPr>
              <w:pStyle w:val="Tabulka"/>
              <w:jc w:val="left"/>
              <w:rPr>
                <w:rFonts w:cs="Calibri"/>
                <w:lang w:val="cs-CZ" w:eastAsia="cs-CZ"/>
              </w:rPr>
            </w:pPr>
            <w:r w:rsidRPr="008B53A9">
              <w:rPr>
                <w:rFonts w:cs="Calibri"/>
                <w:lang w:val="cs-CZ" w:eastAsia="cs-CZ"/>
              </w:rPr>
              <w:t>SC 3.4:  Uplatnit inovativní nízkouhlíkové technologie v oblasti nakládání energií a při využívání druhotných surovin</w:t>
            </w:r>
          </w:p>
        </w:tc>
        <w:tc>
          <w:tcPr>
            <w:tcW w:w="0" w:type="auto"/>
            <w:tcBorders>
              <w:top w:val="nil"/>
              <w:left w:val="single" w:sz="4" w:space="0" w:color="auto"/>
              <w:bottom w:val="nil"/>
              <w:right w:val="single" w:sz="4" w:space="0" w:color="auto"/>
            </w:tcBorders>
            <w:shd w:val="clear" w:color="auto" w:fill="auto"/>
            <w:vAlign w:val="center"/>
          </w:tcPr>
          <w:p w:rsidR="00C73091" w:rsidRPr="008B53A9" w:rsidRDefault="00C73091" w:rsidP="00E71F34">
            <w:pPr>
              <w:pStyle w:val="Tabulka"/>
              <w:jc w:val="left"/>
              <w:rPr>
                <w:rFonts w:cs="Calibri"/>
                <w:sz w:val="6"/>
                <w:szCs w:val="6"/>
                <w:lang w:val="cs-CZ" w:eastAsia="cs-CZ"/>
              </w:rPr>
            </w:pPr>
          </w:p>
        </w:tc>
        <w:tc>
          <w:tcPr>
            <w:tcW w:w="0" w:type="auto"/>
            <w:tcBorders>
              <w:top w:val="dotted" w:sz="4" w:space="0" w:color="auto"/>
              <w:left w:val="single" w:sz="4" w:space="0" w:color="auto"/>
              <w:right w:val="single" w:sz="4" w:space="0" w:color="auto"/>
            </w:tcBorders>
            <w:shd w:val="clear" w:color="auto" w:fill="auto"/>
            <w:vAlign w:val="center"/>
          </w:tcPr>
          <w:p w:rsidR="00C73091" w:rsidRPr="008B53A9" w:rsidRDefault="00C73091" w:rsidP="00E71F34">
            <w:pPr>
              <w:pStyle w:val="Tabulka"/>
              <w:jc w:val="left"/>
              <w:rPr>
                <w:rFonts w:cs="Calibri"/>
                <w:lang w:val="cs-CZ" w:eastAsia="cs-CZ"/>
              </w:rPr>
            </w:pPr>
            <w:r w:rsidRPr="008B53A9">
              <w:rPr>
                <w:rFonts w:cs="Calibri"/>
                <w:lang w:val="cs-CZ" w:eastAsia="cs-CZ"/>
              </w:rPr>
              <w:t>SC 2.2: Podpora rozvoje sítě napájecích stanic alternativních energií na silniční síti</w:t>
            </w:r>
          </w:p>
        </w:tc>
        <w:tc>
          <w:tcPr>
            <w:tcW w:w="0" w:type="auto"/>
            <w:tcBorders>
              <w:top w:val="dotted" w:sz="4" w:space="0" w:color="auto"/>
              <w:left w:val="single" w:sz="4" w:space="0" w:color="auto"/>
              <w:right w:val="single" w:sz="4" w:space="0" w:color="auto"/>
            </w:tcBorders>
            <w:vAlign w:val="center"/>
          </w:tcPr>
          <w:p w:rsidR="00C73091" w:rsidRPr="008B53A9" w:rsidRDefault="00C73091" w:rsidP="004044A1">
            <w:pPr>
              <w:pStyle w:val="Tabulka"/>
              <w:jc w:val="left"/>
              <w:rPr>
                <w:rFonts w:cs="Calibri"/>
                <w:lang w:val="cs-CZ" w:eastAsia="cs-CZ"/>
              </w:rPr>
            </w:pPr>
            <w:r w:rsidRPr="008B53A9">
              <w:rPr>
                <w:rFonts w:cs="Calibri"/>
                <w:lang w:val="cs-CZ" w:eastAsia="cs-CZ"/>
              </w:rPr>
              <w:t>SC 1.2 Zvýšení podílu udržitelných forem dopravy</w:t>
            </w:r>
          </w:p>
        </w:tc>
      </w:tr>
      <w:tr w:rsidR="004A432E" w:rsidRPr="008B53A9">
        <w:tc>
          <w:tcPr>
            <w:tcW w:w="0" w:type="auto"/>
            <w:shd w:val="clear" w:color="auto" w:fill="DBE5F1"/>
            <w:vAlign w:val="center"/>
          </w:tcPr>
          <w:p w:rsidR="00C73091" w:rsidRPr="008B53A9" w:rsidRDefault="00C73091" w:rsidP="00E71F34">
            <w:pPr>
              <w:pStyle w:val="Tabulka"/>
              <w:jc w:val="left"/>
              <w:rPr>
                <w:rFonts w:cs="Calibri"/>
                <w:b/>
                <w:lang w:val="cs-CZ" w:eastAsia="cs-CZ"/>
              </w:rPr>
            </w:pPr>
            <w:r w:rsidRPr="008B53A9">
              <w:rPr>
                <w:rFonts w:cs="Calibri"/>
                <w:b/>
                <w:lang w:val="cs-CZ" w:eastAsia="cs-CZ"/>
              </w:rPr>
              <w:t xml:space="preserve">Věcná specifikace </w:t>
            </w:r>
            <w:r w:rsidRPr="008B53A9">
              <w:rPr>
                <w:rFonts w:cs="Calibri"/>
                <w:b/>
                <w:lang w:val="cs-CZ" w:eastAsia="cs-CZ"/>
              </w:rPr>
              <w:lastRenderedPageBreak/>
              <w:t>(zaměření, aktivity)</w:t>
            </w:r>
          </w:p>
        </w:tc>
        <w:tc>
          <w:tcPr>
            <w:tcW w:w="0" w:type="auto"/>
            <w:shd w:val="clear" w:color="auto" w:fill="auto"/>
            <w:vAlign w:val="center"/>
          </w:tcPr>
          <w:p w:rsidR="00C73091" w:rsidRPr="008B53A9" w:rsidRDefault="00C73091" w:rsidP="00E71F34">
            <w:pPr>
              <w:pStyle w:val="Tabulka"/>
              <w:jc w:val="left"/>
              <w:rPr>
                <w:rFonts w:cs="Calibri"/>
                <w:lang w:val="cs-CZ" w:eastAsia="cs-CZ"/>
              </w:rPr>
            </w:pPr>
            <w:r w:rsidRPr="008B53A9">
              <w:rPr>
                <w:rFonts w:cs="Calibri"/>
                <w:lang w:val="cs-CZ" w:eastAsia="cs-CZ"/>
              </w:rPr>
              <w:lastRenderedPageBreak/>
              <w:t xml:space="preserve">Zavádění inovativních nízkouhlíkových technologií v </w:t>
            </w:r>
            <w:r w:rsidRPr="008B53A9">
              <w:rPr>
                <w:rFonts w:cs="Calibri"/>
                <w:lang w:val="cs-CZ" w:eastAsia="cs-CZ"/>
              </w:rPr>
              <w:lastRenderedPageBreak/>
              <w:t>oblasti nízkouhlíkové dopravy (elektromobilita silničních vozidel)</w:t>
            </w:r>
          </w:p>
        </w:tc>
        <w:tc>
          <w:tcPr>
            <w:tcW w:w="0" w:type="auto"/>
            <w:tcBorders>
              <w:top w:val="nil"/>
              <w:bottom w:val="nil"/>
            </w:tcBorders>
            <w:shd w:val="clear" w:color="auto" w:fill="auto"/>
            <w:vAlign w:val="center"/>
          </w:tcPr>
          <w:p w:rsidR="00C73091" w:rsidRPr="008B53A9" w:rsidRDefault="00C73091" w:rsidP="00E71F34">
            <w:pPr>
              <w:pStyle w:val="Tabulka"/>
              <w:jc w:val="left"/>
              <w:rPr>
                <w:rFonts w:cs="Calibri"/>
                <w:sz w:val="6"/>
                <w:szCs w:val="6"/>
                <w:lang w:val="cs-CZ" w:eastAsia="cs-CZ"/>
              </w:rPr>
            </w:pPr>
          </w:p>
        </w:tc>
        <w:tc>
          <w:tcPr>
            <w:tcW w:w="0" w:type="auto"/>
            <w:tcBorders>
              <w:left w:val="single" w:sz="4" w:space="0" w:color="auto"/>
              <w:right w:val="single" w:sz="4" w:space="0" w:color="auto"/>
            </w:tcBorders>
            <w:shd w:val="clear" w:color="auto" w:fill="auto"/>
            <w:vAlign w:val="center"/>
          </w:tcPr>
          <w:p w:rsidR="00C73091" w:rsidRPr="008B53A9" w:rsidRDefault="00C73091" w:rsidP="00973E02">
            <w:pPr>
              <w:pStyle w:val="Tabulka"/>
              <w:jc w:val="left"/>
              <w:rPr>
                <w:rFonts w:cs="Calibri"/>
                <w:lang w:val="cs-CZ" w:eastAsia="cs-CZ"/>
              </w:rPr>
            </w:pPr>
            <w:r w:rsidRPr="008B53A9">
              <w:rPr>
                <w:rFonts w:cs="Calibri"/>
                <w:lang w:val="cs-CZ" w:eastAsia="cs-CZ"/>
              </w:rPr>
              <w:t xml:space="preserve">Vybavení veřejné dopravní infrastruktury </w:t>
            </w:r>
            <w:r w:rsidRPr="008B53A9">
              <w:rPr>
                <w:rFonts w:cs="Calibri"/>
                <w:lang w:val="cs-CZ" w:eastAsia="cs-CZ"/>
              </w:rPr>
              <w:lastRenderedPageBreak/>
              <w:t>napájecími a dobíjecími stanicemi pro alternativní pohony</w:t>
            </w:r>
          </w:p>
        </w:tc>
        <w:tc>
          <w:tcPr>
            <w:tcW w:w="0" w:type="auto"/>
            <w:tcBorders>
              <w:left w:val="single" w:sz="4" w:space="0" w:color="auto"/>
              <w:right w:val="single" w:sz="4" w:space="0" w:color="auto"/>
            </w:tcBorders>
            <w:vAlign w:val="center"/>
          </w:tcPr>
          <w:p w:rsidR="004A432E" w:rsidRPr="008B53A9" w:rsidRDefault="004A432E" w:rsidP="004A432E">
            <w:pPr>
              <w:pStyle w:val="Tabulka"/>
              <w:jc w:val="left"/>
              <w:rPr>
                <w:rFonts w:cs="Calibri"/>
                <w:lang w:val="cs-CZ" w:eastAsia="cs-CZ"/>
              </w:rPr>
            </w:pPr>
            <w:r w:rsidRPr="008B53A9">
              <w:rPr>
                <w:rFonts w:cs="Calibri"/>
                <w:lang w:val="cs-CZ" w:eastAsia="cs-CZ"/>
              </w:rPr>
              <w:lastRenderedPageBreak/>
              <w:t xml:space="preserve">Opatření podporující aplikaci moderních technologií </w:t>
            </w:r>
            <w:r w:rsidRPr="008B53A9">
              <w:rPr>
                <w:rFonts w:cs="Calibri"/>
                <w:lang w:val="cs-CZ" w:eastAsia="cs-CZ"/>
              </w:rPr>
              <w:lastRenderedPageBreak/>
              <w:t>v dopravě:</w:t>
            </w:r>
          </w:p>
          <w:p w:rsidR="004A432E" w:rsidRPr="008B53A9" w:rsidRDefault="004A432E" w:rsidP="004A432E">
            <w:pPr>
              <w:pStyle w:val="Tabulka"/>
              <w:jc w:val="left"/>
              <w:rPr>
                <w:rFonts w:cs="Calibri"/>
                <w:lang w:val="cs-CZ" w:eastAsia="cs-CZ"/>
              </w:rPr>
            </w:pPr>
            <w:r w:rsidRPr="008B53A9">
              <w:rPr>
                <w:rFonts w:cs="Calibri"/>
                <w:lang w:val="cs-CZ" w:eastAsia="cs-CZ"/>
              </w:rPr>
              <w:t>- výstavba, rekonstrukce nebo modernizace inteligentních dopravních systémů (ITS) a dopravní telematiky pro veřejnou dopravu;</w:t>
            </w:r>
          </w:p>
          <w:p w:rsidR="004A432E" w:rsidRPr="008B53A9" w:rsidRDefault="004A432E" w:rsidP="004A432E">
            <w:pPr>
              <w:pStyle w:val="Tabulka"/>
              <w:jc w:val="left"/>
              <w:rPr>
                <w:rFonts w:cs="Calibri"/>
                <w:lang w:val="cs-CZ" w:eastAsia="cs-CZ"/>
              </w:rPr>
            </w:pPr>
            <w:r w:rsidRPr="008B53A9">
              <w:rPr>
                <w:rFonts w:cs="Calibri"/>
                <w:lang w:val="cs-CZ" w:eastAsia="cs-CZ"/>
              </w:rPr>
              <w:t>- zavádění nebo modernizace řídících, informačních a platebních systémů pro  veřejnou dopravu;</w:t>
            </w:r>
          </w:p>
          <w:p w:rsidR="004A432E" w:rsidRPr="008B53A9" w:rsidRDefault="004A432E" w:rsidP="004A432E">
            <w:pPr>
              <w:pStyle w:val="Tabulka"/>
              <w:jc w:val="left"/>
              <w:rPr>
                <w:rFonts w:cs="Calibri"/>
                <w:lang w:val="cs-CZ" w:eastAsia="cs-CZ"/>
              </w:rPr>
            </w:pPr>
            <w:r w:rsidRPr="008B53A9">
              <w:rPr>
                <w:rFonts w:cs="Calibri"/>
                <w:lang w:val="cs-CZ" w:eastAsia="cs-CZ"/>
              </w:rPr>
              <w:t>Opatření přispívající ke zmírnění negativních dopadů v dopravě:</w:t>
            </w:r>
          </w:p>
          <w:p w:rsidR="004A432E" w:rsidRPr="008B53A9" w:rsidRDefault="004A432E" w:rsidP="004A432E">
            <w:pPr>
              <w:pStyle w:val="Tabulka"/>
              <w:jc w:val="left"/>
              <w:rPr>
                <w:rFonts w:cs="Calibri"/>
                <w:lang w:val="cs-CZ" w:eastAsia="cs-CZ"/>
              </w:rPr>
            </w:pPr>
            <w:r w:rsidRPr="008B53A9">
              <w:rPr>
                <w:rFonts w:cs="Calibri"/>
                <w:lang w:val="cs-CZ" w:eastAsia="cs-CZ"/>
              </w:rPr>
              <w:t>- nákup nízkoemisních a bezemisních vozidel pro přepravu osob spolu s výstavbou plnících a dobíjecích stanic jako navazující infrastruktury pro nákup uvedených vozidel;</w:t>
            </w:r>
          </w:p>
          <w:p w:rsidR="00C73091" w:rsidRPr="008B53A9" w:rsidRDefault="004A432E" w:rsidP="004A432E">
            <w:pPr>
              <w:pStyle w:val="Tabulka"/>
              <w:jc w:val="left"/>
              <w:rPr>
                <w:rFonts w:cs="Calibri"/>
                <w:lang w:val="cs-CZ" w:eastAsia="cs-CZ"/>
              </w:rPr>
            </w:pPr>
            <w:r w:rsidRPr="008B53A9">
              <w:rPr>
                <w:rFonts w:cs="Calibri"/>
                <w:lang w:val="cs-CZ" w:eastAsia="cs-CZ"/>
              </w:rPr>
              <w:t>- nákup vozidel, zohledňujících specifické potřeby účastníků dopravy se ztíženou možností pohybu a orientace</w:t>
            </w:r>
          </w:p>
        </w:tc>
      </w:tr>
      <w:tr w:rsidR="004A432E" w:rsidRPr="008B53A9">
        <w:tc>
          <w:tcPr>
            <w:tcW w:w="0" w:type="auto"/>
            <w:shd w:val="clear" w:color="auto" w:fill="DBE5F1"/>
            <w:vAlign w:val="center"/>
          </w:tcPr>
          <w:p w:rsidR="00C73091" w:rsidRPr="008B53A9" w:rsidRDefault="00C73091" w:rsidP="00E71F34">
            <w:pPr>
              <w:pStyle w:val="Tabulka"/>
              <w:jc w:val="left"/>
              <w:rPr>
                <w:rFonts w:cs="Calibri"/>
                <w:b/>
                <w:lang w:val="cs-CZ" w:eastAsia="cs-CZ"/>
              </w:rPr>
            </w:pPr>
            <w:r w:rsidRPr="008B53A9">
              <w:rPr>
                <w:rFonts w:cs="Calibri"/>
                <w:b/>
                <w:lang w:val="cs-CZ" w:eastAsia="cs-CZ"/>
              </w:rPr>
              <w:lastRenderedPageBreak/>
              <w:t>Implementační prvky</w:t>
            </w:r>
          </w:p>
        </w:tc>
        <w:tc>
          <w:tcPr>
            <w:tcW w:w="0" w:type="auto"/>
            <w:tcBorders>
              <w:bottom w:val="single" w:sz="4" w:space="0" w:color="auto"/>
            </w:tcBorders>
            <w:shd w:val="clear" w:color="auto" w:fill="auto"/>
            <w:vAlign w:val="center"/>
          </w:tcPr>
          <w:p w:rsidR="00C73091" w:rsidRPr="008B53A9" w:rsidRDefault="00C73091" w:rsidP="00E71F34">
            <w:pPr>
              <w:pStyle w:val="Tabulka"/>
              <w:jc w:val="left"/>
              <w:rPr>
                <w:rFonts w:cs="Calibri"/>
                <w:lang w:val="cs-CZ" w:eastAsia="cs-CZ"/>
              </w:rPr>
            </w:pPr>
            <w:r w:rsidRPr="008B53A9">
              <w:rPr>
                <w:rFonts w:cs="Calibri"/>
                <w:lang w:val="cs-CZ" w:eastAsia="cs-CZ"/>
              </w:rPr>
              <w:t>Typy příjemců: Podnikatelské subjekty (malé, střední a případně velké podniky)</w:t>
            </w:r>
          </w:p>
          <w:p w:rsidR="00C73091" w:rsidRPr="008B53A9" w:rsidRDefault="00C73091" w:rsidP="00E71F34">
            <w:pPr>
              <w:pStyle w:val="Tabulka"/>
              <w:jc w:val="left"/>
              <w:rPr>
                <w:rFonts w:cs="Calibri"/>
                <w:lang w:val="cs-CZ" w:eastAsia="cs-CZ"/>
              </w:rPr>
            </w:pPr>
            <w:r w:rsidRPr="008B53A9">
              <w:rPr>
                <w:rFonts w:cs="Calibri"/>
                <w:bCs/>
                <w:lang w:val="cs-CZ" w:eastAsia="cs-CZ"/>
              </w:rPr>
              <w:t xml:space="preserve">Cílové území: </w:t>
            </w:r>
            <w:r w:rsidRPr="008B53A9">
              <w:rPr>
                <w:rFonts w:cs="Calibri"/>
                <w:lang w:val="cs-CZ" w:eastAsia="cs-CZ"/>
              </w:rPr>
              <w:t>Území České republiky, mimo území hl. m. Prahy</w:t>
            </w:r>
          </w:p>
        </w:tc>
        <w:tc>
          <w:tcPr>
            <w:tcW w:w="0" w:type="auto"/>
            <w:tcBorders>
              <w:top w:val="nil"/>
              <w:bottom w:val="nil"/>
            </w:tcBorders>
            <w:shd w:val="clear" w:color="auto" w:fill="auto"/>
            <w:vAlign w:val="center"/>
          </w:tcPr>
          <w:p w:rsidR="00C73091" w:rsidRPr="008B53A9" w:rsidRDefault="00C73091" w:rsidP="00E71F34">
            <w:pPr>
              <w:pStyle w:val="Tabulka"/>
              <w:jc w:val="left"/>
              <w:rPr>
                <w:rFonts w:cs="Calibri"/>
                <w:sz w:val="6"/>
                <w:szCs w:val="6"/>
                <w:lang w:val="cs-CZ" w:eastAsia="cs-CZ"/>
              </w:rPr>
            </w:pPr>
          </w:p>
        </w:tc>
        <w:tc>
          <w:tcPr>
            <w:tcW w:w="0" w:type="auto"/>
            <w:tcBorders>
              <w:left w:val="single" w:sz="4" w:space="0" w:color="auto"/>
              <w:right w:val="single" w:sz="4" w:space="0" w:color="auto"/>
            </w:tcBorders>
            <w:shd w:val="clear" w:color="auto" w:fill="auto"/>
            <w:vAlign w:val="center"/>
          </w:tcPr>
          <w:p w:rsidR="00C73091" w:rsidRPr="008B53A9" w:rsidRDefault="00C73091" w:rsidP="00973E02">
            <w:pPr>
              <w:pStyle w:val="Tabulka"/>
              <w:jc w:val="left"/>
              <w:rPr>
                <w:rFonts w:cs="Calibri"/>
                <w:lang w:val="cs-CZ" w:eastAsia="cs-CZ"/>
              </w:rPr>
            </w:pPr>
            <w:r w:rsidRPr="008B53A9">
              <w:rPr>
                <w:rFonts w:cs="Calibri"/>
                <w:lang w:val="cs-CZ" w:eastAsia="cs-CZ"/>
              </w:rPr>
              <w:t>Typy příjemců: vlastníci/správci dotčené infrastruktury s veřejným přístupem</w:t>
            </w:r>
          </w:p>
          <w:p w:rsidR="00C73091" w:rsidRPr="008B53A9" w:rsidRDefault="00C73091" w:rsidP="00973E02">
            <w:pPr>
              <w:pStyle w:val="Tabulka"/>
              <w:jc w:val="left"/>
              <w:rPr>
                <w:rFonts w:cs="Calibri"/>
                <w:lang w:val="cs-CZ" w:eastAsia="cs-CZ"/>
              </w:rPr>
            </w:pPr>
            <w:r w:rsidRPr="008B53A9">
              <w:rPr>
                <w:rFonts w:cs="Calibri"/>
                <w:lang w:val="cs-CZ" w:eastAsia="cs-CZ"/>
              </w:rPr>
              <w:t>Cílové území: území celé ČR</w:t>
            </w:r>
          </w:p>
        </w:tc>
        <w:tc>
          <w:tcPr>
            <w:tcW w:w="0" w:type="auto"/>
            <w:tcBorders>
              <w:left w:val="single" w:sz="4" w:space="0" w:color="auto"/>
              <w:right w:val="single" w:sz="4" w:space="0" w:color="auto"/>
            </w:tcBorders>
            <w:vAlign w:val="center"/>
          </w:tcPr>
          <w:p w:rsidR="00C73091" w:rsidRPr="008B53A9" w:rsidRDefault="00C73091" w:rsidP="004A432E">
            <w:pPr>
              <w:pStyle w:val="Tabulka"/>
              <w:jc w:val="left"/>
              <w:rPr>
                <w:rFonts w:cs="Calibri"/>
                <w:lang w:val="cs-CZ" w:eastAsia="cs-CZ"/>
              </w:rPr>
            </w:pPr>
            <w:r w:rsidRPr="008B53A9">
              <w:rPr>
                <w:rFonts w:cs="Calibri"/>
                <w:lang w:val="cs-CZ" w:eastAsia="cs-CZ"/>
              </w:rPr>
              <w:t>Typ příjemce: Kraje, Obce, Dobrovolné svazky obcí, Organizace zřizované nebo zakládané kraji, obcemi nebo dobrovolnými svazky obcí, Právnické osoby zřízené zákonem č. 104/2000 Sb., o SFDI, Provozovatelé dráhy nebo drážní dopravy podle zákona č. 266/1994 Sb., o drahách, Dopravci ve veřejné linkové dopravě podle zákona č. 111/1994 Sb., o silniční dopravě</w:t>
            </w:r>
          </w:p>
          <w:p w:rsidR="00C73091" w:rsidRPr="008B53A9" w:rsidRDefault="00C73091" w:rsidP="00C73091">
            <w:pPr>
              <w:pStyle w:val="Tabulka"/>
              <w:jc w:val="left"/>
              <w:rPr>
                <w:rFonts w:cs="Calibri"/>
                <w:lang w:val="cs-CZ" w:eastAsia="cs-CZ"/>
              </w:rPr>
            </w:pPr>
            <w:r w:rsidRPr="008B53A9">
              <w:rPr>
                <w:rFonts w:cs="Calibri"/>
                <w:lang w:val="cs-CZ" w:eastAsia="cs-CZ"/>
              </w:rPr>
              <w:t>Cílové území: Území celé České republiky mimo území hl. m. Prahy</w:t>
            </w:r>
          </w:p>
        </w:tc>
      </w:tr>
      <w:tr w:rsidR="004A432E" w:rsidRPr="008B53A9">
        <w:tc>
          <w:tcPr>
            <w:tcW w:w="0" w:type="auto"/>
            <w:shd w:val="clear" w:color="auto" w:fill="DBE5F1"/>
            <w:vAlign w:val="center"/>
          </w:tcPr>
          <w:p w:rsidR="00C73091" w:rsidRPr="008B53A9" w:rsidRDefault="00C73091" w:rsidP="00E71F34">
            <w:pPr>
              <w:pStyle w:val="Tabulka"/>
              <w:jc w:val="left"/>
              <w:rPr>
                <w:rFonts w:cs="Calibri"/>
                <w:b/>
                <w:lang w:val="cs-CZ" w:eastAsia="cs-CZ"/>
              </w:rPr>
            </w:pPr>
            <w:r w:rsidRPr="008B53A9">
              <w:rPr>
                <w:rFonts w:cs="Calibri"/>
                <w:b/>
                <w:lang w:val="cs-CZ" w:eastAsia="cs-CZ"/>
              </w:rPr>
              <w:t>Synergie/komplementarita</w:t>
            </w:r>
          </w:p>
        </w:tc>
        <w:tc>
          <w:tcPr>
            <w:tcW w:w="0" w:type="auto"/>
            <w:tcBorders>
              <w:bottom w:val="single" w:sz="4" w:space="0" w:color="auto"/>
              <w:tr2bl w:val="single" w:sz="4" w:space="0" w:color="auto"/>
            </w:tcBorders>
            <w:shd w:val="clear" w:color="auto" w:fill="auto"/>
            <w:vAlign w:val="center"/>
          </w:tcPr>
          <w:p w:rsidR="00C73091" w:rsidRPr="008B53A9" w:rsidRDefault="00C73091" w:rsidP="00E71F34">
            <w:pPr>
              <w:pStyle w:val="Tabulka"/>
              <w:jc w:val="left"/>
              <w:rPr>
                <w:rFonts w:cs="Calibri"/>
                <w:lang w:val="cs-CZ" w:eastAsia="cs-CZ"/>
              </w:rPr>
            </w:pPr>
          </w:p>
        </w:tc>
        <w:tc>
          <w:tcPr>
            <w:tcW w:w="0" w:type="auto"/>
            <w:tcBorders>
              <w:top w:val="nil"/>
              <w:bottom w:val="nil"/>
            </w:tcBorders>
            <w:shd w:val="clear" w:color="auto" w:fill="auto"/>
            <w:vAlign w:val="center"/>
          </w:tcPr>
          <w:p w:rsidR="00C73091" w:rsidRPr="008B53A9" w:rsidRDefault="00C73091" w:rsidP="00E71F34">
            <w:pPr>
              <w:pStyle w:val="Tabulka"/>
              <w:jc w:val="left"/>
              <w:rPr>
                <w:rFonts w:cs="Calibri"/>
                <w:sz w:val="6"/>
                <w:szCs w:val="6"/>
                <w:lang w:val="cs-CZ" w:eastAsia="cs-CZ"/>
              </w:rPr>
            </w:pPr>
          </w:p>
        </w:tc>
        <w:tc>
          <w:tcPr>
            <w:tcW w:w="0" w:type="auto"/>
            <w:tcBorders>
              <w:left w:val="single" w:sz="4" w:space="0" w:color="auto"/>
              <w:right w:val="single" w:sz="4" w:space="0" w:color="auto"/>
            </w:tcBorders>
            <w:shd w:val="clear" w:color="auto" w:fill="auto"/>
            <w:vAlign w:val="center"/>
          </w:tcPr>
          <w:p w:rsidR="00C73091" w:rsidRPr="008B53A9" w:rsidRDefault="00C73091" w:rsidP="00973E02">
            <w:pPr>
              <w:pStyle w:val="Tabulka"/>
              <w:jc w:val="left"/>
              <w:rPr>
                <w:rFonts w:cs="Calibri"/>
                <w:lang w:val="cs-CZ" w:eastAsia="cs-CZ"/>
              </w:rPr>
            </w:pPr>
            <w:r w:rsidRPr="008B53A9">
              <w:rPr>
                <w:rFonts w:cs="Calibri"/>
                <w:lang w:val="cs-CZ" w:eastAsia="cs-CZ"/>
              </w:rPr>
              <w:t>komplementarita</w:t>
            </w:r>
          </w:p>
        </w:tc>
        <w:tc>
          <w:tcPr>
            <w:tcW w:w="0" w:type="auto"/>
            <w:tcBorders>
              <w:left w:val="single" w:sz="4" w:space="0" w:color="auto"/>
              <w:right w:val="single" w:sz="4" w:space="0" w:color="auto"/>
            </w:tcBorders>
            <w:vAlign w:val="center"/>
          </w:tcPr>
          <w:p w:rsidR="00C73091" w:rsidRPr="008B53A9" w:rsidRDefault="00C73091" w:rsidP="004044A1">
            <w:pPr>
              <w:pStyle w:val="Tabulka"/>
              <w:jc w:val="left"/>
              <w:rPr>
                <w:rFonts w:cs="Calibri"/>
                <w:lang w:val="cs-CZ" w:eastAsia="cs-CZ"/>
              </w:rPr>
            </w:pPr>
            <w:r w:rsidRPr="008B53A9">
              <w:rPr>
                <w:rFonts w:cs="Calibri"/>
                <w:lang w:val="cs-CZ" w:eastAsia="cs-CZ"/>
              </w:rPr>
              <w:t>komplementarita</w:t>
            </w:r>
          </w:p>
        </w:tc>
      </w:tr>
      <w:tr w:rsidR="00C73091" w:rsidRPr="008B53A9">
        <w:tc>
          <w:tcPr>
            <w:tcW w:w="0" w:type="auto"/>
            <w:shd w:val="clear" w:color="auto" w:fill="DBE5F1"/>
            <w:vAlign w:val="center"/>
          </w:tcPr>
          <w:p w:rsidR="00C73091" w:rsidRPr="008B53A9" w:rsidRDefault="00C73091" w:rsidP="00E71F34">
            <w:pPr>
              <w:pStyle w:val="Tabulka"/>
              <w:jc w:val="left"/>
              <w:rPr>
                <w:rFonts w:cs="Calibri"/>
                <w:b/>
                <w:lang w:val="cs-CZ" w:eastAsia="cs-CZ"/>
              </w:rPr>
            </w:pPr>
            <w:r w:rsidRPr="008B53A9">
              <w:rPr>
                <w:rFonts w:cs="Calibri"/>
                <w:b/>
                <w:lang w:val="cs-CZ" w:eastAsia="cs-CZ"/>
              </w:rPr>
              <w:t>Mechanismus koordinace</w:t>
            </w:r>
          </w:p>
        </w:tc>
        <w:tc>
          <w:tcPr>
            <w:tcW w:w="0" w:type="auto"/>
            <w:gridSpan w:val="4"/>
            <w:tcBorders>
              <w:right w:val="single" w:sz="4" w:space="0" w:color="auto"/>
              <w:tr2bl w:val="nil"/>
            </w:tcBorders>
            <w:shd w:val="clear" w:color="auto" w:fill="auto"/>
            <w:vAlign w:val="center"/>
          </w:tcPr>
          <w:p w:rsidR="00C73091" w:rsidRPr="008B53A9" w:rsidRDefault="00C73091" w:rsidP="004044A1">
            <w:pPr>
              <w:pStyle w:val="Tabulka"/>
              <w:jc w:val="left"/>
              <w:rPr>
                <w:rFonts w:cs="Calibri"/>
                <w:lang w:val="cs-CZ" w:eastAsia="cs-CZ"/>
              </w:rPr>
            </w:pPr>
            <w:r w:rsidRPr="008B53A9">
              <w:rPr>
                <w:rFonts w:cs="Calibri"/>
                <w:lang w:val="cs-CZ" w:eastAsia="cs-CZ"/>
              </w:rPr>
              <w:t>Návrh: koordinace výzev, vzájemná účast zástupců řídích orgánů v pracovních skupinách a platformách ve fázi přípravy i realizace programu, zastoupení na monitorovacím výboru, koordinace prostřednictvím centrálního webového rozhraní MMR-NOK poskytující komplexní informace potenciálním žadatelům, spolupráce na evaluacích v této oblasti</w:t>
            </w:r>
          </w:p>
        </w:tc>
      </w:tr>
    </w:tbl>
    <w:p w:rsidR="00E71F34" w:rsidRPr="008B53A9" w:rsidRDefault="00E71F34" w:rsidP="00D51A7B">
      <w:pPr>
        <w:pStyle w:val="Standardntext"/>
      </w:pPr>
    </w:p>
    <w:p w:rsidR="00651018" w:rsidRPr="008B53A9" w:rsidRDefault="00651018" w:rsidP="005D178C">
      <w:pPr>
        <w:pStyle w:val="Standardntext"/>
        <w:keepNext/>
        <w:keepLines/>
        <w:numPr>
          <w:ilvl w:val="0"/>
          <w:numId w:val="95"/>
        </w:numPr>
        <w:rPr>
          <w:b/>
        </w:rPr>
      </w:pPr>
      <w:r w:rsidRPr="008B53A9">
        <w:rPr>
          <w:b/>
        </w:rPr>
        <w:lastRenderedPageBreak/>
        <w:t>Soustavy zásobování teplem</w:t>
      </w:r>
    </w:p>
    <w:p w:rsidR="00651018" w:rsidRPr="008B53A9" w:rsidRDefault="00651018" w:rsidP="00651018">
      <w:pPr>
        <w:pStyle w:val="Standardntext"/>
        <w:keepNext/>
        <w:keepLines/>
      </w:pPr>
      <w:r w:rsidRPr="008B53A9">
        <w:t xml:space="preserve">Rekonstrukcí soustav zásobování teplem se vedle OP PIK zabývá rovněž </w:t>
      </w:r>
      <w:r w:rsidRPr="008B53A9">
        <w:rPr>
          <w:b/>
        </w:rPr>
        <w:t>OP ŽP</w:t>
      </w:r>
      <w:r w:rsidRPr="008B53A9">
        <w:t>. Oba operační programy se doplňují z hlediska příjemců podpory, kdy OP PIK je orientován na podnikatelské subjekty a OP ŽP na veřejný sektor.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4676"/>
        <w:gridCol w:w="236"/>
        <w:gridCol w:w="6097"/>
      </w:tblGrid>
      <w:tr w:rsidR="00D51A7B" w:rsidRPr="008B53A9">
        <w:trPr>
          <w:trHeight w:val="233"/>
        </w:trPr>
        <w:tc>
          <w:tcPr>
            <w:tcW w:w="1167" w:type="pct"/>
            <w:shd w:val="clear" w:color="auto" w:fill="739BCB"/>
            <w:vAlign w:val="center"/>
          </w:tcPr>
          <w:p w:rsidR="00D51A7B" w:rsidRPr="008B53A9" w:rsidRDefault="0097199C" w:rsidP="0097199C">
            <w:pPr>
              <w:pStyle w:val="Tabulka"/>
              <w:keepNext/>
              <w:keepLines/>
              <w:jc w:val="left"/>
              <w:rPr>
                <w:rFonts w:cs="Calibri"/>
                <w:b/>
                <w:lang w:val="cs-CZ" w:eastAsia="cs-CZ"/>
              </w:rPr>
            </w:pPr>
            <w:r w:rsidRPr="008B53A9">
              <w:rPr>
                <w:rFonts w:cs="Calibri"/>
                <w:b/>
                <w:color w:val="FFFFFF"/>
                <w:lang w:val="cs-CZ" w:eastAsia="cs-CZ"/>
              </w:rPr>
              <w:t>Soustavy zásobování teplem</w:t>
            </w:r>
          </w:p>
        </w:tc>
        <w:tc>
          <w:tcPr>
            <w:tcW w:w="1628" w:type="pct"/>
            <w:tcBorders>
              <w:bottom w:val="single" w:sz="4" w:space="0" w:color="000000"/>
            </w:tcBorders>
            <w:shd w:val="clear" w:color="auto" w:fill="B8CCE4"/>
            <w:vAlign w:val="center"/>
          </w:tcPr>
          <w:p w:rsidR="00D51A7B" w:rsidRPr="008B53A9" w:rsidRDefault="00D51A7B" w:rsidP="00267430">
            <w:pPr>
              <w:pStyle w:val="Tabulka"/>
              <w:keepNext/>
              <w:keepLines/>
              <w:rPr>
                <w:rFonts w:cs="Calibri"/>
                <w:b/>
                <w:lang w:val="cs-CZ" w:eastAsia="cs-CZ"/>
              </w:rPr>
            </w:pPr>
            <w:r w:rsidRPr="008B53A9">
              <w:rPr>
                <w:rFonts w:cs="Calibri"/>
                <w:b/>
                <w:lang w:val="cs-CZ" w:eastAsia="cs-CZ"/>
              </w:rPr>
              <w:t>OP PIK</w:t>
            </w:r>
          </w:p>
        </w:tc>
        <w:tc>
          <w:tcPr>
            <w:tcW w:w="82" w:type="pct"/>
            <w:tcBorders>
              <w:top w:val="nil"/>
              <w:bottom w:val="nil"/>
            </w:tcBorders>
            <w:shd w:val="clear" w:color="auto" w:fill="auto"/>
            <w:vAlign w:val="center"/>
          </w:tcPr>
          <w:p w:rsidR="00D51A7B" w:rsidRPr="008B53A9" w:rsidRDefault="00D51A7B" w:rsidP="00267430">
            <w:pPr>
              <w:pStyle w:val="Tabulka"/>
              <w:keepNext/>
              <w:keepLines/>
              <w:rPr>
                <w:rFonts w:cs="Calibri"/>
                <w:b/>
                <w:sz w:val="6"/>
                <w:szCs w:val="6"/>
                <w:lang w:val="cs-CZ" w:eastAsia="cs-CZ"/>
              </w:rPr>
            </w:pPr>
          </w:p>
        </w:tc>
        <w:tc>
          <w:tcPr>
            <w:tcW w:w="2123" w:type="pct"/>
            <w:tcBorders>
              <w:bottom w:val="single" w:sz="4" w:space="0" w:color="000000"/>
            </w:tcBorders>
            <w:shd w:val="clear" w:color="auto" w:fill="B8CCE4"/>
            <w:vAlign w:val="center"/>
          </w:tcPr>
          <w:p w:rsidR="00D51A7B" w:rsidRPr="008B53A9" w:rsidRDefault="00D51A7B" w:rsidP="00267430">
            <w:pPr>
              <w:pStyle w:val="Tabulka"/>
              <w:keepNext/>
              <w:keepLines/>
              <w:rPr>
                <w:rFonts w:cs="Calibri"/>
                <w:b/>
                <w:lang w:val="cs-CZ" w:eastAsia="cs-CZ"/>
              </w:rPr>
            </w:pPr>
            <w:r w:rsidRPr="008B53A9">
              <w:rPr>
                <w:rFonts w:cs="Calibri"/>
                <w:b/>
                <w:lang w:val="cs-CZ" w:eastAsia="cs-CZ"/>
              </w:rPr>
              <w:t>OP ŽP</w:t>
            </w:r>
          </w:p>
        </w:tc>
      </w:tr>
      <w:tr w:rsidR="000305FB" w:rsidRPr="008B53A9">
        <w:trPr>
          <w:trHeight w:val="714"/>
        </w:trPr>
        <w:tc>
          <w:tcPr>
            <w:tcW w:w="1167" w:type="pct"/>
            <w:tcBorders>
              <w:bottom w:val="dotted" w:sz="4" w:space="0" w:color="auto"/>
            </w:tcBorders>
            <w:shd w:val="clear" w:color="auto" w:fill="DBE5F1"/>
            <w:vAlign w:val="center"/>
          </w:tcPr>
          <w:p w:rsidR="00D51A7B" w:rsidRPr="008B53A9" w:rsidRDefault="002E0DC8" w:rsidP="00267430">
            <w:pPr>
              <w:pStyle w:val="Tabulka"/>
              <w:jc w:val="left"/>
              <w:rPr>
                <w:rFonts w:cs="Calibri"/>
                <w:b/>
                <w:lang w:val="cs-CZ" w:eastAsia="cs-CZ"/>
              </w:rPr>
            </w:pPr>
            <w:r w:rsidRPr="008B53A9">
              <w:rPr>
                <w:rFonts w:cs="Calibri"/>
                <w:b/>
                <w:lang w:val="cs-CZ" w:eastAsia="cs-CZ"/>
              </w:rPr>
              <w:t>Tematický cíl / investiční priorita</w:t>
            </w:r>
          </w:p>
        </w:tc>
        <w:tc>
          <w:tcPr>
            <w:tcW w:w="1628" w:type="pct"/>
            <w:tcBorders>
              <w:bottom w:val="dotted" w:sz="4" w:space="0" w:color="auto"/>
              <w:right w:val="single" w:sz="4" w:space="0" w:color="auto"/>
            </w:tcBorders>
            <w:shd w:val="clear" w:color="auto" w:fill="auto"/>
            <w:vAlign w:val="center"/>
          </w:tcPr>
          <w:p w:rsidR="00D51A7B" w:rsidRPr="008B53A9" w:rsidRDefault="008022FA" w:rsidP="004044A1">
            <w:pPr>
              <w:pStyle w:val="Tabulka"/>
              <w:jc w:val="left"/>
              <w:rPr>
                <w:rFonts w:cs="Calibri"/>
                <w:lang w:val="cs-CZ" w:eastAsia="cs-CZ"/>
              </w:rPr>
            </w:pPr>
            <w:r w:rsidRPr="008B53A9">
              <w:rPr>
                <w:rFonts w:cs="Calibri"/>
                <w:lang w:val="cs-CZ" w:eastAsia="cs-CZ"/>
              </w:rPr>
              <w:t xml:space="preserve">TC </w:t>
            </w:r>
            <w:r w:rsidR="00D51A7B" w:rsidRPr="008B53A9">
              <w:rPr>
                <w:rFonts w:cs="Calibri"/>
                <w:lang w:val="cs-CZ" w:eastAsia="cs-CZ"/>
              </w:rPr>
              <w:t>4</w:t>
            </w:r>
            <w:r w:rsidR="005E6F75" w:rsidRPr="008B53A9">
              <w:rPr>
                <w:rFonts w:cs="Calibri"/>
                <w:lang w:val="cs-CZ" w:eastAsia="cs-CZ"/>
              </w:rPr>
              <w:t xml:space="preserve"> / </w:t>
            </w:r>
            <w:r w:rsidR="004044A1" w:rsidRPr="008B53A9">
              <w:rPr>
                <w:rFonts w:cs="Calibri"/>
                <w:lang w:val="cs-CZ" w:eastAsia="cs-CZ"/>
              </w:rPr>
              <w:t>4 g)</w:t>
            </w:r>
          </w:p>
        </w:tc>
        <w:tc>
          <w:tcPr>
            <w:tcW w:w="82" w:type="pct"/>
            <w:tcBorders>
              <w:top w:val="nil"/>
              <w:left w:val="single" w:sz="4" w:space="0" w:color="auto"/>
              <w:bottom w:val="nil"/>
              <w:right w:val="single" w:sz="4" w:space="0" w:color="auto"/>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tcBorders>
              <w:left w:val="single" w:sz="4" w:space="0" w:color="auto"/>
              <w:bottom w:val="dotted" w:sz="4" w:space="0" w:color="auto"/>
            </w:tcBorders>
            <w:shd w:val="clear" w:color="auto" w:fill="auto"/>
            <w:vAlign w:val="center"/>
          </w:tcPr>
          <w:p w:rsidR="00D51A7B" w:rsidRPr="008B53A9" w:rsidRDefault="008022FA" w:rsidP="004044A1">
            <w:pPr>
              <w:pStyle w:val="Tabulka"/>
              <w:jc w:val="left"/>
              <w:rPr>
                <w:rFonts w:cs="Calibri"/>
                <w:lang w:val="cs-CZ" w:eastAsia="cs-CZ"/>
              </w:rPr>
            </w:pPr>
            <w:r w:rsidRPr="008B53A9">
              <w:rPr>
                <w:rFonts w:cs="Calibri"/>
                <w:lang w:val="cs-CZ" w:eastAsia="cs-CZ"/>
              </w:rPr>
              <w:t xml:space="preserve">TC </w:t>
            </w:r>
            <w:r w:rsidR="00D51A7B" w:rsidRPr="008B53A9">
              <w:rPr>
                <w:rFonts w:cs="Calibri"/>
                <w:lang w:val="cs-CZ" w:eastAsia="cs-CZ"/>
              </w:rPr>
              <w:t>6</w:t>
            </w:r>
            <w:r w:rsidR="005E6F75" w:rsidRPr="008B53A9">
              <w:rPr>
                <w:rFonts w:cs="Calibri"/>
                <w:lang w:val="cs-CZ" w:eastAsia="cs-CZ"/>
              </w:rPr>
              <w:t xml:space="preserve"> / </w:t>
            </w:r>
            <w:r w:rsidR="004044A1" w:rsidRPr="008B53A9">
              <w:rPr>
                <w:rFonts w:cs="Calibri"/>
                <w:lang w:val="cs-CZ" w:eastAsia="cs-CZ"/>
              </w:rPr>
              <w:t>6 a)</w:t>
            </w:r>
          </w:p>
        </w:tc>
      </w:tr>
      <w:tr w:rsidR="00D51A7B" w:rsidRPr="008B53A9">
        <w:trPr>
          <w:trHeight w:val="212"/>
        </w:trPr>
        <w:tc>
          <w:tcPr>
            <w:tcW w:w="1167" w:type="pct"/>
            <w:tcBorders>
              <w:top w:val="dotted" w:sz="4" w:space="0" w:color="auto"/>
              <w:bottom w:val="dotted" w:sz="4" w:space="0" w:color="auto"/>
            </w:tcBorders>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Prioritní osa</w:t>
            </w:r>
          </w:p>
        </w:tc>
        <w:tc>
          <w:tcPr>
            <w:tcW w:w="1628" w:type="pct"/>
            <w:tcBorders>
              <w:top w:val="dotted" w:sz="4" w:space="0" w:color="auto"/>
              <w:bottom w:val="dotted" w:sz="4" w:space="0" w:color="auto"/>
              <w:righ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3: Účinné nakládání energií, rozvoj energetické infrastruktury a obnovitelných zdrojů energie, podpora zavádění nových technologií v oblasti nakládání energií a druhotných surovin</w:t>
            </w:r>
          </w:p>
        </w:tc>
        <w:tc>
          <w:tcPr>
            <w:tcW w:w="82" w:type="pct"/>
            <w:tcBorders>
              <w:top w:val="nil"/>
              <w:left w:val="single" w:sz="4" w:space="0" w:color="auto"/>
              <w:bottom w:val="nil"/>
              <w:right w:val="single" w:sz="4" w:space="0" w:color="auto"/>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tcBorders>
              <w:top w:val="dotted" w:sz="4" w:space="0" w:color="auto"/>
              <w:left w:val="single" w:sz="4" w:space="0" w:color="auto"/>
              <w:bottom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2: Zlepšování kvality ovzduší v lidských sídlech</w:t>
            </w:r>
          </w:p>
        </w:tc>
      </w:tr>
      <w:tr w:rsidR="00D51A7B" w:rsidRPr="008B53A9">
        <w:tc>
          <w:tcPr>
            <w:tcW w:w="1167" w:type="pct"/>
            <w:tcBorders>
              <w:top w:val="dotted" w:sz="4" w:space="0" w:color="auto"/>
            </w:tcBorders>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Specifický cíl</w:t>
            </w:r>
          </w:p>
        </w:tc>
        <w:tc>
          <w:tcPr>
            <w:tcW w:w="1628"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 xml:space="preserve">SC 3.5: </w:t>
            </w:r>
            <w:r w:rsidR="007E355B" w:rsidRPr="008B53A9">
              <w:rPr>
                <w:rFonts w:cs="Calibri"/>
                <w:lang w:val="cs-CZ" w:eastAsia="cs-CZ"/>
              </w:rPr>
              <w:t>Zvýšit účinnost soustav zásobování teplem</w:t>
            </w:r>
          </w:p>
        </w:tc>
        <w:tc>
          <w:tcPr>
            <w:tcW w:w="82"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tcBorders>
              <w:top w:val="dotted" w:sz="4" w:space="0" w:color="auto"/>
            </w:tcBorders>
            <w:shd w:val="clear" w:color="auto" w:fill="auto"/>
            <w:vAlign w:val="center"/>
          </w:tcPr>
          <w:p w:rsidR="00D51A7B" w:rsidRPr="008B53A9" w:rsidRDefault="00D51A7B" w:rsidP="00047773">
            <w:pPr>
              <w:pStyle w:val="Tabulka"/>
              <w:jc w:val="left"/>
              <w:rPr>
                <w:rFonts w:cs="Calibri"/>
                <w:lang w:val="cs-CZ" w:eastAsia="cs-CZ"/>
              </w:rPr>
            </w:pPr>
            <w:r w:rsidRPr="008B53A9">
              <w:rPr>
                <w:rFonts w:cs="Calibri"/>
                <w:lang w:val="cs-CZ" w:eastAsia="cs-CZ"/>
              </w:rPr>
              <w:t>SC 2.</w:t>
            </w:r>
            <w:r w:rsidR="00047773" w:rsidRPr="008B53A9">
              <w:rPr>
                <w:rFonts w:cs="Calibri"/>
                <w:lang w:val="cs-CZ" w:eastAsia="cs-CZ"/>
              </w:rPr>
              <w:t>2</w:t>
            </w:r>
            <w:r w:rsidRPr="008B53A9">
              <w:rPr>
                <w:rFonts w:cs="Calibri"/>
                <w:lang w:val="cs-CZ" w:eastAsia="cs-CZ"/>
              </w:rPr>
              <w:t xml:space="preserve"> </w:t>
            </w:r>
            <w:r w:rsidR="00047773" w:rsidRPr="008B53A9">
              <w:rPr>
                <w:rFonts w:cs="Calibri"/>
                <w:lang w:val="cs-CZ" w:eastAsia="cs-CZ"/>
              </w:rPr>
              <w:t>Snížit emise stacionárních zdrojů podílející se na expozici obyvatelstva nadlimitním koncentracím znečišťujících látek</w:t>
            </w:r>
          </w:p>
        </w:tc>
      </w:tr>
      <w:tr w:rsidR="00D51A7B" w:rsidRPr="008B53A9">
        <w:tc>
          <w:tcPr>
            <w:tcW w:w="1167" w:type="pct"/>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Věcná specifikace (zaměření, aktivity)</w:t>
            </w:r>
          </w:p>
        </w:tc>
        <w:tc>
          <w:tcPr>
            <w:tcW w:w="1628" w:type="pct"/>
            <w:shd w:val="clear" w:color="auto" w:fill="auto"/>
            <w:vAlign w:val="center"/>
          </w:tcPr>
          <w:p w:rsidR="00D51A7B" w:rsidRPr="008B53A9" w:rsidRDefault="00047773" w:rsidP="00267430">
            <w:pPr>
              <w:pStyle w:val="Tabulka"/>
              <w:jc w:val="left"/>
              <w:rPr>
                <w:rFonts w:cs="Calibri"/>
                <w:lang w:val="cs-CZ" w:eastAsia="cs-CZ"/>
              </w:rPr>
            </w:pPr>
            <w:r w:rsidRPr="008B53A9">
              <w:rPr>
                <w:rFonts w:cs="Calibri"/>
                <w:lang w:val="cs-CZ" w:eastAsia="cs-CZ"/>
              </w:rPr>
              <w:t>R</w:t>
            </w:r>
            <w:r w:rsidR="00D51A7B" w:rsidRPr="008B53A9">
              <w:rPr>
                <w:rFonts w:cs="Calibri"/>
                <w:lang w:val="cs-CZ" w:eastAsia="cs-CZ"/>
              </w:rPr>
              <w:t>ekonstrukce a rozvoj soustav zásobování teplem</w:t>
            </w:r>
          </w:p>
        </w:tc>
        <w:tc>
          <w:tcPr>
            <w:tcW w:w="82"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shd w:val="clear" w:color="auto" w:fill="auto"/>
            <w:vAlign w:val="center"/>
          </w:tcPr>
          <w:p w:rsidR="00D51A7B" w:rsidRPr="008B53A9" w:rsidRDefault="00047773" w:rsidP="00267430">
            <w:pPr>
              <w:pStyle w:val="Tabulka"/>
              <w:jc w:val="left"/>
              <w:rPr>
                <w:rFonts w:cs="Calibri"/>
                <w:lang w:val="cs-CZ" w:eastAsia="cs-CZ"/>
              </w:rPr>
            </w:pPr>
            <w:r w:rsidRPr="008B53A9">
              <w:rPr>
                <w:rFonts w:cs="Calibri"/>
                <w:lang w:val="cs-CZ" w:eastAsia="cs-CZ"/>
              </w:rPr>
              <w:t>R</w:t>
            </w:r>
            <w:r w:rsidR="00D51A7B" w:rsidRPr="008B53A9">
              <w:rPr>
                <w:rFonts w:cs="Calibri"/>
                <w:lang w:val="cs-CZ" w:eastAsia="cs-CZ"/>
              </w:rPr>
              <w:t>ozšiřování a rekonstrukce systémů centralizovaného zásobování teplem</w:t>
            </w:r>
          </w:p>
        </w:tc>
      </w:tr>
      <w:tr w:rsidR="00D51A7B" w:rsidRPr="008B53A9">
        <w:tc>
          <w:tcPr>
            <w:tcW w:w="1167" w:type="pct"/>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Implementační prvky</w:t>
            </w:r>
          </w:p>
        </w:tc>
        <w:tc>
          <w:tcPr>
            <w:tcW w:w="1628" w:type="pct"/>
            <w:tcBorders>
              <w:bottom w:val="single" w:sz="4" w:space="0" w:color="auto"/>
            </w:tcBorders>
            <w:shd w:val="clear" w:color="auto" w:fill="auto"/>
            <w:vAlign w:val="center"/>
          </w:tcPr>
          <w:p w:rsidR="00D51A7B" w:rsidRPr="008B53A9" w:rsidRDefault="00761E6F" w:rsidP="00267430">
            <w:pPr>
              <w:pStyle w:val="Tabulka"/>
              <w:jc w:val="left"/>
              <w:rPr>
                <w:rFonts w:cs="Calibri"/>
                <w:lang w:val="cs-CZ" w:eastAsia="cs-CZ"/>
              </w:rPr>
            </w:pPr>
            <w:r w:rsidRPr="008B53A9">
              <w:rPr>
                <w:rFonts w:cs="Calibri"/>
                <w:lang w:val="cs-CZ" w:eastAsia="cs-CZ"/>
              </w:rPr>
              <w:t>Typy příjemců: Podnikatelské subjekty (malé, střední a případně velké podniky)</w:t>
            </w:r>
          </w:p>
          <w:p w:rsidR="00761E6F" w:rsidRPr="008B53A9" w:rsidRDefault="00761E6F" w:rsidP="00267430">
            <w:pPr>
              <w:pStyle w:val="Tabulka"/>
              <w:jc w:val="left"/>
              <w:rPr>
                <w:rFonts w:cs="Calibri"/>
                <w:lang w:val="cs-CZ" w:eastAsia="cs-CZ"/>
              </w:rPr>
            </w:pPr>
            <w:r w:rsidRPr="008B53A9">
              <w:rPr>
                <w:rFonts w:cs="Calibri"/>
                <w:bCs/>
                <w:lang w:val="cs-CZ" w:eastAsia="cs-CZ"/>
              </w:rPr>
              <w:t xml:space="preserve">Cílové území: </w:t>
            </w:r>
            <w:r w:rsidRPr="008B53A9">
              <w:rPr>
                <w:rFonts w:cs="Calibri"/>
                <w:lang w:val="cs-CZ" w:eastAsia="cs-CZ"/>
              </w:rPr>
              <w:t>Území České republiky, mimo území hl. m. Prahy</w:t>
            </w:r>
          </w:p>
        </w:tc>
        <w:tc>
          <w:tcPr>
            <w:tcW w:w="82"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shd w:val="clear" w:color="auto" w:fill="auto"/>
            <w:vAlign w:val="center"/>
          </w:tcPr>
          <w:p w:rsidR="00047773" w:rsidRPr="008B53A9" w:rsidRDefault="00047773" w:rsidP="00047773">
            <w:pPr>
              <w:pStyle w:val="Tabulka"/>
              <w:jc w:val="left"/>
              <w:rPr>
                <w:rFonts w:cs="Calibri"/>
                <w:lang w:val="cs-CZ" w:eastAsia="cs-CZ"/>
              </w:rPr>
            </w:pPr>
            <w:r w:rsidRPr="008B53A9">
              <w:rPr>
                <w:rFonts w:cs="Calibri"/>
                <w:lang w:val="cs-CZ" w:eastAsia="cs-CZ"/>
              </w:rPr>
              <w:t xml:space="preserve">Typy příjemců: </w:t>
            </w:r>
            <w:r w:rsidR="000201D0" w:rsidRPr="008B53A9">
              <w:rPr>
                <w:rFonts w:cs="Calibri"/>
                <w:lang w:val="cs-CZ" w:eastAsia="cs-CZ"/>
              </w:rPr>
              <w:t>Právnické osoby a fyzické osoby podnikající</w:t>
            </w:r>
          </w:p>
          <w:p w:rsidR="00D51A7B" w:rsidRPr="008B53A9" w:rsidRDefault="00047773" w:rsidP="00047773">
            <w:pPr>
              <w:pStyle w:val="Tabulka"/>
              <w:jc w:val="left"/>
              <w:rPr>
                <w:rFonts w:cs="Calibri"/>
                <w:lang w:val="cs-CZ" w:eastAsia="cs-CZ"/>
              </w:rPr>
            </w:pPr>
            <w:r w:rsidRPr="008B53A9">
              <w:rPr>
                <w:rFonts w:cs="Calibri"/>
                <w:lang w:val="cs-CZ" w:eastAsia="cs-CZ"/>
              </w:rPr>
              <w:t>Cílová území: celá ČR se zaměřením na sídelní útvary (města, obce)</w:t>
            </w:r>
          </w:p>
        </w:tc>
      </w:tr>
      <w:tr w:rsidR="00530742" w:rsidRPr="008B53A9">
        <w:tc>
          <w:tcPr>
            <w:tcW w:w="1167" w:type="pct"/>
            <w:shd w:val="clear" w:color="auto" w:fill="DBE5F1"/>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t>Synergie/komplementarita</w:t>
            </w:r>
          </w:p>
        </w:tc>
        <w:tc>
          <w:tcPr>
            <w:tcW w:w="1628" w:type="pct"/>
            <w:tcBorders>
              <w:tr2bl w:val="single" w:sz="4" w:space="0" w:color="auto"/>
            </w:tcBorders>
            <w:shd w:val="clear" w:color="auto" w:fill="auto"/>
            <w:vAlign w:val="center"/>
          </w:tcPr>
          <w:p w:rsidR="00530742" w:rsidRPr="008B53A9" w:rsidRDefault="00530742" w:rsidP="00267430">
            <w:pPr>
              <w:pStyle w:val="Tabulka"/>
              <w:jc w:val="left"/>
              <w:rPr>
                <w:rFonts w:cs="Calibri"/>
                <w:lang w:val="cs-CZ" w:eastAsia="cs-CZ"/>
              </w:rPr>
            </w:pPr>
          </w:p>
        </w:tc>
        <w:tc>
          <w:tcPr>
            <w:tcW w:w="82" w:type="pct"/>
            <w:tcBorders>
              <w:top w:val="nil"/>
              <w:bottom w:val="nil"/>
            </w:tcBorders>
            <w:shd w:val="clear" w:color="auto" w:fill="auto"/>
            <w:vAlign w:val="center"/>
          </w:tcPr>
          <w:p w:rsidR="00530742" w:rsidRPr="008B53A9" w:rsidRDefault="00530742" w:rsidP="00267430">
            <w:pPr>
              <w:pStyle w:val="Tabulka"/>
              <w:jc w:val="left"/>
              <w:rPr>
                <w:rFonts w:cs="Calibri"/>
                <w:sz w:val="6"/>
                <w:szCs w:val="6"/>
                <w:lang w:val="cs-CZ" w:eastAsia="cs-CZ"/>
              </w:rPr>
            </w:pPr>
          </w:p>
        </w:tc>
        <w:tc>
          <w:tcPr>
            <w:tcW w:w="2123" w:type="pct"/>
            <w:shd w:val="clear" w:color="auto" w:fill="auto"/>
            <w:vAlign w:val="center"/>
          </w:tcPr>
          <w:p w:rsidR="00530742" w:rsidRPr="008B53A9" w:rsidRDefault="00530742" w:rsidP="00047773">
            <w:pPr>
              <w:pStyle w:val="Tabulka"/>
              <w:jc w:val="left"/>
              <w:rPr>
                <w:rFonts w:cs="Calibri"/>
                <w:lang w:val="cs-CZ" w:eastAsia="cs-CZ"/>
              </w:rPr>
            </w:pPr>
            <w:r w:rsidRPr="008B53A9">
              <w:rPr>
                <w:rFonts w:cs="Calibri"/>
                <w:lang w:val="cs-CZ" w:eastAsia="cs-CZ"/>
              </w:rPr>
              <w:t>komplementarita</w:t>
            </w:r>
          </w:p>
        </w:tc>
      </w:tr>
      <w:tr w:rsidR="00363809" w:rsidRPr="008B53A9">
        <w:tc>
          <w:tcPr>
            <w:tcW w:w="1167" w:type="pct"/>
            <w:shd w:val="clear" w:color="auto" w:fill="DBE5F1"/>
            <w:vAlign w:val="center"/>
          </w:tcPr>
          <w:p w:rsidR="00363809" w:rsidRPr="008B53A9" w:rsidRDefault="00363809" w:rsidP="00267430">
            <w:pPr>
              <w:pStyle w:val="Tabulka"/>
              <w:jc w:val="left"/>
              <w:rPr>
                <w:rFonts w:cs="Calibri"/>
                <w:b/>
                <w:lang w:val="cs-CZ" w:eastAsia="cs-CZ"/>
              </w:rPr>
            </w:pPr>
            <w:r w:rsidRPr="008B53A9">
              <w:rPr>
                <w:rFonts w:cs="Calibri"/>
                <w:b/>
                <w:lang w:val="cs-CZ" w:eastAsia="cs-CZ"/>
              </w:rPr>
              <w:t>Mechanismus koordinace</w:t>
            </w:r>
          </w:p>
        </w:tc>
        <w:tc>
          <w:tcPr>
            <w:tcW w:w="3833" w:type="pct"/>
            <w:gridSpan w:val="3"/>
            <w:shd w:val="clear" w:color="auto" w:fill="auto"/>
            <w:vAlign w:val="center"/>
          </w:tcPr>
          <w:p w:rsidR="00363809" w:rsidRPr="008B53A9" w:rsidRDefault="00363809" w:rsidP="004F6C73">
            <w:pPr>
              <w:pStyle w:val="Tabulka"/>
              <w:jc w:val="left"/>
              <w:rPr>
                <w:rFonts w:cs="Calibri"/>
                <w:lang w:val="cs-CZ" w:eastAsia="cs-CZ"/>
              </w:rPr>
            </w:pPr>
            <w:r w:rsidRPr="008B53A9">
              <w:rPr>
                <w:rFonts w:cs="Calibri"/>
                <w:lang w:val="cs-CZ" w:eastAsia="cs-CZ"/>
              </w:rPr>
              <w:t xml:space="preserve">Aktivita se doplňuje dle příjemců podpory, MPO – podnikatelské subjekty, včetně podnikatelských subjektů, které jsou </w:t>
            </w:r>
            <w:r w:rsidR="00047773" w:rsidRPr="008B53A9">
              <w:rPr>
                <w:rFonts w:cs="Calibri"/>
                <w:lang w:val="cs-CZ" w:eastAsia="cs-CZ"/>
              </w:rPr>
              <w:t xml:space="preserve">ze </w:t>
            </w:r>
            <w:r w:rsidRPr="008B53A9">
              <w:rPr>
                <w:rFonts w:cs="Calibri"/>
                <w:lang w:val="cs-CZ" w:eastAsia="cs-CZ"/>
              </w:rPr>
              <w:t>100</w:t>
            </w:r>
            <w:r w:rsidR="00047773" w:rsidRPr="008B53A9">
              <w:rPr>
                <w:rFonts w:cs="Calibri"/>
                <w:lang w:val="cs-CZ" w:eastAsia="cs-CZ"/>
              </w:rPr>
              <w:t xml:space="preserve"> </w:t>
            </w:r>
            <w:r w:rsidRPr="008B53A9">
              <w:rPr>
                <w:rFonts w:cs="Calibri"/>
                <w:lang w:val="cs-CZ" w:eastAsia="cs-CZ"/>
              </w:rPr>
              <w:t>% vlastněné státem; MŽP – veřejný sektor.</w:t>
            </w:r>
          </w:p>
          <w:p w:rsidR="00363809" w:rsidRPr="008B53A9" w:rsidRDefault="00363809" w:rsidP="004F6C73">
            <w:pPr>
              <w:pStyle w:val="Tabulka"/>
              <w:jc w:val="left"/>
              <w:rPr>
                <w:rFonts w:cs="Calibri"/>
                <w:lang w:val="cs-CZ" w:eastAsia="cs-CZ"/>
              </w:rPr>
            </w:pPr>
          </w:p>
          <w:p w:rsidR="00363809" w:rsidRPr="008B53A9" w:rsidRDefault="000B426C" w:rsidP="009335D7">
            <w:pPr>
              <w:pStyle w:val="Tabulka"/>
              <w:jc w:val="left"/>
              <w:rPr>
                <w:rFonts w:cs="Calibri"/>
                <w:lang w:val="cs-CZ" w:eastAsia="cs-CZ"/>
              </w:rPr>
            </w:pPr>
            <w:r w:rsidRPr="008B53A9">
              <w:rPr>
                <w:rFonts w:cs="Calibri"/>
                <w:lang w:val="cs-CZ" w:eastAsia="cs-CZ"/>
              </w:rPr>
              <w:t>Návrh: koordinace výzev</w:t>
            </w:r>
            <w:r w:rsidR="009335D7" w:rsidRPr="008B53A9">
              <w:rPr>
                <w:rFonts w:cs="Calibri"/>
                <w:lang w:val="cs-CZ" w:eastAsia="cs-CZ"/>
              </w:rPr>
              <w:t xml:space="preserve"> (věcné nastavení výzev a hodnocení projektů; není nutné časově koordinovat)</w:t>
            </w:r>
            <w:r w:rsidRPr="008B53A9">
              <w:rPr>
                <w:rFonts w:cs="Calibri"/>
                <w:lang w:val="cs-CZ" w:eastAsia="cs-CZ"/>
              </w:rPr>
              <w:t>, vzájemná účast zástupců řídích orgánů v pracovních skupinách a platformách ve fázi přípravy i realizace programu, zastoupení na monitorovacím výboru, koordinace prostřednictvím centrálního webového rozhraní MMR-NOK poskytující komplexní informace potenciálním žadatelům,</w:t>
            </w:r>
            <w:r w:rsidR="00363809" w:rsidRPr="008B53A9">
              <w:rPr>
                <w:rFonts w:cs="Calibri"/>
                <w:lang w:val="cs-CZ" w:eastAsia="cs-CZ"/>
              </w:rPr>
              <w:t xml:space="preserve"> spolupráce na evaluacích v této oblasti</w:t>
            </w:r>
          </w:p>
        </w:tc>
      </w:tr>
    </w:tbl>
    <w:p w:rsidR="00D51A7B" w:rsidRPr="008B53A9" w:rsidRDefault="00D51A7B" w:rsidP="00D51A7B">
      <w:pPr>
        <w:pStyle w:val="Standardntext"/>
      </w:pPr>
    </w:p>
    <w:p w:rsidR="00651018" w:rsidRPr="008B53A9" w:rsidRDefault="00651018" w:rsidP="005D178C">
      <w:pPr>
        <w:pStyle w:val="Standardntext"/>
        <w:numPr>
          <w:ilvl w:val="0"/>
          <w:numId w:val="95"/>
        </w:numPr>
        <w:rPr>
          <w:b/>
        </w:rPr>
      </w:pPr>
      <w:r w:rsidRPr="008B53A9">
        <w:rPr>
          <w:b/>
        </w:rPr>
        <w:t>Vysokorychlostní přístup k internetu</w:t>
      </w:r>
    </w:p>
    <w:p w:rsidR="00651018" w:rsidRPr="008B53A9" w:rsidRDefault="00651018" w:rsidP="00651018">
      <w:pPr>
        <w:pStyle w:val="Standardntext"/>
      </w:pPr>
      <w:r w:rsidRPr="008B53A9">
        <w:t xml:space="preserve">OP PIK se zaměřuje na zřizování nových sítí pro vysokorychlostní přístup k internetu či modernizace resp. rozšiřování stávající infrastruktury pro vysokorychlostní přístup k internetu. Naproti tomu </w:t>
      </w:r>
      <w:r w:rsidRPr="008B53A9">
        <w:rPr>
          <w:b/>
        </w:rPr>
        <w:t>IROP</w:t>
      </w:r>
      <w:r w:rsidRPr="008B53A9">
        <w:t xml:space="preserve"> se soustředí na pořízení datových sítí veřejné správy za účelem předcházení a řešení případných krizových situací. Podpořená infrastruktura (např. sítě či datová centra) v rámci IROP bude oproti OP PIK ve vlastnictví státu a nebude využita pro komerční sféru.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4676"/>
        <w:gridCol w:w="236"/>
        <w:gridCol w:w="6097"/>
      </w:tblGrid>
      <w:tr w:rsidR="00D51A7B" w:rsidRPr="008B53A9">
        <w:trPr>
          <w:trHeight w:val="233"/>
        </w:trPr>
        <w:tc>
          <w:tcPr>
            <w:tcW w:w="1167" w:type="pct"/>
            <w:shd w:val="clear" w:color="auto" w:fill="739BCB"/>
            <w:vAlign w:val="center"/>
          </w:tcPr>
          <w:p w:rsidR="00D51A7B" w:rsidRPr="008B53A9" w:rsidRDefault="0097199C" w:rsidP="00E87795">
            <w:pPr>
              <w:pStyle w:val="Tabulka"/>
              <w:keepNext/>
              <w:keepLines/>
              <w:jc w:val="left"/>
              <w:rPr>
                <w:rFonts w:cs="Calibri"/>
                <w:b/>
                <w:lang w:val="cs-CZ" w:eastAsia="cs-CZ"/>
              </w:rPr>
            </w:pPr>
            <w:r w:rsidRPr="008B53A9">
              <w:rPr>
                <w:rFonts w:cs="Calibri"/>
                <w:b/>
                <w:color w:val="FFFFFF"/>
                <w:lang w:val="cs-CZ" w:eastAsia="cs-CZ"/>
              </w:rPr>
              <w:t>Vysokorychlostní přístup k internetu</w:t>
            </w:r>
          </w:p>
        </w:tc>
        <w:tc>
          <w:tcPr>
            <w:tcW w:w="1628" w:type="pct"/>
            <w:tcBorders>
              <w:bottom w:val="single" w:sz="4" w:space="0" w:color="000000"/>
            </w:tcBorders>
            <w:shd w:val="clear" w:color="auto" w:fill="B8CCE4"/>
            <w:vAlign w:val="center"/>
          </w:tcPr>
          <w:p w:rsidR="00D51A7B" w:rsidRPr="008B53A9" w:rsidRDefault="00D51A7B" w:rsidP="00E87795">
            <w:pPr>
              <w:pStyle w:val="Tabulka"/>
              <w:keepNext/>
              <w:keepLines/>
              <w:rPr>
                <w:rFonts w:eastAsia="Calibri" w:cs="Calibri"/>
                <w:b/>
                <w:lang w:val="cs-CZ" w:eastAsia="en-GB"/>
              </w:rPr>
            </w:pPr>
            <w:r w:rsidRPr="008B53A9">
              <w:rPr>
                <w:rFonts w:cs="Calibri"/>
                <w:b/>
                <w:lang w:val="cs-CZ" w:eastAsia="cs-CZ"/>
              </w:rPr>
              <w:t>OP PIK</w:t>
            </w:r>
          </w:p>
        </w:tc>
        <w:tc>
          <w:tcPr>
            <w:tcW w:w="82" w:type="pct"/>
            <w:tcBorders>
              <w:top w:val="nil"/>
              <w:bottom w:val="nil"/>
            </w:tcBorders>
            <w:shd w:val="clear" w:color="auto" w:fill="auto"/>
            <w:vAlign w:val="center"/>
          </w:tcPr>
          <w:p w:rsidR="00D51A7B" w:rsidRPr="008B53A9" w:rsidRDefault="00D51A7B" w:rsidP="00E87795">
            <w:pPr>
              <w:pStyle w:val="Tabulka"/>
              <w:keepNext/>
              <w:keepLines/>
              <w:rPr>
                <w:rFonts w:cs="Calibri"/>
                <w:b/>
                <w:sz w:val="6"/>
                <w:szCs w:val="6"/>
                <w:lang w:val="cs-CZ" w:eastAsia="cs-CZ"/>
              </w:rPr>
            </w:pPr>
          </w:p>
        </w:tc>
        <w:tc>
          <w:tcPr>
            <w:tcW w:w="2123" w:type="pct"/>
            <w:tcBorders>
              <w:bottom w:val="single" w:sz="4" w:space="0" w:color="000000"/>
            </w:tcBorders>
            <w:shd w:val="clear" w:color="auto" w:fill="B8CCE4"/>
            <w:vAlign w:val="center"/>
          </w:tcPr>
          <w:p w:rsidR="00D51A7B" w:rsidRPr="008B53A9" w:rsidRDefault="00D51A7B" w:rsidP="00E87795">
            <w:pPr>
              <w:pStyle w:val="Tabulka"/>
              <w:keepNext/>
              <w:keepLines/>
              <w:rPr>
                <w:rFonts w:eastAsia="Calibri" w:cs="Calibri"/>
                <w:b/>
                <w:lang w:val="cs-CZ" w:eastAsia="en-GB"/>
              </w:rPr>
            </w:pPr>
            <w:r w:rsidRPr="008B53A9">
              <w:rPr>
                <w:rFonts w:cs="Calibri"/>
                <w:b/>
                <w:lang w:val="cs-CZ" w:eastAsia="cs-CZ"/>
              </w:rPr>
              <w:t>IROP</w:t>
            </w:r>
          </w:p>
        </w:tc>
      </w:tr>
      <w:tr w:rsidR="000305FB" w:rsidRPr="008B53A9">
        <w:trPr>
          <w:trHeight w:val="660"/>
        </w:trPr>
        <w:tc>
          <w:tcPr>
            <w:tcW w:w="1167" w:type="pct"/>
            <w:tcBorders>
              <w:bottom w:val="dotted" w:sz="4" w:space="0" w:color="auto"/>
            </w:tcBorders>
            <w:shd w:val="clear" w:color="auto" w:fill="DBE5F1"/>
            <w:vAlign w:val="center"/>
          </w:tcPr>
          <w:p w:rsidR="00D51A7B" w:rsidRPr="008B53A9" w:rsidRDefault="002E0DC8" w:rsidP="0044014F">
            <w:pPr>
              <w:pStyle w:val="Tabulka"/>
              <w:keepNext/>
              <w:keepLines/>
              <w:jc w:val="left"/>
              <w:rPr>
                <w:rFonts w:eastAsia="Calibri" w:cs="Calibri"/>
                <w:b/>
                <w:lang w:val="cs-CZ" w:eastAsia="en-GB"/>
              </w:rPr>
            </w:pPr>
            <w:r w:rsidRPr="008B53A9">
              <w:rPr>
                <w:rFonts w:cs="Calibri"/>
                <w:b/>
                <w:lang w:val="cs-CZ" w:eastAsia="cs-CZ"/>
              </w:rPr>
              <w:t>Tematický cíl / investiční priorita</w:t>
            </w:r>
          </w:p>
        </w:tc>
        <w:tc>
          <w:tcPr>
            <w:tcW w:w="1628" w:type="pct"/>
            <w:tcBorders>
              <w:bottom w:val="dotted" w:sz="4" w:space="0" w:color="auto"/>
              <w:right w:val="single" w:sz="4" w:space="0" w:color="auto"/>
            </w:tcBorders>
            <w:shd w:val="clear" w:color="auto" w:fill="auto"/>
            <w:vAlign w:val="center"/>
          </w:tcPr>
          <w:p w:rsidR="00D51A7B" w:rsidRPr="008B53A9" w:rsidRDefault="008022FA" w:rsidP="0044014F">
            <w:pPr>
              <w:pStyle w:val="Tabulka"/>
              <w:keepNext/>
              <w:keepLines/>
              <w:jc w:val="left"/>
              <w:rPr>
                <w:rFonts w:cs="Calibri"/>
                <w:lang w:val="cs-CZ" w:eastAsia="cs-CZ"/>
              </w:rPr>
            </w:pPr>
            <w:r w:rsidRPr="008B53A9">
              <w:rPr>
                <w:rFonts w:cs="Calibri"/>
                <w:lang w:val="cs-CZ" w:eastAsia="cs-CZ"/>
              </w:rPr>
              <w:t xml:space="preserve">TC </w:t>
            </w:r>
            <w:r w:rsidR="00D51A7B" w:rsidRPr="008B53A9">
              <w:rPr>
                <w:rFonts w:cs="Calibri"/>
                <w:lang w:val="cs-CZ" w:eastAsia="cs-CZ"/>
              </w:rPr>
              <w:t>2</w:t>
            </w:r>
            <w:r w:rsidR="005E6F75" w:rsidRPr="008B53A9">
              <w:rPr>
                <w:rFonts w:cs="Calibri"/>
                <w:lang w:val="cs-CZ" w:eastAsia="cs-CZ"/>
              </w:rPr>
              <w:t xml:space="preserve"> / </w:t>
            </w:r>
            <w:r w:rsidR="004044A1" w:rsidRPr="008B53A9">
              <w:rPr>
                <w:rFonts w:cs="Calibri"/>
                <w:lang w:val="cs-CZ" w:eastAsia="cs-CZ"/>
              </w:rPr>
              <w:t>2 a)</w:t>
            </w:r>
          </w:p>
        </w:tc>
        <w:tc>
          <w:tcPr>
            <w:tcW w:w="82" w:type="pct"/>
            <w:tcBorders>
              <w:top w:val="nil"/>
              <w:left w:val="single" w:sz="4" w:space="0" w:color="auto"/>
              <w:bottom w:val="nil"/>
              <w:right w:val="single" w:sz="4" w:space="0" w:color="auto"/>
            </w:tcBorders>
            <w:shd w:val="clear" w:color="auto" w:fill="auto"/>
            <w:vAlign w:val="center"/>
          </w:tcPr>
          <w:p w:rsidR="00D51A7B" w:rsidRPr="008B53A9" w:rsidRDefault="00D51A7B" w:rsidP="0044014F">
            <w:pPr>
              <w:pStyle w:val="Tabulka"/>
              <w:keepNext/>
              <w:keepLines/>
              <w:jc w:val="left"/>
              <w:rPr>
                <w:rFonts w:cs="Calibri"/>
                <w:sz w:val="6"/>
                <w:szCs w:val="6"/>
                <w:lang w:val="cs-CZ" w:eastAsia="cs-CZ"/>
              </w:rPr>
            </w:pPr>
          </w:p>
        </w:tc>
        <w:tc>
          <w:tcPr>
            <w:tcW w:w="2123" w:type="pct"/>
            <w:tcBorders>
              <w:left w:val="single" w:sz="4" w:space="0" w:color="auto"/>
              <w:bottom w:val="dotted" w:sz="4" w:space="0" w:color="auto"/>
            </w:tcBorders>
            <w:shd w:val="clear" w:color="auto" w:fill="auto"/>
            <w:vAlign w:val="center"/>
          </w:tcPr>
          <w:p w:rsidR="00D51A7B" w:rsidRPr="008B53A9" w:rsidRDefault="008022FA" w:rsidP="0044014F">
            <w:pPr>
              <w:pStyle w:val="Tabulka"/>
              <w:keepNext/>
              <w:keepLines/>
              <w:jc w:val="left"/>
              <w:rPr>
                <w:rFonts w:cs="Calibri"/>
                <w:lang w:val="cs-CZ" w:eastAsia="cs-CZ"/>
              </w:rPr>
            </w:pPr>
            <w:r w:rsidRPr="008B53A9">
              <w:rPr>
                <w:rFonts w:cs="Calibri"/>
                <w:lang w:val="cs-CZ" w:eastAsia="cs-CZ"/>
              </w:rPr>
              <w:t xml:space="preserve">TC </w:t>
            </w:r>
            <w:r w:rsidR="00D51A7B" w:rsidRPr="008B53A9">
              <w:rPr>
                <w:rFonts w:cs="Calibri"/>
                <w:lang w:val="cs-CZ" w:eastAsia="cs-CZ"/>
              </w:rPr>
              <w:t>2</w:t>
            </w:r>
            <w:r w:rsidR="005E6F75" w:rsidRPr="008B53A9">
              <w:rPr>
                <w:rFonts w:cs="Calibri"/>
                <w:lang w:val="cs-CZ" w:eastAsia="cs-CZ"/>
              </w:rPr>
              <w:t xml:space="preserve"> / </w:t>
            </w:r>
            <w:r w:rsidR="004044A1" w:rsidRPr="008B53A9">
              <w:rPr>
                <w:rFonts w:cs="Calibri"/>
                <w:lang w:val="cs-CZ" w:eastAsia="cs-CZ"/>
              </w:rPr>
              <w:t>2 c)</w:t>
            </w:r>
          </w:p>
        </w:tc>
      </w:tr>
      <w:tr w:rsidR="00D51A7B" w:rsidRPr="008B53A9">
        <w:trPr>
          <w:trHeight w:val="212"/>
        </w:trPr>
        <w:tc>
          <w:tcPr>
            <w:tcW w:w="1167" w:type="pct"/>
            <w:tcBorders>
              <w:top w:val="dotted" w:sz="4" w:space="0" w:color="auto"/>
              <w:bottom w:val="dotted" w:sz="4" w:space="0" w:color="auto"/>
            </w:tcBorders>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Prioritní osa</w:t>
            </w:r>
          </w:p>
        </w:tc>
        <w:tc>
          <w:tcPr>
            <w:tcW w:w="1628" w:type="pct"/>
            <w:tcBorders>
              <w:top w:val="dotted" w:sz="4" w:space="0" w:color="auto"/>
              <w:bottom w:val="dotted" w:sz="4" w:space="0" w:color="auto"/>
              <w:righ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4: Rozvoj vysokorychlostních přístupových sítí k internetu a informačních a komunikačních technologií</w:t>
            </w:r>
          </w:p>
        </w:tc>
        <w:tc>
          <w:tcPr>
            <w:tcW w:w="82" w:type="pct"/>
            <w:tcBorders>
              <w:top w:val="nil"/>
              <w:left w:val="single" w:sz="4" w:space="0" w:color="auto"/>
              <w:bottom w:val="nil"/>
              <w:right w:val="single" w:sz="4" w:space="0" w:color="auto"/>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tcBorders>
              <w:top w:val="dotted" w:sz="4" w:space="0" w:color="auto"/>
              <w:left w:val="single" w:sz="4" w:space="0" w:color="auto"/>
              <w:bottom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3: Dobrá správa území a zefektivnění veřejných institucí</w:t>
            </w:r>
          </w:p>
        </w:tc>
      </w:tr>
      <w:tr w:rsidR="00D51A7B" w:rsidRPr="008B53A9">
        <w:tc>
          <w:tcPr>
            <w:tcW w:w="1167" w:type="pct"/>
            <w:tcBorders>
              <w:top w:val="dotted" w:sz="4" w:space="0" w:color="auto"/>
            </w:tcBorders>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Specifický cíl</w:t>
            </w:r>
          </w:p>
        </w:tc>
        <w:tc>
          <w:tcPr>
            <w:tcW w:w="1628"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SC 4.1: Zvětšit pokrytí vysokorychlostním přístupem k internetu</w:t>
            </w:r>
          </w:p>
        </w:tc>
        <w:tc>
          <w:tcPr>
            <w:tcW w:w="82"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SC 3.3: Zvyšování efektivity a transparentnosti veřejné správy prostřednictvím rozvoje využití a kvality systémů ICT</w:t>
            </w:r>
          </w:p>
        </w:tc>
      </w:tr>
      <w:tr w:rsidR="00D51A7B" w:rsidRPr="008B53A9">
        <w:tc>
          <w:tcPr>
            <w:tcW w:w="1167" w:type="pct"/>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Věcná specifikace (zaměření, aktivity)</w:t>
            </w:r>
          </w:p>
        </w:tc>
        <w:tc>
          <w:tcPr>
            <w:tcW w:w="1628" w:type="pct"/>
            <w:shd w:val="clear" w:color="auto" w:fill="auto"/>
            <w:vAlign w:val="center"/>
          </w:tcPr>
          <w:p w:rsidR="00D51A7B" w:rsidRPr="008B53A9" w:rsidRDefault="00047773" w:rsidP="00EA72D6">
            <w:pPr>
              <w:pStyle w:val="Tabulka"/>
              <w:jc w:val="left"/>
              <w:rPr>
                <w:rFonts w:cs="Calibri"/>
                <w:lang w:val="cs-CZ" w:eastAsia="cs-CZ"/>
              </w:rPr>
            </w:pPr>
            <w:r w:rsidRPr="008B53A9">
              <w:rPr>
                <w:rFonts w:cs="Calibri"/>
                <w:lang w:val="cs-CZ" w:eastAsia="cs-CZ"/>
              </w:rPr>
              <w:t>Z</w:t>
            </w:r>
            <w:r w:rsidR="00D51A7B" w:rsidRPr="008B53A9">
              <w:rPr>
                <w:rFonts w:cs="Calibri"/>
                <w:lang w:val="cs-CZ" w:eastAsia="cs-CZ"/>
              </w:rPr>
              <w:t>řizování nových sítí pro vysokorychlostní přístup k internetu či modernizace resp. rozšiřování stávající infrastruktury pro vysokorychlostní přístup k internetu – veřejné sítě v</w:t>
            </w:r>
            <w:r w:rsidR="00EA72D6" w:rsidRPr="008B53A9">
              <w:rPr>
                <w:rFonts w:cs="Calibri"/>
                <w:lang w:val="cs-CZ" w:eastAsia="cs-CZ"/>
              </w:rPr>
              <w:t xml:space="preserve"> prioritně </w:t>
            </w:r>
            <w:r w:rsidR="00D51A7B" w:rsidRPr="008B53A9">
              <w:rPr>
                <w:rFonts w:cs="Calibri"/>
                <w:lang w:val="cs-CZ" w:eastAsia="cs-CZ"/>
              </w:rPr>
              <w:t>bílých</w:t>
            </w:r>
            <w:r w:rsidR="00EA72D6" w:rsidRPr="008B53A9">
              <w:rPr>
                <w:rFonts w:cs="Calibri"/>
                <w:lang w:val="cs-CZ" w:eastAsia="cs-CZ"/>
              </w:rPr>
              <w:t>, příp. i š</w:t>
            </w:r>
            <w:r w:rsidR="00D51A7B" w:rsidRPr="008B53A9">
              <w:rPr>
                <w:rFonts w:cs="Calibri"/>
                <w:lang w:val="cs-CZ" w:eastAsia="cs-CZ"/>
              </w:rPr>
              <w:t>edých</w:t>
            </w:r>
            <w:r w:rsidR="00EA72D6" w:rsidRPr="008B53A9">
              <w:rPr>
                <w:rFonts w:cs="Calibri"/>
                <w:lang w:val="cs-CZ" w:eastAsia="cs-CZ"/>
              </w:rPr>
              <w:t>,</w:t>
            </w:r>
            <w:r w:rsidR="00D51A7B" w:rsidRPr="008B53A9">
              <w:rPr>
                <w:rFonts w:cs="Calibri"/>
                <w:lang w:val="cs-CZ" w:eastAsia="cs-CZ"/>
              </w:rPr>
              <w:t xml:space="preserve"> místech ČR</w:t>
            </w:r>
          </w:p>
        </w:tc>
        <w:tc>
          <w:tcPr>
            <w:tcW w:w="82"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shd w:val="clear" w:color="auto" w:fill="auto"/>
            <w:vAlign w:val="center"/>
          </w:tcPr>
          <w:p w:rsidR="00D51A7B" w:rsidRPr="008B53A9" w:rsidRDefault="00047773" w:rsidP="00267430">
            <w:pPr>
              <w:pStyle w:val="Tabulka"/>
              <w:jc w:val="left"/>
              <w:rPr>
                <w:rFonts w:cs="Calibri"/>
                <w:lang w:val="cs-CZ" w:eastAsia="cs-CZ"/>
              </w:rPr>
            </w:pPr>
            <w:r w:rsidRPr="008B53A9">
              <w:rPr>
                <w:rFonts w:cs="Calibri"/>
                <w:lang w:val="cs-CZ" w:eastAsia="cs-CZ"/>
              </w:rPr>
              <w:t>P</w:t>
            </w:r>
            <w:r w:rsidR="00385D89" w:rsidRPr="008B53A9">
              <w:rPr>
                <w:rFonts w:cs="Calibri"/>
                <w:lang w:val="cs-CZ" w:eastAsia="cs-CZ"/>
              </w:rPr>
              <w:t>ořízení datových sítí veřejné správy za účelem předcházení a řešení případných krizových situací</w:t>
            </w:r>
          </w:p>
        </w:tc>
      </w:tr>
      <w:tr w:rsidR="00D51A7B" w:rsidRPr="008B53A9">
        <w:tc>
          <w:tcPr>
            <w:tcW w:w="1167" w:type="pct"/>
            <w:shd w:val="clear" w:color="auto" w:fill="DBE5F1"/>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Implementační prvky</w:t>
            </w:r>
          </w:p>
        </w:tc>
        <w:tc>
          <w:tcPr>
            <w:tcW w:w="1628" w:type="pct"/>
            <w:tcBorders>
              <w:bottom w:val="single" w:sz="4" w:space="0" w:color="auto"/>
            </w:tcBorders>
            <w:shd w:val="clear" w:color="auto" w:fill="auto"/>
            <w:vAlign w:val="center"/>
          </w:tcPr>
          <w:p w:rsidR="00A8126D" w:rsidRPr="008B53A9" w:rsidRDefault="00A8126D" w:rsidP="00267430">
            <w:pPr>
              <w:pStyle w:val="Tabulka"/>
              <w:jc w:val="left"/>
              <w:rPr>
                <w:rFonts w:cs="Calibri"/>
                <w:lang w:val="cs-CZ" w:eastAsia="cs-CZ"/>
              </w:rPr>
            </w:pPr>
            <w:r w:rsidRPr="008B53A9">
              <w:rPr>
                <w:rFonts w:cs="Calibri"/>
                <w:lang w:val="cs-CZ" w:eastAsia="cs-CZ"/>
              </w:rPr>
              <w:t>Typy příjemců:  Fyzické nebo právnické osoby podnikající v oblasti elektronických komunikací</w:t>
            </w:r>
          </w:p>
          <w:p w:rsidR="00D51A7B" w:rsidRPr="008B53A9" w:rsidRDefault="00A8126D" w:rsidP="00EA72D6">
            <w:pPr>
              <w:pStyle w:val="Tabulka"/>
              <w:jc w:val="left"/>
              <w:rPr>
                <w:rFonts w:cs="Calibri"/>
                <w:lang w:val="cs-CZ" w:eastAsia="cs-CZ"/>
              </w:rPr>
            </w:pPr>
            <w:r w:rsidRPr="008B53A9">
              <w:rPr>
                <w:rFonts w:cs="Calibri"/>
                <w:lang w:val="cs-CZ" w:eastAsia="cs-CZ"/>
              </w:rPr>
              <w:t xml:space="preserve">Cílové území: </w:t>
            </w:r>
            <w:r w:rsidR="00EA72D6" w:rsidRPr="008B53A9">
              <w:rPr>
                <w:rFonts w:cs="Calibri"/>
                <w:lang w:val="cs-CZ" w:eastAsia="cs-CZ"/>
              </w:rPr>
              <w:t>Prioritně t</w:t>
            </w:r>
            <w:r w:rsidRPr="008B53A9">
              <w:rPr>
                <w:rFonts w:cs="Calibri"/>
                <w:lang w:val="cs-CZ" w:eastAsia="cs-CZ"/>
              </w:rPr>
              <w:t>zv. bí</w:t>
            </w:r>
            <w:r w:rsidR="00EA72D6" w:rsidRPr="008B53A9">
              <w:rPr>
                <w:rFonts w:cs="Calibri"/>
                <w:lang w:val="cs-CZ" w:eastAsia="cs-CZ"/>
              </w:rPr>
              <w:t xml:space="preserve">lé, </w:t>
            </w:r>
            <w:r w:rsidRPr="008B53A9">
              <w:rPr>
                <w:rFonts w:cs="Calibri"/>
                <w:lang w:val="cs-CZ" w:eastAsia="cs-CZ"/>
              </w:rPr>
              <w:t>případně i šedé</w:t>
            </w:r>
            <w:r w:rsidR="00EA72D6" w:rsidRPr="008B53A9">
              <w:rPr>
                <w:rFonts w:cs="Calibri"/>
                <w:lang w:val="cs-CZ" w:eastAsia="cs-CZ"/>
              </w:rPr>
              <w:t>,</w:t>
            </w:r>
            <w:r w:rsidRPr="008B53A9">
              <w:rPr>
                <w:rFonts w:cs="Calibri"/>
                <w:lang w:val="cs-CZ" w:eastAsia="cs-CZ"/>
              </w:rPr>
              <w:t xml:space="preserve"> oblasti na území ČR (bez území hl. města Prahy)</w:t>
            </w:r>
          </w:p>
        </w:tc>
        <w:tc>
          <w:tcPr>
            <w:tcW w:w="82" w:type="pct"/>
            <w:tcBorders>
              <w:top w:val="nil"/>
              <w:bottom w:val="nil"/>
            </w:tcBorders>
            <w:shd w:val="clear" w:color="auto" w:fill="auto"/>
            <w:vAlign w:val="center"/>
          </w:tcPr>
          <w:p w:rsidR="00D51A7B" w:rsidRPr="008B53A9" w:rsidRDefault="00D51A7B" w:rsidP="00267430">
            <w:pPr>
              <w:pStyle w:val="Tabulka"/>
              <w:jc w:val="left"/>
              <w:rPr>
                <w:rFonts w:cs="Calibri"/>
                <w:sz w:val="6"/>
                <w:szCs w:val="6"/>
                <w:lang w:val="cs-CZ" w:eastAsia="cs-CZ"/>
              </w:rPr>
            </w:pPr>
          </w:p>
        </w:tc>
        <w:tc>
          <w:tcPr>
            <w:tcW w:w="2123" w:type="pct"/>
            <w:shd w:val="clear" w:color="auto" w:fill="auto"/>
            <w:vAlign w:val="center"/>
          </w:tcPr>
          <w:p w:rsidR="00A8126D" w:rsidRPr="008B53A9" w:rsidRDefault="00F46B97" w:rsidP="00267430">
            <w:pPr>
              <w:pStyle w:val="Tabulka"/>
              <w:jc w:val="left"/>
              <w:rPr>
                <w:rFonts w:cs="Calibri"/>
                <w:lang w:val="cs-CZ" w:eastAsia="cs-CZ"/>
              </w:rPr>
            </w:pPr>
            <w:r w:rsidRPr="008B53A9">
              <w:rPr>
                <w:rFonts w:cs="Calibri"/>
                <w:lang w:val="cs-CZ" w:eastAsia="cs-CZ"/>
              </w:rPr>
              <w:t>Typy příjemců:  OSS, státní organizace, příspěvkové organizace organizačních složek státu, kraje a organizace zřizované nebo zakládané kraji, obce a organizace zřizované nebo zakládané obcemi</w:t>
            </w:r>
          </w:p>
          <w:p w:rsidR="00D51A7B" w:rsidRPr="008B53A9" w:rsidRDefault="00A8126D" w:rsidP="00267430">
            <w:pPr>
              <w:pStyle w:val="Tabulka"/>
              <w:jc w:val="left"/>
              <w:rPr>
                <w:rFonts w:cs="Calibri"/>
                <w:lang w:val="cs-CZ" w:eastAsia="cs-CZ"/>
              </w:rPr>
            </w:pPr>
            <w:r w:rsidRPr="008B53A9">
              <w:rPr>
                <w:rFonts w:cs="Calibri"/>
                <w:lang w:val="cs-CZ" w:eastAsia="cs-CZ"/>
              </w:rPr>
              <w:t>Cílové území: Území celé České republiky včetně území hl. m. Prahy</w:t>
            </w:r>
          </w:p>
        </w:tc>
      </w:tr>
      <w:tr w:rsidR="00530742" w:rsidRPr="008B53A9">
        <w:tc>
          <w:tcPr>
            <w:tcW w:w="1167" w:type="pct"/>
            <w:shd w:val="clear" w:color="auto" w:fill="DBE5F1"/>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t>Synergie/komplementarita</w:t>
            </w:r>
          </w:p>
        </w:tc>
        <w:tc>
          <w:tcPr>
            <w:tcW w:w="1628" w:type="pct"/>
            <w:tcBorders>
              <w:tr2bl w:val="single" w:sz="4" w:space="0" w:color="auto"/>
            </w:tcBorders>
            <w:shd w:val="clear" w:color="auto" w:fill="auto"/>
            <w:vAlign w:val="center"/>
          </w:tcPr>
          <w:p w:rsidR="00530742" w:rsidRPr="008B53A9" w:rsidRDefault="00530742" w:rsidP="00267430">
            <w:pPr>
              <w:pStyle w:val="Tabulka"/>
              <w:jc w:val="left"/>
              <w:rPr>
                <w:rFonts w:cs="Calibri"/>
                <w:lang w:val="cs-CZ" w:eastAsia="cs-CZ"/>
              </w:rPr>
            </w:pPr>
          </w:p>
        </w:tc>
        <w:tc>
          <w:tcPr>
            <w:tcW w:w="82" w:type="pct"/>
            <w:tcBorders>
              <w:top w:val="nil"/>
              <w:bottom w:val="nil"/>
            </w:tcBorders>
            <w:shd w:val="clear" w:color="auto" w:fill="auto"/>
            <w:vAlign w:val="center"/>
          </w:tcPr>
          <w:p w:rsidR="00530742" w:rsidRPr="008B53A9" w:rsidRDefault="00530742" w:rsidP="00267430">
            <w:pPr>
              <w:pStyle w:val="Tabulka"/>
              <w:jc w:val="left"/>
              <w:rPr>
                <w:rFonts w:cs="Calibri"/>
                <w:sz w:val="6"/>
                <w:szCs w:val="6"/>
                <w:lang w:val="cs-CZ" w:eastAsia="cs-CZ"/>
              </w:rPr>
            </w:pPr>
          </w:p>
        </w:tc>
        <w:tc>
          <w:tcPr>
            <w:tcW w:w="2123" w:type="pct"/>
            <w:shd w:val="clear" w:color="auto" w:fill="auto"/>
            <w:vAlign w:val="center"/>
          </w:tcPr>
          <w:p w:rsidR="00530742" w:rsidRPr="008B53A9" w:rsidRDefault="00530742" w:rsidP="00267430">
            <w:pPr>
              <w:pStyle w:val="Tabulka"/>
              <w:jc w:val="left"/>
              <w:rPr>
                <w:rFonts w:cs="Calibri"/>
                <w:lang w:val="cs-CZ" w:eastAsia="cs-CZ"/>
              </w:rPr>
            </w:pPr>
            <w:r w:rsidRPr="008B53A9">
              <w:rPr>
                <w:rFonts w:cs="Calibri"/>
                <w:lang w:val="cs-CZ" w:eastAsia="cs-CZ"/>
              </w:rPr>
              <w:t>komplementarita</w:t>
            </w:r>
          </w:p>
        </w:tc>
      </w:tr>
      <w:tr w:rsidR="00363809" w:rsidRPr="008B53A9">
        <w:tc>
          <w:tcPr>
            <w:tcW w:w="1167" w:type="pct"/>
            <w:shd w:val="clear" w:color="auto" w:fill="DBE5F1"/>
            <w:vAlign w:val="center"/>
          </w:tcPr>
          <w:p w:rsidR="00363809" w:rsidRPr="008B53A9" w:rsidRDefault="00363809" w:rsidP="00267430">
            <w:pPr>
              <w:pStyle w:val="Tabulka"/>
              <w:jc w:val="left"/>
              <w:rPr>
                <w:rFonts w:cs="Calibri"/>
                <w:b/>
                <w:lang w:val="cs-CZ" w:eastAsia="cs-CZ"/>
              </w:rPr>
            </w:pPr>
            <w:r w:rsidRPr="008B53A9">
              <w:rPr>
                <w:rFonts w:cs="Calibri"/>
                <w:b/>
                <w:lang w:val="cs-CZ" w:eastAsia="cs-CZ"/>
              </w:rPr>
              <w:lastRenderedPageBreak/>
              <w:t>Mechanismus koordinace</w:t>
            </w:r>
          </w:p>
        </w:tc>
        <w:tc>
          <w:tcPr>
            <w:tcW w:w="3833" w:type="pct"/>
            <w:gridSpan w:val="3"/>
            <w:shd w:val="clear" w:color="auto" w:fill="auto"/>
            <w:vAlign w:val="center"/>
          </w:tcPr>
          <w:p w:rsidR="000B426C" w:rsidRPr="008B53A9" w:rsidRDefault="00385D89" w:rsidP="00267430">
            <w:pPr>
              <w:pStyle w:val="Tabulka"/>
              <w:jc w:val="left"/>
              <w:rPr>
                <w:rFonts w:cs="Calibri"/>
                <w:lang w:val="cs-CZ" w:eastAsia="cs-CZ"/>
              </w:rPr>
            </w:pPr>
            <w:r w:rsidRPr="008B53A9">
              <w:rPr>
                <w:rFonts w:cs="Calibri"/>
                <w:lang w:val="cs-CZ" w:eastAsia="cs-CZ"/>
              </w:rPr>
              <w:t>Mechanismem</w:t>
            </w:r>
            <w:r w:rsidR="000B426C" w:rsidRPr="008B53A9">
              <w:rPr>
                <w:rFonts w:cs="Calibri"/>
                <w:lang w:val="cs-CZ" w:eastAsia="cs-CZ"/>
              </w:rPr>
              <w:t xml:space="preserve"> koordinace je vzájemná účast zástupců řídích orgánů v pracovních skupinách a platformách ve fázi přípravy i realizace programu, zastoupení na monitorovacím výboru, koordinace prostřednictvím centrálního webového rozhraní MMR-NOK poskytující komplexní informace potenciálním žadatelům</w:t>
            </w:r>
            <w:r w:rsidR="00B6210A" w:rsidRPr="008B53A9">
              <w:rPr>
                <w:rFonts w:cs="Calibri"/>
                <w:lang w:val="cs-CZ" w:eastAsia="cs-CZ"/>
              </w:rPr>
              <w:t>, spolupráce na evaluacích v této oblasti</w:t>
            </w:r>
            <w:r w:rsidR="000B426C" w:rsidRPr="008B53A9">
              <w:rPr>
                <w:rFonts w:cs="Calibri"/>
                <w:lang w:val="cs-CZ" w:eastAsia="cs-CZ"/>
              </w:rPr>
              <w:t>.</w:t>
            </w:r>
          </w:p>
        </w:tc>
      </w:tr>
    </w:tbl>
    <w:p w:rsidR="00D51A7B" w:rsidRPr="008B53A9" w:rsidRDefault="00D51A7B" w:rsidP="00D51A7B">
      <w:pPr>
        <w:pStyle w:val="Standardntext"/>
        <w:rPr>
          <w:b/>
        </w:rPr>
      </w:pPr>
    </w:p>
    <w:p w:rsidR="00D51A7B" w:rsidRPr="008B53A9" w:rsidRDefault="00D51A7B" w:rsidP="005F43DF">
      <w:pPr>
        <w:pStyle w:val="Standardntext"/>
        <w:numPr>
          <w:ilvl w:val="0"/>
          <w:numId w:val="30"/>
        </w:numPr>
        <w:rPr>
          <w:b/>
        </w:rPr>
      </w:pPr>
      <w:r w:rsidRPr="008B53A9">
        <w:rPr>
          <w:b/>
        </w:rPr>
        <w:t>Identifikace synergií a komplementarit mezi programy s EU nástroji/programy</w:t>
      </w:r>
    </w:p>
    <w:p w:rsidR="00651018" w:rsidRPr="008B53A9" w:rsidRDefault="00651018" w:rsidP="00651018">
      <w:pPr>
        <w:pStyle w:val="Standardntext"/>
        <w:rPr>
          <w:b/>
        </w:rPr>
      </w:pPr>
    </w:p>
    <w:p w:rsidR="00651018" w:rsidRPr="008B53A9" w:rsidRDefault="00651018" w:rsidP="005D178C">
      <w:pPr>
        <w:pStyle w:val="Standardntext"/>
        <w:numPr>
          <w:ilvl w:val="0"/>
          <w:numId w:val="96"/>
        </w:numPr>
        <w:rPr>
          <w:b/>
        </w:rPr>
      </w:pPr>
      <w:r w:rsidRPr="008B53A9">
        <w:rPr>
          <w:b/>
        </w:rPr>
        <w:t>Výzkum, vývoj a inovace</w:t>
      </w:r>
    </w:p>
    <w:p w:rsidR="00651018" w:rsidRPr="008B53A9" w:rsidRDefault="00651018" w:rsidP="00651018">
      <w:pPr>
        <w:pStyle w:val="Standardntext"/>
      </w:pPr>
      <w:r w:rsidRPr="008B53A9">
        <w:t xml:space="preserve">OP PIK má v oblasti VaVaI vazbu na dva komunitární programy, kterými jsou </w:t>
      </w:r>
      <w:r w:rsidRPr="008B53A9">
        <w:rPr>
          <w:b/>
        </w:rPr>
        <w:t>Horizont 2020</w:t>
      </w:r>
      <w:r w:rsidRPr="008B53A9">
        <w:t xml:space="preserve"> a </w:t>
      </w:r>
      <w:r w:rsidRPr="008B53A9">
        <w:rPr>
          <w:b/>
        </w:rPr>
        <w:t>COSME</w:t>
      </w:r>
      <w:r w:rsidRPr="008B53A9">
        <w:t>. V případě obou programů se jedná o komplementární vazby na většinu aktivit obou specifických cílů prioritní osy 1 OP PIK. Lze identifikovat vazby v oblasti rozvoje VaVaI infrastruktury, uvádění inovací na trh, KETs a další. Kromě toho OP PIK vytváří materiální i personální podmínky - a tím zvyšuje potenciál úspěšnosti - pro zapojení českých subjektů do těchto programů.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724"/>
        <w:gridCol w:w="4369"/>
        <w:gridCol w:w="120"/>
        <w:gridCol w:w="3522"/>
        <w:gridCol w:w="3523"/>
      </w:tblGrid>
      <w:tr w:rsidR="00295566" w:rsidRPr="008B53A9">
        <w:trPr>
          <w:trHeight w:val="233"/>
        </w:trPr>
        <w:tc>
          <w:tcPr>
            <w:tcW w:w="0" w:type="auto"/>
            <w:shd w:val="clear" w:color="auto" w:fill="937BB1"/>
            <w:vAlign w:val="center"/>
          </w:tcPr>
          <w:p w:rsidR="00295566" w:rsidRPr="008B53A9" w:rsidRDefault="00295566" w:rsidP="0097199C">
            <w:pPr>
              <w:pStyle w:val="Tabulka"/>
              <w:keepNext/>
              <w:keepLines/>
              <w:jc w:val="left"/>
              <w:rPr>
                <w:rFonts w:cs="Calibri"/>
                <w:b/>
                <w:lang w:val="cs-CZ" w:eastAsia="cs-CZ"/>
              </w:rPr>
            </w:pPr>
            <w:r w:rsidRPr="008B53A9">
              <w:rPr>
                <w:rFonts w:cs="Calibri"/>
                <w:b/>
                <w:color w:val="FFFFFF"/>
                <w:lang w:val="cs-CZ" w:eastAsia="cs-CZ"/>
              </w:rPr>
              <w:t>Výzkum, vývoj a inovace</w:t>
            </w:r>
          </w:p>
        </w:tc>
        <w:tc>
          <w:tcPr>
            <w:tcW w:w="0" w:type="auto"/>
            <w:tcBorders>
              <w:bottom w:val="single" w:sz="4" w:space="0" w:color="000000"/>
            </w:tcBorders>
            <w:shd w:val="clear" w:color="auto" w:fill="B2A1C7"/>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OP PIK</w:t>
            </w:r>
          </w:p>
        </w:tc>
        <w:tc>
          <w:tcPr>
            <w:tcW w:w="0" w:type="auto"/>
            <w:tcBorders>
              <w:top w:val="nil"/>
              <w:bottom w:val="nil"/>
            </w:tcBorders>
            <w:shd w:val="clear" w:color="auto" w:fill="auto"/>
            <w:vAlign w:val="center"/>
          </w:tcPr>
          <w:p w:rsidR="00295566" w:rsidRPr="008B53A9" w:rsidRDefault="00295566" w:rsidP="00267430">
            <w:pPr>
              <w:pStyle w:val="Tabulka"/>
              <w:keepNext/>
              <w:keepLines/>
              <w:rPr>
                <w:rFonts w:cs="Calibri"/>
                <w:b/>
                <w:sz w:val="6"/>
                <w:szCs w:val="6"/>
                <w:lang w:val="cs-CZ" w:eastAsia="cs-CZ"/>
              </w:rPr>
            </w:pPr>
          </w:p>
        </w:tc>
        <w:tc>
          <w:tcPr>
            <w:tcW w:w="3522" w:type="dxa"/>
            <w:tcBorders>
              <w:bottom w:val="single" w:sz="4" w:space="0" w:color="000000"/>
              <w:right w:val="single" w:sz="4" w:space="0" w:color="auto"/>
            </w:tcBorders>
            <w:shd w:val="clear" w:color="auto" w:fill="B2A1C7"/>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Horizont 2020</w:t>
            </w:r>
          </w:p>
        </w:tc>
        <w:tc>
          <w:tcPr>
            <w:tcW w:w="3523" w:type="dxa"/>
            <w:tcBorders>
              <w:left w:val="single" w:sz="4" w:space="0" w:color="auto"/>
              <w:bottom w:val="single" w:sz="4" w:space="0" w:color="auto"/>
              <w:right w:val="single" w:sz="4" w:space="0" w:color="auto"/>
            </w:tcBorders>
            <w:shd w:val="clear" w:color="auto" w:fill="B2A1C7"/>
          </w:tcPr>
          <w:p w:rsidR="00295566" w:rsidRPr="008B53A9" w:rsidRDefault="00295566" w:rsidP="00267430">
            <w:pPr>
              <w:pStyle w:val="Tabulka"/>
              <w:keepNext/>
              <w:keepLines/>
              <w:rPr>
                <w:rFonts w:cs="Calibri"/>
                <w:b/>
                <w:lang w:val="cs-CZ" w:eastAsia="cs-CZ"/>
              </w:rPr>
            </w:pPr>
            <w:r w:rsidRPr="008B53A9">
              <w:rPr>
                <w:rFonts w:cs="Calibri"/>
                <w:b/>
                <w:lang w:val="cs-CZ" w:eastAsia="cs-CZ"/>
              </w:rPr>
              <w:t>COSME</w:t>
            </w:r>
          </w:p>
        </w:tc>
      </w:tr>
      <w:tr w:rsidR="00295566" w:rsidRPr="008B53A9">
        <w:trPr>
          <w:trHeight w:val="336"/>
        </w:trPr>
        <w:tc>
          <w:tcPr>
            <w:tcW w:w="0" w:type="auto"/>
            <w:vMerge w:val="restart"/>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Tematický cíl / investiční priorita</w:t>
            </w:r>
          </w:p>
        </w:tc>
        <w:tc>
          <w:tcPr>
            <w:tcW w:w="0" w:type="auto"/>
            <w:vMerge w:val="restart"/>
            <w:tcBorders>
              <w:right w:val="single" w:sz="4" w:space="0" w:color="auto"/>
            </w:tcBorders>
            <w:shd w:val="clear" w:color="auto" w:fill="auto"/>
            <w:vAlign w:val="center"/>
          </w:tcPr>
          <w:p w:rsidR="00295566" w:rsidRPr="008B53A9" w:rsidRDefault="00295566" w:rsidP="008022FA">
            <w:pPr>
              <w:pStyle w:val="Tabulka"/>
              <w:jc w:val="left"/>
              <w:rPr>
                <w:rFonts w:cs="Calibri"/>
                <w:lang w:val="cs-CZ" w:eastAsia="cs-CZ"/>
              </w:rPr>
            </w:pPr>
            <w:r w:rsidRPr="008B53A9">
              <w:rPr>
                <w:rFonts w:cs="Calibri"/>
                <w:lang w:val="cs-CZ" w:eastAsia="cs-CZ"/>
              </w:rPr>
              <w:t>TC 1 / 1 b)</w:t>
            </w:r>
          </w:p>
        </w:tc>
        <w:tc>
          <w:tcPr>
            <w:tcW w:w="0" w:type="auto"/>
            <w:vMerge w:val="restart"/>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522" w:type="dxa"/>
            <w:vMerge w:val="restart"/>
            <w:tcBorders>
              <w:top w:val="single" w:sz="4" w:space="0" w:color="000000"/>
              <w:left w:val="single"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3523" w:type="dxa"/>
            <w:vMerge w:val="restart"/>
            <w:tcBorders>
              <w:left w:val="single"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r>
      <w:tr w:rsidR="00295566" w:rsidRPr="008B53A9">
        <w:trPr>
          <w:trHeight w:val="396"/>
        </w:trPr>
        <w:tc>
          <w:tcPr>
            <w:tcW w:w="0" w:type="auto"/>
            <w:vMerge/>
            <w:tcBorders>
              <w:bottom w:val="dotted" w:sz="4" w:space="0" w:color="auto"/>
            </w:tcBorders>
            <w:shd w:val="clear" w:color="auto" w:fill="E5DFEC"/>
            <w:vAlign w:val="center"/>
          </w:tcPr>
          <w:p w:rsidR="00295566" w:rsidRPr="008B53A9" w:rsidRDefault="00295566" w:rsidP="00267430">
            <w:pPr>
              <w:pStyle w:val="Tabulka"/>
              <w:jc w:val="left"/>
              <w:rPr>
                <w:rFonts w:cs="Calibri"/>
                <w:b/>
                <w:lang w:val="cs-CZ" w:eastAsia="cs-CZ"/>
              </w:rPr>
            </w:pPr>
          </w:p>
        </w:tc>
        <w:tc>
          <w:tcPr>
            <w:tcW w:w="0" w:type="auto"/>
            <w:vMerge/>
            <w:tcBorders>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0" w:type="auto"/>
            <w:vMerge/>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522" w:type="dxa"/>
            <w:vMerge/>
            <w:tcBorders>
              <w:left w:val="single" w:sz="4" w:space="0" w:color="auto"/>
              <w:bottom w:val="dotted"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3523" w:type="dxa"/>
            <w:vMerge/>
            <w:tcBorders>
              <w:left w:val="single" w:sz="4" w:space="0" w:color="auto"/>
              <w:bottom w:val="dotted"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r>
      <w:tr w:rsidR="00295566" w:rsidRPr="008B53A9">
        <w:trPr>
          <w:trHeight w:val="212"/>
        </w:trPr>
        <w:tc>
          <w:tcPr>
            <w:tcW w:w="0" w:type="auto"/>
            <w:tcBorders>
              <w:top w:val="dotted" w:sz="4" w:space="0" w:color="auto"/>
              <w:bottom w:val="dotted" w:sz="4" w:space="0" w:color="auto"/>
            </w:tcBorders>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Prioritní osa</w:t>
            </w:r>
          </w:p>
        </w:tc>
        <w:tc>
          <w:tcPr>
            <w:tcW w:w="0" w:type="auto"/>
            <w:tcBorders>
              <w:top w:val="dotted"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PO 1: Rozvoj výzkumu a vývoje pro inovace</w:t>
            </w:r>
          </w:p>
        </w:tc>
        <w:tc>
          <w:tcPr>
            <w:tcW w:w="0" w:type="auto"/>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522" w:type="dxa"/>
            <w:tcBorders>
              <w:top w:val="dotted" w:sz="4" w:space="0" w:color="auto"/>
              <w:left w:val="single" w:sz="4" w:space="0" w:color="auto"/>
              <w:bottom w:val="dotted" w:sz="4" w:space="0" w:color="auto"/>
              <w:right w:val="single" w:sz="4" w:space="0" w:color="auto"/>
            </w:tcBorders>
            <w:shd w:val="clear" w:color="auto" w:fill="auto"/>
            <w:vAlign w:val="center"/>
          </w:tcPr>
          <w:p w:rsidR="00295566" w:rsidRPr="008B53A9" w:rsidRDefault="00295566" w:rsidP="000E1A9C">
            <w:pPr>
              <w:pStyle w:val="Tabulka"/>
              <w:jc w:val="left"/>
              <w:rPr>
                <w:rFonts w:cs="Calibri"/>
                <w:lang w:val="cs-CZ" w:eastAsia="cs-CZ"/>
              </w:rPr>
            </w:pPr>
            <w:r w:rsidRPr="008B53A9">
              <w:rPr>
                <w:rFonts w:cs="Calibri"/>
                <w:lang w:val="cs-CZ" w:eastAsia="cs-CZ"/>
              </w:rPr>
              <w:t>Priorita 1) Vynikající věda</w:t>
            </w:r>
          </w:p>
          <w:p w:rsidR="00295566" w:rsidRPr="008B53A9" w:rsidRDefault="00295566" w:rsidP="000E1A9C">
            <w:pPr>
              <w:pStyle w:val="Tabulka"/>
              <w:jc w:val="left"/>
              <w:rPr>
                <w:rFonts w:cs="Calibri"/>
                <w:lang w:val="cs-CZ" w:eastAsia="cs-CZ"/>
              </w:rPr>
            </w:pPr>
            <w:r w:rsidRPr="008B53A9">
              <w:rPr>
                <w:rFonts w:cs="Calibri"/>
                <w:lang w:val="cs-CZ" w:eastAsia="cs-CZ"/>
              </w:rPr>
              <w:t>Priorita 2) Vedoucí postavení v průmyslu</w:t>
            </w:r>
          </w:p>
          <w:p w:rsidR="00295566" w:rsidRPr="008B53A9" w:rsidRDefault="00295566" w:rsidP="000E1A9C">
            <w:pPr>
              <w:pStyle w:val="Tabulka"/>
              <w:jc w:val="left"/>
              <w:rPr>
                <w:rFonts w:cs="Calibri"/>
                <w:lang w:val="cs-CZ" w:eastAsia="cs-CZ"/>
              </w:rPr>
            </w:pPr>
            <w:r w:rsidRPr="008B53A9">
              <w:rPr>
                <w:rFonts w:cs="Calibri"/>
                <w:lang w:val="cs-CZ" w:eastAsia="cs-CZ"/>
              </w:rPr>
              <w:t>Priorita 3) Společenské výzvy</w:t>
            </w:r>
          </w:p>
        </w:tc>
        <w:tc>
          <w:tcPr>
            <w:tcW w:w="3523" w:type="dxa"/>
            <w:tcBorders>
              <w:top w:val="dotted" w:sz="4" w:space="0" w:color="auto"/>
              <w:left w:val="single" w:sz="4" w:space="0" w:color="auto"/>
              <w:bottom w:val="dotted"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r>
      <w:tr w:rsidR="00295566" w:rsidRPr="008B53A9">
        <w:tc>
          <w:tcPr>
            <w:tcW w:w="0" w:type="auto"/>
            <w:tcBorders>
              <w:top w:val="nil"/>
            </w:tcBorders>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Specifický cíl</w:t>
            </w:r>
          </w:p>
        </w:tc>
        <w:tc>
          <w:tcPr>
            <w:tcW w:w="0" w:type="auto"/>
            <w:tcBorders>
              <w:top w:val="nil"/>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SC 1.1: Zvýšit inovační výkonnost podniků</w:t>
            </w:r>
          </w:p>
          <w:p w:rsidR="00295566" w:rsidRPr="008B53A9" w:rsidRDefault="00295566" w:rsidP="00267430">
            <w:pPr>
              <w:pStyle w:val="Tabulka"/>
              <w:jc w:val="left"/>
              <w:rPr>
                <w:rFonts w:cs="Calibri"/>
                <w:lang w:val="cs-CZ" w:eastAsia="cs-CZ"/>
              </w:rPr>
            </w:pPr>
            <w:r w:rsidRPr="008B53A9">
              <w:rPr>
                <w:rFonts w:cs="Calibri"/>
                <w:lang w:val="cs-CZ" w:eastAsia="cs-CZ"/>
              </w:rPr>
              <w:t>SC 1.2: Zvýšit intenzitu a účinnost spolupráce ve výzkumu, vývoji a inovacích</w:t>
            </w:r>
          </w:p>
        </w:tc>
        <w:tc>
          <w:tcPr>
            <w:tcW w:w="0" w:type="auto"/>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522" w:type="dxa"/>
            <w:tcBorders>
              <w:top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1.1 Evropská výzkumná rada</w:t>
            </w:r>
          </w:p>
          <w:p w:rsidR="00295566" w:rsidRPr="008B53A9" w:rsidRDefault="00295566" w:rsidP="00267430">
            <w:pPr>
              <w:pStyle w:val="Tabulka"/>
              <w:jc w:val="left"/>
              <w:rPr>
                <w:rFonts w:cs="Calibri"/>
                <w:lang w:val="cs-CZ" w:eastAsia="cs-CZ"/>
              </w:rPr>
            </w:pPr>
            <w:r w:rsidRPr="008B53A9">
              <w:rPr>
                <w:rFonts w:cs="Calibri"/>
                <w:lang w:val="cs-CZ" w:eastAsia="cs-CZ"/>
              </w:rPr>
              <w:t>1.2 Budoucí a vznikající technologie</w:t>
            </w:r>
          </w:p>
          <w:p w:rsidR="00295566" w:rsidRPr="008B53A9" w:rsidRDefault="00295566" w:rsidP="00267430">
            <w:pPr>
              <w:pStyle w:val="Tabulka"/>
              <w:jc w:val="left"/>
              <w:rPr>
                <w:rFonts w:cs="Calibri"/>
                <w:lang w:val="cs-CZ" w:eastAsia="cs-CZ"/>
              </w:rPr>
            </w:pPr>
            <w:r w:rsidRPr="008B53A9">
              <w:rPr>
                <w:rFonts w:cs="Calibri"/>
                <w:lang w:val="cs-CZ" w:eastAsia="cs-CZ"/>
              </w:rPr>
              <w:t>1.4 Výzkumné infrastruktury</w:t>
            </w:r>
          </w:p>
          <w:p w:rsidR="00295566" w:rsidRPr="008B53A9" w:rsidRDefault="00295566" w:rsidP="00267430">
            <w:pPr>
              <w:pStyle w:val="Tabulka"/>
              <w:jc w:val="left"/>
              <w:rPr>
                <w:rFonts w:cs="Calibri"/>
                <w:lang w:val="cs-CZ" w:eastAsia="cs-CZ"/>
              </w:rPr>
            </w:pPr>
            <w:r w:rsidRPr="008B53A9">
              <w:rPr>
                <w:rFonts w:cs="Calibri"/>
                <w:lang w:val="cs-CZ" w:eastAsia="cs-CZ"/>
              </w:rPr>
              <w:t>2.1 Průlomové a průmyslové technologie</w:t>
            </w:r>
          </w:p>
          <w:p w:rsidR="00295566" w:rsidRPr="008B53A9" w:rsidRDefault="00295566" w:rsidP="00267430">
            <w:pPr>
              <w:pStyle w:val="Tabulka"/>
              <w:jc w:val="left"/>
              <w:rPr>
                <w:rFonts w:cs="Calibri"/>
                <w:lang w:val="cs-CZ" w:eastAsia="cs-CZ"/>
              </w:rPr>
            </w:pPr>
            <w:r w:rsidRPr="008B53A9">
              <w:rPr>
                <w:rFonts w:cs="Calibri"/>
                <w:lang w:val="cs-CZ" w:eastAsia="cs-CZ"/>
              </w:rPr>
              <w:t>2.3 Inovace v MSP</w:t>
            </w:r>
          </w:p>
          <w:p w:rsidR="00295566" w:rsidRPr="008B53A9" w:rsidRDefault="00295566" w:rsidP="00267430">
            <w:pPr>
              <w:pStyle w:val="Tabulka"/>
              <w:jc w:val="left"/>
              <w:rPr>
                <w:rFonts w:cs="Calibri"/>
                <w:lang w:val="cs-CZ" w:eastAsia="cs-CZ"/>
              </w:rPr>
            </w:pPr>
            <w:r w:rsidRPr="008B53A9">
              <w:rPr>
                <w:rFonts w:cs="Calibri"/>
                <w:lang w:val="cs-CZ" w:eastAsia="cs-CZ"/>
              </w:rPr>
              <w:t xml:space="preserve">3.5 Klimatická změna a účinné </w:t>
            </w:r>
            <w:r w:rsidRPr="008B53A9">
              <w:rPr>
                <w:rFonts w:cs="Calibri"/>
                <w:lang w:val="cs-CZ" w:eastAsia="cs-CZ"/>
              </w:rPr>
              <w:lastRenderedPageBreak/>
              <w:t>využívání zdrojů a surovin</w:t>
            </w:r>
          </w:p>
        </w:tc>
        <w:tc>
          <w:tcPr>
            <w:tcW w:w="3523" w:type="dxa"/>
            <w:tcBorders>
              <w:top w:val="dotted" w:sz="4" w:space="0" w:color="auto"/>
              <w:left w:val="single" w:sz="4" w:space="0" w:color="auto"/>
              <w:right w:val="single" w:sz="4" w:space="0" w:color="auto"/>
            </w:tcBorders>
            <w:vAlign w:val="center"/>
          </w:tcPr>
          <w:p w:rsidR="00295566" w:rsidRPr="008B53A9" w:rsidRDefault="00295566" w:rsidP="00267430">
            <w:pPr>
              <w:pStyle w:val="Tabulka"/>
              <w:jc w:val="left"/>
              <w:rPr>
                <w:rFonts w:cs="Calibri"/>
                <w:lang w:val="cs-CZ" w:eastAsia="cs-CZ"/>
              </w:rPr>
            </w:pPr>
            <w:r w:rsidRPr="008B53A9">
              <w:rPr>
                <w:rFonts w:cs="Calibri"/>
                <w:lang w:val="cs-CZ" w:eastAsia="cs-CZ"/>
              </w:rPr>
              <w:lastRenderedPageBreak/>
              <w:t>SC d) Zlepšit přístup firem na trhy Unie a celosvětově</w:t>
            </w:r>
          </w:p>
        </w:tc>
      </w:tr>
      <w:tr w:rsidR="00295566" w:rsidRPr="008B53A9">
        <w:tc>
          <w:tcPr>
            <w:tcW w:w="0" w:type="auto"/>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lastRenderedPageBreak/>
              <w:t>Věcná specifikace (zaměření, aktivity)</w:t>
            </w:r>
          </w:p>
        </w:tc>
        <w:tc>
          <w:tcPr>
            <w:tcW w:w="0" w:type="auto"/>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 zakládání a rozvoj podnikových výzkumných a vývojových center</w:t>
            </w:r>
          </w:p>
          <w:p w:rsidR="00295566" w:rsidRPr="008B53A9" w:rsidRDefault="00295566" w:rsidP="00267430">
            <w:pPr>
              <w:pStyle w:val="Tabulka"/>
              <w:jc w:val="left"/>
              <w:rPr>
                <w:rFonts w:cs="Calibri"/>
                <w:bCs/>
                <w:lang w:val="cs-CZ" w:eastAsia="cs-CZ"/>
              </w:rPr>
            </w:pPr>
            <w:r w:rsidRPr="008B53A9">
              <w:rPr>
                <w:rFonts w:cs="Calibri"/>
                <w:lang w:val="cs-CZ" w:eastAsia="cs-CZ"/>
              </w:rPr>
              <w:t xml:space="preserve">- </w:t>
            </w:r>
            <w:r w:rsidRPr="008B53A9">
              <w:rPr>
                <w:rFonts w:cs="Calibri"/>
                <w:bCs/>
                <w:lang w:val="cs-CZ" w:eastAsia="cs-CZ"/>
              </w:rPr>
              <w:t>zavádění inovací výrobků a služeb do výroby a jejich uvedení na trh</w:t>
            </w:r>
          </w:p>
          <w:p w:rsidR="00295566" w:rsidRPr="008B53A9" w:rsidRDefault="00295566" w:rsidP="00267430">
            <w:pPr>
              <w:pStyle w:val="Tabulka"/>
              <w:jc w:val="left"/>
              <w:rPr>
                <w:rFonts w:cs="Calibri"/>
                <w:lang w:val="cs-CZ" w:eastAsia="cs-CZ"/>
              </w:rPr>
            </w:pPr>
            <w:r w:rsidRPr="008B53A9">
              <w:rPr>
                <w:rFonts w:cs="Calibri"/>
                <w:bCs/>
                <w:lang w:val="cs-CZ" w:eastAsia="cs-CZ"/>
              </w:rPr>
              <w:t>- ochrana duševního vlastnictví v podnicích</w:t>
            </w:r>
          </w:p>
          <w:p w:rsidR="00295566" w:rsidRPr="008B53A9" w:rsidRDefault="00295566" w:rsidP="00267430">
            <w:pPr>
              <w:pStyle w:val="Tabulka"/>
              <w:jc w:val="left"/>
              <w:rPr>
                <w:rFonts w:cs="Calibri"/>
                <w:lang w:val="cs-CZ" w:eastAsia="cs-CZ"/>
              </w:rPr>
            </w:pPr>
            <w:r w:rsidRPr="008B53A9">
              <w:rPr>
                <w:rFonts w:cs="Calibri"/>
                <w:lang w:val="cs-CZ" w:eastAsia="cs-CZ"/>
              </w:rPr>
              <w:t xml:space="preserve">- </w:t>
            </w:r>
            <w:r w:rsidRPr="008B53A9">
              <w:rPr>
                <w:rFonts w:cs="Calibri"/>
                <w:bCs/>
                <w:lang w:val="cs-CZ" w:eastAsia="cs-CZ"/>
              </w:rPr>
              <w:t xml:space="preserve">průmyslový výzkum a vývoj, </w:t>
            </w:r>
            <w:r w:rsidRPr="008B53A9">
              <w:rPr>
                <w:rFonts w:cs="Calibri"/>
                <w:lang w:val="cs-CZ" w:eastAsia="cs-CZ"/>
              </w:rPr>
              <w:t>key enabling technologies</w:t>
            </w:r>
          </w:p>
          <w:p w:rsidR="00295566" w:rsidRPr="008B53A9" w:rsidRDefault="00295566" w:rsidP="00267430">
            <w:pPr>
              <w:pStyle w:val="Tabulka"/>
              <w:jc w:val="left"/>
              <w:rPr>
                <w:rFonts w:cs="Calibri"/>
                <w:lang w:val="cs-CZ" w:eastAsia="cs-CZ"/>
              </w:rPr>
            </w:pPr>
            <w:r w:rsidRPr="008B53A9">
              <w:rPr>
                <w:rFonts w:cs="Calibri"/>
                <w:lang w:val="cs-CZ" w:eastAsia="cs-CZ"/>
              </w:rPr>
              <w:t>- tvorba nových a rozšiřování a zvyšování kvality současných služeb podpůrné infrastruktury</w:t>
            </w:r>
          </w:p>
          <w:p w:rsidR="00295566" w:rsidRPr="008B53A9" w:rsidRDefault="00295566" w:rsidP="00267430">
            <w:pPr>
              <w:pStyle w:val="Tabulka"/>
              <w:jc w:val="left"/>
              <w:rPr>
                <w:rFonts w:cs="Calibri"/>
                <w:lang w:val="cs-CZ" w:eastAsia="cs-CZ"/>
              </w:rPr>
            </w:pPr>
            <w:r w:rsidRPr="008B53A9">
              <w:rPr>
                <w:rFonts w:cs="Calibri"/>
                <w:lang w:val="cs-CZ" w:eastAsia="cs-CZ"/>
              </w:rPr>
              <w:t>- podpořit komunikaci a sdílení poznatků mezi podnikovou a výzkumnou sférou</w:t>
            </w:r>
          </w:p>
          <w:p w:rsidR="00295566" w:rsidRPr="008B53A9" w:rsidRDefault="00681577" w:rsidP="00267430">
            <w:pPr>
              <w:pStyle w:val="Tabulka"/>
              <w:jc w:val="left"/>
              <w:rPr>
                <w:rFonts w:cs="Calibri"/>
                <w:lang w:val="cs-CZ" w:eastAsia="cs-CZ"/>
              </w:rPr>
            </w:pPr>
            <w:r w:rsidRPr="008B53A9">
              <w:rPr>
                <w:rFonts w:cs="Calibri"/>
                <w:lang w:val="cs-CZ" w:eastAsia="cs-CZ"/>
              </w:rPr>
              <w:t>- proof-of-concept</w:t>
            </w:r>
          </w:p>
        </w:tc>
        <w:tc>
          <w:tcPr>
            <w:tcW w:w="0" w:type="auto"/>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522" w:type="dxa"/>
            <w:tcBorders>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 proof-of-concept</w:t>
            </w:r>
          </w:p>
          <w:p w:rsidR="00295566" w:rsidRPr="008B53A9" w:rsidRDefault="00295566" w:rsidP="00267430">
            <w:pPr>
              <w:pStyle w:val="Tabulka"/>
              <w:jc w:val="left"/>
              <w:rPr>
                <w:rFonts w:cs="Calibri"/>
                <w:lang w:val="cs-CZ" w:eastAsia="cs-CZ"/>
              </w:rPr>
            </w:pPr>
            <w:r w:rsidRPr="008B53A9">
              <w:rPr>
                <w:rFonts w:cs="Calibri"/>
                <w:lang w:val="cs-CZ" w:eastAsia="cs-CZ"/>
              </w:rPr>
              <w:t>- financovat společný výzkum s cílem otevřít nové a slibné oblasti výzkumu a inovací prostřednictvím podpory budoucích a vznikajících technologií (FET)</w:t>
            </w:r>
          </w:p>
          <w:p w:rsidR="00295566" w:rsidRPr="008B53A9" w:rsidRDefault="00295566" w:rsidP="00267430">
            <w:pPr>
              <w:pStyle w:val="Tabulka"/>
              <w:jc w:val="left"/>
              <w:rPr>
                <w:rFonts w:cs="Calibri"/>
                <w:lang w:val="cs-CZ" w:eastAsia="cs-CZ"/>
              </w:rPr>
            </w:pPr>
            <w:r w:rsidRPr="008B53A9">
              <w:rPr>
                <w:rFonts w:cs="Calibri"/>
                <w:lang w:val="cs-CZ" w:eastAsia="cs-CZ"/>
              </w:rPr>
              <w:t>- podpora inovačního potenciálu výzkumných infrastruktur</w:t>
            </w:r>
          </w:p>
          <w:p w:rsidR="00295566" w:rsidRPr="008B53A9" w:rsidRDefault="00295566" w:rsidP="00267430">
            <w:pPr>
              <w:pStyle w:val="Tabulka"/>
              <w:jc w:val="left"/>
              <w:rPr>
                <w:rFonts w:cs="Calibri"/>
                <w:lang w:val="cs-CZ" w:eastAsia="cs-CZ"/>
              </w:rPr>
            </w:pPr>
            <w:r w:rsidRPr="008B53A9">
              <w:rPr>
                <w:rFonts w:cs="Calibri"/>
                <w:lang w:val="cs-CZ" w:eastAsia="cs-CZ"/>
              </w:rPr>
              <w:t>- výzkum a inovace v různých oblastech (nanotechnologie, biotechnologie, vesmírné aplikace atd.)</w:t>
            </w:r>
          </w:p>
          <w:p w:rsidR="00295566" w:rsidRPr="008B53A9" w:rsidRDefault="00295566" w:rsidP="00267430">
            <w:pPr>
              <w:pStyle w:val="Tabulka"/>
              <w:jc w:val="left"/>
              <w:rPr>
                <w:rFonts w:cs="Calibri"/>
                <w:lang w:val="cs-CZ" w:eastAsia="cs-CZ"/>
              </w:rPr>
            </w:pPr>
            <w:r w:rsidRPr="008B53A9">
              <w:rPr>
                <w:rFonts w:cs="Calibri"/>
                <w:lang w:val="cs-CZ" w:eastAsia="cs-CZ"/>
              </w:rPr>
              <w:t>- poskytovat rozsáhlou podporu inovacím v malých a středních podnicích (výzkum a vývoj, komercializace)</w:t>
            </w:r>
          </w:p>
          <w:p w:rsidR="00295566" w:rsidRPr="008B53A9" w:rsidRDefault="00295566" w:rsidP="00267430">
            <w:pPr>
              <w:pStyle w:val="Tabulka"/>
              <w:jc w:val="left"/>
              <w:rPr>
                <w:rFonts w:cs="Calibri"/>
                <w:lang w:val="cs-CZ" w:eastAsia="cs-CZ"/>
              </w:rPr>
            </w:pPr>
            <w:r w:rsidRPr="008B53A9">
              <w:rPr>
                <w:rFonts w:cs="Calibri"/>
                <w:lang w:val="cs-CZ" w:eastAsia="cs-CZ"/>
              </w:rPr>
              <w:t>- umožnění přechodu k zelené ekonomice prostřednictvím ekoinovací</w:t>
            </w:r>
          </w:p>
        </w:tc>
        <w:tc>
          <w:tcPr>
            <w:tcW w:w="3523" w:type="dxa"/>
            <w:tcBorders>
              <w:left w:val="single" w:sz="4" w:space="0" w:color="auto"/>
              <w:right w:val="single" w:sz="4" w:space="0" w:color="auto"/>
            </w:tcBorders>
            <w:vAlign w:val="center"/>
          </w:tcPr>
          <w:p w:rsidR="00295566" w:rsidRPr="008B53A9" w:rsidRDefault="00295566" w:rsidP="00267430">
            <w:pPr>
              <w:pStyle w:val="Tabulka"/>
              <w:jc w:val="left"/>
              <w:rPr>
                <w:rFonts w:cs="Calibri"/>
                <w:lang w:val="cs-CZ" w:eastAsia="cs-CZ"/>
              </w:rPr>
            </w:pPr>
            <w:r w:rsidRPr="008B53A9">
              <w:rPr>
                <w:rFonts w:cs="Calibri"/>
                <w:lang w:val="cs-CZ" w:eastAsia="cs-CZ"/>
              </w:rPr>
              <w:t>- podpora MSP v oblasti ochrany duševního vlastnictví v prioritních třetích zemích, mimo EU</w:t>
            </w:r>
          </w:p>
          <w:p w:rsidR="00295566" w:rsidRPr="008B53A9" w:rsidRDefault="00295566" w:rsidP="00267430">
            <w:pPr>
              <w:pStyle w:val="Tabulka"/>
              <w:jc w:val="left"/>
              <w:rPr>
                <w:rFonts w:cs="Calibri"/>
                <w:lang w:val="cs-CZ" w:eastAsia="cs-CZ"/>
              </w:rPr>
            </w:pPr>
            <w:r w:rsidRPr="008B53A9">
              <w:rPr>
                <w:rFonts w:cs="Calibri"/>
                <w:lang w:val="cs-CZ" w:eastAsia="cs-CZ"/>
              </w:rPr>
              <w:t>- podpora sítě Enterprise Europe Network (obsahuje služby na podporu akcí transferu technologií, inovačních výrobků a služeb a služby projektového a finančního poradenství, pro situace zavádění nových produktů na trh</w:t>
            </w:r>
          </w:p>
          <w:p w:rsidR="00295566" w:rsidRPr="008B53A9" w:rsidRDefault="00295566" w:rsidP="00267430">
            <w:pPr>
              <w:pStyle w:val="Tabulka"/>
              <w:jc w:val="left"/>
              <w:rPr>
                <w:rFonts w:cs="Calibri"/>
                <w:lang w:val="cs-CZ" w:eastAsia="cs-CZ"/>
              </w:rPr>
            </w:pPr>
            <w:r w:rsidRPr="008B53A9">
              <w:rPr>
                <w:rFonts w:cs="Calibri"/>
                <w:lang w:val="cs-CZ" w:eastAsia="cs-CZ"/>
              </w:rPr>
              <w:t>- služby sítě Enterprise Europe Network v oblasti podpory mezinárodní spolupráce</w:t>
            </w:r>
          </w:p>
        </w:tc>
      </w:tr>
      <w:tr w:rsidR="00295566" w:rsidRPr="008B53A9">
        <w:tc>
          <w:tcPr>
            <w:tcW w:w="0" w:type="auto"/>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Implementační prvky</w:t>
            </w:r>
          </w:p>
        </w:tc>
        <w:tc>
          <w:tcPr>
            <w:tcW w:w="0" w:type="auto"/>
            <w:tcBorders>
              <w:bottom w:val="single" w:sz="4" w:space="0" w:color="auto"/>
            </w:tcBorders>
            <w:shd w:val="clear" w:color="auto" w:fill="auto"/>
            <w:vAlign w:val="center"/>
          </w:tcPr>
          <w:p w:rsidR="00295566" w:rsidRPr="008B53A9" w:rsidRDefault="00295566" w:rsidP="00B71DE7">
            <w:pPr>
              <w:pStyle w:val="Tabulka"/>
              <w:jc w:val="left"/>
              <w:rPr>
                <w:rFonts w:cs="Calibri"/>
                <w:lang w:val="cs-CZ" w:eastAsia="cs-CZ"/>
              </w:rPr>
            </w:pPr>
            <w:r w:rsidRPr="008B53A9">
              <w:rPr>
                <w:rFonts w:cs="Calibri"/>
                <w:lang w:val="cs-CZ" w:eastAsia="cs-CZ"/>
              </w:rPr>
              <w:t xml:space="preserve">Typy příjemců: Podnikatelské subjekty (zejména malé a střední, v odůvodněných případech velké podniky), sdružení podnikatelů, zájmová sdružení právnických osob, podnikatelská seskupení, vysoké školy a ostatní vzdělávací instituce, výzkumné organizace, výzkumné ústavy, veřejné výzkumné instituce a fyzické osoby, územní samosprávné celky a jejich svazky, subjekty státní správy a územní samosprávy (v případě PCP), přímo řízené organizace a OSS, neziskové organizace, </w:t>
            </w:r>
            <w:r w:rsidRPr="008B53A9">
              <w:rPr>
                <w:rFonts w:cs="Calibri"/>
                <w:lang w:val="cs-CZ" w:eastAsia="cs-CZ"/>
              </w:rPr>
              <w:lastRenderedPageBreak/>
              <w:t>obecně prospěšné společnosti</w:t>
            </w:r>
          </w:p>
          <w:p w:rsidR="00295566" w:rsidRPr="008B53A9" w:rsidRDefault="00295566" w:rsidP="008D522A">
            <w:pPr>
              <w:pStyle w:val="Tabulka"/>
              <w:jc w:val="left"/>
              <w:rPr>
                <w:rFonts w:cs="Calibri"/>
                <w:lang w:val="cs-CZ" w:eastAsia="cs-CZ"/>
              </w:rPr>
            </w:pPr>
            <w:r w:rsidRPr="008B53A9">
              <w:rPr>
                <w:rFonts w:cs="Calibri"/>
                <w:lang w:val="cs-CZ" w:eastAsia="cs-CZ"/>
              </w:rPr>
              <w:t>Cílové území: Území České republiky, mimo území hl. m. Prahy, v případě aktivit „rozvoj sítí spolupráce (klastrů)“ i Praha za využití čl. 70 obecného nařízení.</w:t>
            </w:r>
          </w:p>
        </w:tc>
        <w:tc>
          <w:tcPr>
            <w:tcW w:w="0" w:type="auto"/>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3522" w:type="dxa"/>
            <w:tcBorders>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Typy příjemců: Podnikatelské subjekty</w:t>
            </w:r>
          </w:p>
          <w:p w:rsidR="00295566" w:rsidRPr="008B53A9" w:rsidRDefault="00295566" w:rsidP="00267430">
            <w:pPr>
              <w:pStyle w:val="Tabulka"/>
              <w:jc w:val="left"/>
              <w:rPr>
                <w:rFonts w:cs="Calibri"/>
                <w:lang w:val="cs-CZ" w:eastAsia="cs-CZ"/>
              </w:rPr>
            </w:pPr>
            <w:r w:rsidRPr="008B53A9">
              <w:rPr>
                <w:rFonts w:cs="Calibri"/>
                <w:lang w:val="cs-CZ" w:eastAsia="cs-CZ"/>
              </w:rPr>
              <w:t>Cílové území: Území České republiky</w:t>
            </w:r>
          </w:p>
        </w:tc>
        <w:tc>
          <w:tcPr>
            <w:tcW w:w="3523" w:type="dxa"/>
            <w:tcBorders>
              <w:left w:val="single" w:sz="4" w:space="0" w:color="auto"/>
              <w:right w:val="single" w:sz="4" w:space="0" w:color="auto"/>
            </w:tcBorders>
            <w:vAlign w:val="center"/>
          </w:tcPr>
          <w:p w:rsidR="00295566" w:rsidRPr="008B53A9" w:rsidRDefault="00295566" w:rsidP="00267430">
            <w:pPr>
              <w:pStyle w:val="Tabulka"/>
              <w:jc w:val="left"/>
              <w:rPr>
                <w:rFonts w:cs="Calibri"/>
                <w:lang w:val="cs-CZ" w:eastAsia="cs-CZ"/>
              </w:rPr>
            </w:pPr>
            <w:r w:rsidRPr="008B53A9">
              <w:rPr>
                <w:rFonts w:cs="Calibri"/>
                <w:lang w:val="cs-CZ" w:eastAsia="cs-CZ"/>
              </w:rPr>
              <w:t>Typy příjemců: Podnikatelské subjekty</w:t>
            </w:r>
          </w:p>
          <w:p w:rsidR="00295566" w:rsidRPr="008B53A9" w:rsidRDefault="00295566" w:rsidP="00267430">
            <w:pPr>
              <w:pStyle w:val="Tabulka"/>
              <w:jc w:val="left"/>
              <w:rPr>
                <w:rFonts w:cs="Calibri"/>
                <w:lang w:val="cs-CZ" w:eastAsia="cs-CZ"/>
              </w:rPr>
            </w:pPr>
            <w:r w:rsidRPr="008B53A9">
              <w:rPr>
                <w:rFonts w:cs="Calibri"/>
                <w:lang w:val="cs-CZ" w:eastAsia="cs-CZ"/>
              </w:rPr>
              <w:t>Cílové území: Území České republiky</w:t>
            </w:r>
          </w:p>
        </w:tc>
      </w:tr>
      <w:tr w:rsidR="00530742" w:rsidRPr="008B53A9">
        <w:tc>
          <w:tcPr>
            <w:tcW w:w="0" w:type="auto"/>
            <w:shd w:val="clear" w:color="auto" w:fill="E5DFEC"/>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lastRenderedPageBreak/>
              <w:t>Synergie/komplementarita</w:t>
            </w:r>
          </w:p>
        </w:tc>
        <w:tc>
          <w:tcPr>
            <w:tcW w:w="0" w:type="auto"/>
            <w:tcBorders>
              <w:tr2bl w:val="single" w:sz="4" w:space="0" w:color="auto"/>
            </w:tcBorders>
            <w:shd w:val="clear" w:color="auto" w:fill="auto"/>
            <w:vAlign w:val="center"/>
          </w:tcPr>
          <w:p w:rsidR="00530742" w:rsidRPr="008B53A9" w:rsidRDefault="00530742" w:rsidP="00B71DE7">
            <w:pPr>
              <w:pStyle w:val="Tabulka"/>
              <w:jc w:val="left"/>
              <w:rPr>
                <w:rFonts w:cs="Calibri"/>
                <w:lang w:val="cs-CZ" w:eastAsia="cs-CZ"/>
              </w:rPr>
            </w:pPr>
          </w:p>
        </w:tc>
        <w:tc>
          <w:tcPr>
            <w:tcW w:w="0" w:type="auto"/>
            <w:tcBorders>
              <w:top w:val="nil"/>
              <w:bottom w:val="nil"/>
            </w:tcBorders>
            <w:shd w:val="clear" w:color="auto" w:fill="auto"/>
            <w:vAlign w:val="center"/>
          </w:tcPr>
          <w:p w:rsidR="00530742" w:rsidRPr="008B53A9" w:rsidRDefault="00530742" w:rsidP="00267430">
            <w:pPr>
              <w:pStyle w:val="Tabulka"/>
              <w:jc w:val="left"/>
              <w:rPr>
                <w:rFonts w:cs="Calibri"/>
                <w:sz w:val="6"/>
                <w:szCs w:val="6"/>
                <w:lang w:val="cs-CZ" w:eastAsia="cs-CZ"/>
              </w:rPr>
            </w:pPr>
          </w:p>
        </w:tc>
        <w:tc>
          <w:tcPr>
            <w:tcW w:w="3522" w:type="dxa"/>
            <w:tcBorders>
              <w:right w:val="single" w:sz="4" w:space="0" w:color="auto"/>
            </w:tcBorders>
            <w:shd w:val="clear" w:color="auto" w:fill="auto"/>
            <w:vAlign w:val="center"/>
          </w:tcPr>
          <w:p w:rsidR="00530742" w:rsidRPr="008B53A9" w:rsidRDefault="00530742" w:rsidP="00267430">
            <w:pPr>
              <w:pStyle w:val="Tabulka"/>
              <w:jc w:val="left"/>
              <w:rPr>
                <w:rFonts w:cs="Calibri"/>
                <w:lang w:val="cs-CZ" w:eastAsia="cs-CZ"/>
              </w:rPr>
            </w:pPr>
            <w:r w:rsidRPr="008B53A9">
              <w:rPr>
                <w:rFonts w:cs="Calibri"/>
                <w:lang w:val="cs-CZ" w:eastAsia="cs-CZ"/>
              </w:rPr>
              <w:t>komplementarita</w:t>
            </w:r>
          </w:p>
        </w:tc>
        <w:tc>
          <w:tcPr>
            <w:tcW w:w="3523" w:type="dxa"/>
            <w:tcBorders>
              <w:left w:val="single" w:sz="4" w:space="0" w:color="auto"/>
              <w:right w:val="single" w:sz="4" w:space="0" w:color="auto"/>
            </w:tcBorders>
            <w:vAlign w:val="center"/>
          </w:tcPr>
          <w:p w:rsidR="00530742" w:rsidRPr="008B53A9" w:rsidRDefault="00530742" w:rsidP="00267430">
            <w:pPr>
              <w:pStyle w:val="Tabulka"/>
              <w:jc w:val="left"/>
              <w:rPr>
                <w:rFonts w:cs="Calibri"/>
                <w:lang w:val="cs-CZ" w:eastAsia="cs-CZ"/>
              </w:rPr>
            </w:pPr>
            <w:r w:rsidRPr="008B53A9">
              <w:rPr>
                <w:rFonts w:cs="Calibri"/>
                <w:lang w:val="cs-CZ" w:eastAsia="cs-CZ"/>
              </w:rPr>
              <w:t>komplementarita</w:t>
            </w:r>
          </w:p>
        </w:tc>
      </w:tr>
      <w:tr w:rsidR="00FE2645" w:rsidRPr="008B53A9">
        <w:tc>
          <w:tcPr>
            <w:tcW w:w="0" w:type="auto"/>
            <w:shd w:val="clear" w:color="auto" w:fill="E5DFEC"/>
            <w:vAlign w:val="center"/>
          </w:tcPr>
          <w:p w:rsidR="00FE2645" w:rsidRPr="008B53A9" w:rsidRDefault="00FE2645" w:rsidP="00267430">
            <w:pPr>
              <w:pStyle w:val="Tabulka"/>
              <w:jc w:val="left"/>
              <w:rPr>
                <w:rFonts w:cs="Calibri"/>
                <w:b/>
                <w:lang w:val="cs-CZ" w:eastAsia="cs-CZ"/>
              </w:rPr>
            </w:pPr>
            <w:r w:rsidRPr="008B53A9">
              <w:rPr>
                <w:rFonts w:cs="Calibri"/>
                <w:b/>
                <w:lang w:val="cs-CZ" w:eastAsia="cs-CZ"/>
              </w:rPr>
              <w:t>Mechanismus koordinace</w:t>
            </w:r>
          </w:p>
        </w:tc>
        <w:tc>
          <w:tcPr>
            <w:tcW w:w="0" w:type="auto"/>
            <w:gridSpan w:val="4"/>
            <w:tcBorders>
              <w:right w:val="single" w:sz="4" w:space="0" w:color="auto"/>
            </w:tcBorders>
            <w:shd w:val="clear" w:color="auto" w:fill="auto"/>
            <w:vAlign w:val="center"/>
          </w:tcPr>
          <w:p w:rsidR="006B1324" w:rsidRPr="008B53A9" w:rsidRDefault="00FE2645" w:rsidP="008111F6">
            <w:pPr>
              <w:pStyle w:val="Tabulka"/>
              <w:jc w:val="left"/>
              <w:rPr>
                <w:rFonts w:cs="Calibri"/>
                <w:lang w:val="cs-CZ" w:eastAsia="cs-CZ"/>
              </w:rPr>
            </w:pPr>
            <w:r w:rsidRPr="008B53A9">
              <w:rPr>
                <w:rFonts w:cs="Calibri"/>
                <w:lang w:val="cs-CZ" w:eastAsia="cs-CZ"/>
              </w:rPr>
              <w:t xml:space="preserve">Řídící orgán řeší koordinaci mezi OP PIK a programy </w:t>
            </w:r>
            <w:r w:rsidR="0087102E" w:rsidRPr="008B53A9">
              <w:rPr>
                <w:rFonts w:cs="Calibri"/>
                <w:lang w:val="cs-CZ" w:eastAsia="cs-CZ"/>
              </w:rPr>
              <w:t>Horizont 2020</w:t>
            </w:r>
            <w:r w:rsidR="008111F6" w:rsidRPr="008B53A9">
              <w:rPr>
                <w:rFonts w:cs="Calibri"/>
                <w:lang w:val="cs-CZ" w:eastAsia="cs-CZ"/>
              </w:rPr>
              <w:t xml:space="preserve"> a COSME </w:t>
            </w:r>
            <w:r w:rsidRPr="008B53A9">
              <w:rPr>
                <w:rFonts w:cs="Calibri"/>
                <w:lang w:val="cs-CZ" w:eastAsia="cs-CZ"/>
              </w:rPr>
              <w:t xml:space="preserve">ve spolupráci s Technologickým centrem Akademie věd ČR (TC AV), které se v rámci principu partnerství podílí na přípravě OP PIK (členství v Pracovní skupině pro rozpracování prioritní osy 1 – viz kapitola 12.3). TC AV má mj. funkci národního informačního centra pro evropský výzkum a jako takové napomáhá úspěšnému zapojení českých týmů do evropské výzkumné a vývojové spolupráce, především prostřednictvím účasti v projektech rámcových programů EU pro výzkum a vývoj. V rámci této své činnosti TC AV poskytuje konzultace potenciálním žadatelům, což umožňuje identifikovat vhodné projekty a jejich správné nasměrování do odpovídajícího programu podpory – </w:t>
            </w:r>
            <w:r w:rsidR="0087102E" w:rsidRPr="008B53A9">
              <w:rPr>
                <w:rFonts w:cs="Calibri"/>
                <w:lang w:val="cs-CZ" w:eastAsia="cs-CZ"/>
              </w:rPr>
              <w:t>Horizont 2020</w:t>
            </w:r>
            <w:r w:rsidRPr="008B53A9">
              <w:rPr>
                <w:rFonts w:cs="Calibri"/>
                <w:lang w:val="cs-CZ" w:eastAsia="cs-CZ"/>
              </w:rPr>
              <w:t>, COSME či programů ESIF.</w:t>
            </w:r>
            <w:r w:rsidR="00F97B7C" w:rsidRPr="008B53A9">
              <w:rPr>
                <w:rFonts w:cs="Calibri"/>
                <w:lang w:val="cs-CZ" w:eastAsia="cs-CZ"/>
              </w:rPr>
              <w:t xml:space="preserve"> TC AV je také koordinátorem konsorcia</w:t>
            </w:r>
            <w:r w:rsidR="00DF6069" w:rsidRPr="008B53A9">
              <w:rPr>
                <w:rFonts w:cs="Calibri"/>
                <w:lang w:val="cs-CZ" w:eastAsia="cs-CZ"/>
              </w:rPr>
              <w:t xml:space="preserve"> Mezinárodní sítě pro podporu podnikání (Enterprise Europe Network) v ČR.</w:t>
            </w:r>
          </w:p>
          <w:p w:rsidR="008D375D" w:rsidRPr="008B53A9" w:rsidRDefault="008D375D" w:rsidP="008111F6">
            <w:pPr>
              <w:pStyle w:val="Tabulka"/>
              <w:jc w:val="left"/>
              <w:rPr>
                <w:rFonts w:cs="Calibri"/>
                <w:lang w:val="cs-CZ" w:eastAsia="cs-CZ"/>
              </w:rPr>
            </w:pPr>
            <w:r w:rsidRPr="008B53A9">
              <w:rPr>
                <w:rFonts w:cs="Calibri"/>
                <w:lang w:val="cs-CZ" w:eastAsia="cs-CZ"/>
              </w:rPr>
              <w:t xml:space="preserve">Významným prvkem koordinace by mělo být zvýhodnění těch žadatelů v OP PIK (např. prostřednictvím bodové bonifikace), kteří předtím v programu </w:t>
            </w:r>
            <w:r w:rsidR="0087102E" w:rsidRPr="008B53A9">
              <w:rPr>
                <w:rFonts w:cs="Calibri"/>
                <w:lang w:val="cs-CZ" w:eastAsia="cs-CZ"/>
              </w:rPr>
              <w:t>Horizont 2020</w:t>
            </w:r>
            <w:r w:rsidRPr="008B53A9">
              <w:rPr>
                <w:rFonts w:cs="Calibri"/>
                <w:lang w:val="cs-CZ" w:eastAsia="cs-CZ"/>
              </w:rPr>
              <w:t xml:space="preserve"> předložili projekty, jež splnily všechny předepsané náležitosti, avšak k jejich podpoře nakonec nedošlo z důvodu výběru jiných excelentních projektů.</w:t>
            </w:r>
          </w:p>
          <w:p w:rsidR="008D375D" w:rsidRPr="008B53A9" w:rsidRDefault="00EB4AA0" w:rsidP="00A0251A">
            <w:pPr>
              <w:pStyle w:val="Tabulka"/>
              <w:jc w:val="left"/>
              <w:rPr>
                <w:rFonts w:cs="Calibri"/>
                <w:lang w:val="cs-CZ" w:eastAsia="cs-CZ"/>
              </w:rPr>
            </w:pPr>
            <w:r w:rsidRPr="008B53A9">
              <w:rPr>
                <w:rFonts w:cs="Calibri"/>
                <w:lang w:val="cs-CZ" w:eastAsia="cs-CZ"/>
              </w:rPr>
              <w:t xml:space="preserve">Ve fázi realizace OP PIK se bude TC AV rovněž podílet na přípravě výzev. Dalším koordinačním mechanismem bude informace pro potenciální žadatele na webových stránkách </w:t>
            </w:r>
            <w:r w:rsidR="00A0251A" w:rsidRPr="008B53A9">
              <w:rPr>
                <w:rFonts w:cs="Calibri"/>
                <w:lang w:val="cs-CZ" w:eastAsia="cs-CZ"/>
              </w:rPr>
              <w:t>Ř</w:t>
            </w:r>
            <w:r w:rsidRPr="008B53A9">
              <w:rPr>
                <w:rFonts w:cs="Calibri"/>
                <w:lang w:val="cs-CZ" w:eastAsia="cs-CZ"/>
              </w:rPr>
              <w:t xml:space="preserve">ídícího orgánu OP PIK ve formě odkazu na webové stránky TC AV, které poskytují informace o </w:t>
            </w:r>
            <w:r w:rsidR="0087102E" w:rsidRPr="008B53A9">
              <w:rPr>
                <w:rFonts w:cs="Calibri"/>
                <w:lang w:val="cs-CZ" w:eastAsia="cs-CZ"/>
              </w:rPr>
              <w:t>Horizont 2020</w:t>
            </w:r>
            <w:r w:rsidRPr="008B53A9">
              <w:rPr>
                <w:rFonts w:cs="Calibri"/>
                <w:lang w:val="cs-CZ" w:eastAsia="cs-CZ"/>
              </w:rPr>
              <w:t xml:space="preserve"> a COSME. Tato vzájemná provazba dále přispěje ke zlepšení orientace případných žadatelů v možnostech získání podpory pro svůj projekt.</w:t>
            </w:r>
          </w:p>
        </w:tc>
      </w:tr>
    </w:tbl>
    <w:p w:rsidR="00D51A7B" w:rsidRPr="008B53A9" w:rsidRDefault="00D51A7B" w:rsidP="00C71DBD">
      <w:pPr>
        <w:pStyle w:val="Standardntext"/>
      </w:pPr>
    </w:p>
    <w:p w:rsidR="003A239A" w:rsidRPr="008B53A9" w:rsidRDefault="003A239A" w:rsidP="005D178C">
      <w:pPr>
        <w:pStyle w:val="Standardntext"/>
        <w:numPr>
          <w:ilvl w:val="0"/>
          <w:numId w:val="96"/>
        </w:numPr>
        <w:rPr>
          <w:b/>
        </w:rPr>
      </w:pPr>
      <w:r w:rsidRPr="008B53A9">
        <w:rPr>
          <w:b/>
        </w:rPr>
        <w:t>Zvýšení konkurenceschopnosti MSP</w:t>
      </w:r>
    </w:p>
    <w:p w:rsidR="003A239A" w:rsidRPr="008B53A9" w:rsidRDefault="003A239A" w:rsidP="003A239A">
      <w:pPr>
        <w:pStyle w:val="Standardntext"/>
      </w:pPr>
      <w:r w:rsidRPr="008B53A9">
        <w:t xml:space="preserve">Pokud jde o problematiku zvyšování konkurenceschopnosti MSP, OP PIK identifikuje opět vazbu vůči programům </w:t>
      </w:r>
      <w:r w:rsidRPr="008B53A9">
        <w:rPr>
          <w:b/>
        </w:rPr>
        <w:t>Horizont 2020</w:t>
      </w:r>
      <w:r w:rsidRPr="008B53A9">
        <w:t xml:space="preserve"> a </w:t>
      </w:r>
      <w:r w:rsidRPr="008B53A9">
        <w:rPr>
          <w:b/>
        </w:rPr>
        <w:t>COSME</w:t>
      </w:r>
      <w:r w:rsidRPr="008B53A9">
        <w:t>. Vzájemné vazby lze vysledovat především v otázce internacionalizace MSP a ve zlepšení přístupu MSP k financování, včetně rizikového kapitálu.</w:t>
      </w:r>
    </w:p>
    <w:p w:rsidR="003A239A" w:rsidRPr="008B53A9" w:rsidRDefault="003A239A" w:rsidP="003A239A">
      <w:pPr>
        <w:pStyle w:val="Standardntext"/>
      </w:pPr>
      <w:r w:rsidRPr="008B53A9">
        <w:t xml:space="preserve">S tím úzce souvisí i problematika přístupu mikropodniků k financování, což je téma společné pro prioritní osu 2 OP PIK  a </w:t>
      </w:r>
      <w:r w:rsidRPr="008B53A9">
        <w:rPr>
          <w:b/>
        </w:rPr>
        <w:t>EaSI</w:t>
      </w:r>
      <w:r w:rsidRPr="008B53A9">
        <w:t>, konkrétně osa „Mikrofinancování a sociální podnikání“.</w:t>
      </w:r>
    </w:p>
    <w:p w:rsidR="003A239A" w:rsidRPr="008B53A9" w:rsidRDefault="003A239A" w:rsidP="003A239A">
      <w:pPr>
        <w:pStyle w:val="Standardntext"/>
      </w:pPr>
      <w:r w:rsidRPr="008B53A9">
        <w:lastRenderedPageBreak/>
        <w:t xml:space="preserve">V případě programu </w:t>
      </w:r>
      <w:r w:rsidRPr="008B53A9">
        <w:rPr>
          <w:b/>
        </w:rPr>
        <w:t>Kreativní Evropa</w:t>
      </w:r>
      <w:r w:rsidRPr="008B53A9">
        <w:t xml:space="preserve"> je komplementární vazba spatřována u aktivit směřujících k posílení finančních možností MSP, kdy příjemci podpory v OP PIK mohou být rovněž žadatelé z kulturních a kreativních odvětví.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184"/>
        <w:gridCol w:w="222"/>
        <w:gridCol w:w="2232"/>
        <w:gridCol w:w="2233"/>
        <w:gridCol w:w="2432"/>
        <w:gridCol w:w="2335"/>
      </w:tblGrid>
      <w:tr w:rsidR="00295566" w:rsidRPr="008B53A9">
        <w:trPr>
          <w:trHeight w:val="233"/>
        </w:trPr>
        <w:tc>
          <w:tcPr>
            <w:tcW w:w="0" w:type="auto"/>
            <w:shd w:val="clear" w:color="auto" w:fill="937BB1"/>
            <w:vAlign w:val="center"/>
          </w:tcPr>
          <w:p w:rsidR="00295566" w:rsidRPr="008B53A9" w:rsidRDefault="00295566" w:rsidP="0097199C">
            <w:pPr>
              <w:pStyle w:val="Tabulka"/>
              <w:keepNext/>
              <w:keepLines/>
              <w:jc w:val="left"/>
              <w:rPr>
                <w:rFonts w:cs="Calibri"/>
                <w:b/>
                <w:lang w:val="cs-CZ" w:eastAsia="cs-CZ"/>
              </w:rPr>
            </w:pPr>
            <w:r w:rsidRPr="008B53A9">
              <w:rPr>
                <w:rFonts w:cs="Calibri"/>
                <w:b/>
                <w:color w:val="FFFFFF"/>
                <w:lang w:val="cs-CZ" w:eastAsia="cs-CZ"/>
              </w:rPr>
              <w:t>Zvýšení konkurenceschopnosti MSP</w:t>
            </w:r>
          </w:p>
        </w:tc>
        <w:tc>
          <w:tcPr>
            <w:tcW w:w="0" w:type="auto"/>
            <w:tcBorders>
              <w:bottom w:val="single" w:sz="4" w:space="0" w:color="000000"/>
            </w:tcBorders>
            <w:shd w:val="clear" w:color="auto" w:fill="B2A1C7"/>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OP PIK</w:t>
            </w:r>
          </w:p>
        </w:tc>
        <w:tc>
          <w:tcPr>
            <w:tcW w:w="0" w:type="auto"/>
            <w:tcBorders>
              <w:top w:val="nil"/>
              <w:bottom w:val="nil"/>
            </w:tcBorders>
            <w:shd w:val="clear" w:color="auto" w:fill="auto"/>
            <w:vAlign w:val="center"/>
          </w:tcPr>
          <w:p w:rsidR="00295566" w:rsidRPr="008B53A9" w:rsidRDefault="00295566" w:rsidP="00267430">
            <w:pPr>
              <w:pStyle w:val="Tabulka"/>
              <w:keepNext/>
              <w:keepLines/>
              <w:rPr>
                <w:rFonts w:cs="Calibri"/>
                <w:b/>
                <w:sz w:val="6"/>
                <w:szCs w:val="6"/>
                <w:lang w:val="cs-CZ" w:eastAsia="cs-CZ"/>
              </w:rPr>
            </w:pPr>
          </w:p>
        </w:tc>
        <w:tc>
          <w:tcPr>
            <w:tcW w:w="2263" w:type="dxa"/>
            <w:tcBorders>
              <w:bottom w:val="single" w:sz="4" w:space="0" w:color="000000"/>
              <w:right w:val="single" w:sz="4" w:space="0" w:color="auto"/>
            </w:tcBorders>
            <w:shd w:val="clear" w:color="auto" w:fill="B2A1C7"/>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Horizont 2020</w:t>
            </w:r>
          </w:p>
        </w:tc>
        <w:tc>
          <w:tcPr>
            <w:tcW w:w="2263" w:type="dxa"/>
            <w:tcBorders>
              <w:left w:val="single" w:sz="4" w:space="0" w:color="auto"/>
              <w:bottom w:val="single" w:sz="4" w:space="0" w:color="000000"/>
              <w:right w:val="single" w:sz="4" w:space="0" w:color="auto"/>
            </w:tcBorders>
            <w:shd w:val="clear" w:color="auto" w:fill="B2A1C7"/>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COSME</w:t>
            </w:r>
          </w:p>
        </w:tc>
        <w:tc>
          <w:tcPr>
            <w:tcW w:w="2382" w:type="dxa"/>
            <w:tcBorders>
              <w:left w:val="single" w:sz="4" w:space="0" w:color="auto"/>
              <w:bottom w:val="single" w:sz="4" w:space="0" w:color="000000"/>
              <w:right w:val="single" w:sz="4" w:space="0" w:color="auto"/>
            </w:tcBorders>
            <w:shd w:val="clear" w:color="auto" w:fill="B2A1C7"/>
            <w:vAlign w:val="center"/>
          </w:tcPr>
          <w:p w:rsidR="00295566" w:rsidRPr="008B53A9" w:rsidRDefault="00295566" w:rsidP="00253374">
            <w:pPr>
              <w:pStyle w:val="Tabulka"/>
              <w:keepNext/>
              <w:keepLines/>
              <w:rPr>
                <w:rFonts w:cs="Calibri"/>
                <w:b/>
                <w:lang w:val="cs-CZ" w:eastAsia="cs-CZ"/>
              </w:rPr>
            </w:pPr>
            <w:r w:rsidRPr="008B53A9">
              <w:rPr>
                <w:rFonts w:cs="Calibri"/>
                <w:b/>
                <w:lang w:val="cs-CZ" w:eastAsia="cs-CZ"/>
              </w:rPr>
              <w:t xml:space="preserve">Program EU pro </w:t>
            </w:r>
            <w:r w:rsidR="00253374" w:rsidRPr="008B53A9">
              <w:rPr>
                <w:rFonts w:cs="Calibri"/>
                <w:b/>
                <w:lang w:val="cs-CZ" w:eastAsia="cs-CZ"/>
              </w:rPr>
              <w:t>zaměstnanost a sociální inovace</w:t>
            </w:r>
            <w:r w:rsidRPr="008B53A9">
              <w:rPr>
                <w:rFonts w:cs="Calibri"/>
                <w:b/>
                <w:lang w:val="cs-CZ" w:eastAsia="cs-CZ"/>
              </w:rPr>
              <w:t xml:space="preserve"> (</w:t>
            </w:r>
            <w:r w:rsidR="00253374" w:rsidRPr="008B53A9">
              <w:rPr>
                <w:rFonts w:cs="Calibri"/>
                <w:b/>
                <w:lang w:val="cs-CZ" w:eastAsia="cs-CZ"/>
              </w:rPr>
              <w:t>EaSI</w:t>
            </w:r>
            <w:r w:rsidRPr="008B53A9">
              <w:rPr>
                <w:rFonts w:cs="Calibri"/>
                <w:b/>
                <w:lang w:val="cs-CZ" w:eastAsia="cs-CZ"/>
              </w:rPr>
              <w:t>)</w:t>
            </w:r>
          </w:p>
        </w:tc>
        <w:tc>
          <w:tcPr>
            <w:tcW w:w="2324" w:type="dxa"/>
            <w:tcBorders>
              <w:left w:val="single" w:sz="4" w:space="0" w:color="auto"/>
              <w:bottom w:val="single" w:sz="4" w:space="0" w:color="000000"/>
              <w:right w:val="single" w:sz="4" w:space="0" w:color="auto"/>
            </w:tcBorders>
            <w:shd w:val="clear" w:color="auto" w:fill="B2A1C7"/>
            <w:vAlign w:val="center"/>
          </w:tcPr>
          <w:p w:rsidR="00295566" w:rsidRPr="008B53A9" w:rsidRDefault="00295566" w:rsidP="00146DC1">
            <w:pPr>
              <w:pStyle w:val="Tabulka"/>
              <w:keepNext/>
              <w:keepLines/>
              <w:rPr>
                <w:rFonts w:cs="Calibri"/>
                <w:b/>
                <w:lang w:val="cs-CZ" w:eastAsia="cs-CZ"/>
              </w:rPr>
            </w:pPr>
            <w:r w:rsidRPr="008B53A9">
              <w:rPr>
                <w:rFonts w:cs="Calibri"/>
                <w:b/>
                <w:lang w:val="cs-CZ" w:eastAsia="cs-CZ"/>
              </w:rPr>
              <w:t>Kreativní Evropa</w:t>
            </w:r>
          </w:p>
        </w:tc>
      </w:tr>
      <w:tr w:rsidR="00295566" w:rsidRPr="008B53A9">
        <w:trPr>
          <w:trHeight w:val="336"/>
        </w:trPr>
        <w:tc>
          <w:tcPr>
            <w:tcW w:w="0" w:type="auto"/>
            <w:vMerge w:val="restart"/>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Tematický cíl / investiční priorita</w:t>
            </w:r>
          </w:p>
        </w:tc>
        <w:tc>
          <w:tcPr>
            <w:tcW w:w="0" w:type="auto"/>
            <w:vMerge w:val="restart"/>
            <w:tcBorders>
              <w:right w:val="single" w:sz="4" w:space="0" w:color="auto"/>
            </w:tcBorders>
            <w:shd w:val="clear" w:color="auto" w:fill="auto"/>
            <w:vAlign w:val="center"/>
          </w:tcPr>
          <w:p w:rsidR="00295566" w:rsidRPr="008B53A9" w:rsidRDefault="00295566" w:rsidP="005E6F75">
            <w:pPr>
              <w:pStyle w:val="Tabulka"/>
              <w:jc w:val="left"/>
              <w:rPr>
                <w:rFonts w:cs="Calibri"/>
                <w:lang w:val="cs-CZ" w:eastAsia="cs-CZ"/>
              </w:rPr>
            </w:pPr>
            <w:r w:rsidRPr="008B53A9">
              <w:rPr>
                <w:rFonts w:cs="Calibri"/>
                <w:lang w:val="cs-CZ" w:eastAsia="cs-CZ"/>
              </w:rPr>
              <w:t>TC 3 / 3 a)</w:t>
            </w:r>
          </w:p>
          <w:p w:rsidR="00295566" w:rsidRPr="008B53A9" w:rsidRDefault="00295566" w:rsidP="005E6F75">
            <w:pPr>
              <w:pStyle w:val="Tabulka"/>
              <w:jc w:val="left"/>
              <w:rPr>
                <w:rFonts w:cs="Calibri"/>
                <w:lang w:val="cs-CZ" w:eastAsia="cs-CZ"/>
              </w:rPr>
            </w:pPr>
            <w:r w:rsidRPr="008B53A9">
              <w:rPr>
                <w:rFonts w:cs="Calibri"/>
                <w:lang w:val="cs-CZ" w:eastAsia="cs-CZ"/>
              </w:rPr>
              <w:t>TC 3 / 3 b)</w:t>
            </w:r>
          </w:p>
        </w:tc>
        <w:tc>
          <w:tcPr>
            <w:tcW w:w="0" w:type="auto"/>
            <w:vMerge w:val="restart"/>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263" w:type="dxa"/>
            <w:vMerge w:val="restart"/>
            <w:tcBorders>
              <w:top w:val="single" w:sz="4" w:space="0" w:color="000000"/>
              <w:left w:val="single"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263" w:type="dxa"/>
            <w:vMerge w:val="restart"/>
            <w:tcBorders>
              <w:top w:val="single" w:sz="4" w:space="0" w:color="000000"/>
              <w:left w:val="single"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382" w:type="dxa"/>
            <w:vMerge w:val="restart"/>
            <w:tcBorders>
              <w:top w:val="single" w:sz="4" w:space="0" w:color="000000"/>
              <w:left w:val="single" w:sz="4" w:space="0" w:color="auto"/>
              <w:right w:val="single" w:sz="4" w:space="0" w:color="auto"/>
              <w:tr2bl w:val="single" w:sz="4" w:space="0" w:color="auto"/>
            </w:tcBorders>
            <w:vAlign w:val="center"/>
          </w:tcPr>
          <w:p w:rsidR="00295566" w:rsidRPr="008B53A9" w:rsidRDefault="00295566" w:rsidP="00525611">
            <w:pPr>
              <w:pStyle w:val="Tabulka"/>
              <w:jc w:val="left"/>
              <w:rPr>
                <w:rFonts w:cs="Calibri"/>
                <w:lang w:val="cs-CZ" w:eastAsia="cs-CZ"/>
              </w:rPr>
            </w:pPr>
          </w:p>
        </w:tc>
        <w:tc>
          <w:tcPr>
            <w:tcW w:w="2324" w:type="dxa"/>
            <w:vMerge w:val="restart"/>
            <w:tcBorders>
              <w:top w:val="single" w:sz="4" w:space="0" w:color="000000"/>
              <w:left w:val="single" w:sz="4" w:space="0" w:color="auto"/>
              <w:right w:val="single" w:sz="4" w:space="0" w:color="auto"/>
              <w:tr2bl w:val="single" w:sz="4" w:space="0" w:color="auto"/>
            </w:tcBorders>
            <w:vAlign w:val="center"/>
          </w:tcPr>
          <w:p w:rsidR="00295566" w:rsidRPr="008B53A9" w:rsidRDefault="00295566" w:rsidP="00146DC1">
            <w:pPr>
              <w:pStyle w:val="Tabulka"/>
              <w:jc w:val="left"/>
              <w:rPr>
                <w:rFonts w:cs="Calibri"/>
                <w:lang w:val="cs-CZ" w:eastAsia="cs-CZ"/>
              </w:rPr>
            </w:pPr>
          </w:p>
        </w:tc>
      </w:tr>
      <w:tr w:rsidR="00295566" w:rsidRPr="008B53A9">
        <w:trPr>
          <w:trHeight w:val="396"/>
        </w:trPr>
        <w:tc>
          <w:tcPr>
            <w:tcW w:w="0" w:type="auto"/>
            <w:vMerge/>
            <w:tcBorders>
              <w:bottom w:val="dotted" w:sz="4" w:space="0" w:color="auto"/>
            </w:tcBorders>
            <w:shd w:val="clear" w:color="auto" w:fill="E5DFEC"/>
            <w:vAlign w:val="center"/>
          </w:tcPr>
          <w:p w:rsidR="00295566" w:rsidRPr="008B53A9" w:rsidRDefault="00295566" w:rsidP="00267430">
            <w:pPr>
              <w:pStyle w:val="Tabulka"/>
              <w:jc w:val="left"/>
              <w:rPr>
                <w:rFonts w:cs="Calibri"/>
                <w:lang w:val="cs-CZ" w:eastAsia="cs-CZ"/>
              </w:rPr>
            </w:pPr>
          </w:p>
        </w:tc>
        <w:tc>
          <w:tcPr>
            <w:tcW w:w="0" w:type="auto"/>
            <w:vMerge/>
            <w:tcBorders>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0" w:type="auto"/>
            <w:vMerge/>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263" w:type="dxa"/>
            <w:vMerge/>
            <w:tcBorders>
              <w:left w:val="single" w:sz="4" w:space="0" w:color="auto"/>
              <w:bottom w:val="dotted"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263" w:type="dxa"/>
            <w:vMerge/>
            <w:tcBorders>
              <w:left w:val="single" w:sz="4" w:space="0" w:color="auto"/>
              <w:bottom w:val="dotted"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382" w:type="dxa"/>
            <w:vMerge/>
            <w:tcBorders>
              <w:left w:val="single" w:sz="4" w:space="0" w:color="auto"/>
              <w:bottom w:val="dotted" w:sz="4" w:space="0" w:color="auto"/>
              <w:right w:val="single" w:sz="4" w:space="0" w:color="auto"/>
              <w:tr2bl w:val="single" w:sz="4" w:space="0" w:color="auto"/>
            </w:tcBorders>
            <w:vAlign w:val="center"/>
          </w:tcPr>
          <w:p w:rsidR="00295566" w:rsidRPr="008B53A9" w:rsidRDefault="00295566" w:rsidP="00525611">
            <w:pPr>
              <w:pStyle w:val="Tabulka"/>
              <w:jc w:val="left"/>
              <w:rPr>
                <w:rFonts w:cs="Calibri"/>
                <w:lang w:val="cs-CZ" w:eastAsia="cs-CZ"/>
              </w:rPr>
            </w:pPr>
          </w:p>
        </w:tc>
        <w:tc>
          <w:tcPr>
            <w:tcW w:w="2324" w:type="dxa"/>
            <w:vMerge/>
            <w:tcBorders>
              <w:left w:val="single" w:sz="4" w:space="0" w:color="auto"/>
              <w:bottom w:val="dotted" w:sz="4" w:space="0" w:color="auto"/>
              <w:right w:val="single" w:sz="4" w:space="0" w:color="auto"/>
              <w:tr2bl w:val="single" w:sz="4" w:space="0" w:color="auto"/>
            </w:tcBorders>
            <w:vAlign w:val="center"/>
          </w:tcPr>
          <w:p w:rsidR="00295566" w:rsidRPr="008B53A9" w:rsidRDefault="00295566" w:rsidP="00146DC1">
            <w:pPr>
              <w:pStyle w:val="Tabulka"/>
              <w:jc w:val="left"/>
              <w:rPr>
                <w:rFonts w:cs="Calibri"/>
                <w:lang w:val="cs-CZ" w:eastAsia="cs-CZ"/>
              </w:rPr>
            </w:pPr>
          </w:p>
        </w:tc>
      </w:tr>
      <w:tr w:rsidR="00295566" w:rsidRPr="008B53A9">
        <w:trPr>
          <w:trHeight w:val="212"/>
        </w:trPr>
        <w:tc>
          <w:tcPr>
            <w:tcW w:w="0" w:type="auto"/>
            <w:tcBorders>
              <w:top w:val="dotted" w:sz="4" w:space="0" w:color="auto"/>
              <w:bottom w:val="dotted" w:sz="4" w:space="0" w:color="auto"/>
            </w:tcBorders>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Prioritní osa</w:t>
            </w:r>
          </w:p>
        </w:tc>
        <w:tc>
          <w:tcPr>
            <w:tcW w:w="0" w:type="auto"/>
            <w:tcBorders>
              <w:top w:val="dotted"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PO 2: Rozvoj podnikání a konkurenceschopnosti malých a středních podniků</w:t>
            </w:r>
          </w:p>
        </w:tc>
        <w:tc>
          <w:tcPr>
            <w:tcW w:w="0" w:type="auto"/>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263" w:type="dxa"/>
            <w:tcBorders>
              <w:top w:val="dotted" w:sz="4" w:space="0" w:color="auto"/>
              <w:left w:val="single"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Priorita 2) Vedoucí postavení v průmyslu</w:t>
            </w:r>
          </w:p>
        </w:tc>
        <w:tc>
          <w:tcPr>
            <w:tcW w:w="2263" w:type="dxa"/>
            <w:tcBorders>
              <w:top w:val="dotted" w:sz="4" w:space="0" w:color="auto"/>
              <w:left w:val="single" w:sz="4" w:space="0" w:color="auto"/>
              <w:bottom w:val="dotted"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382" w:type="dxa"/>
            <w:tcBorders>
              <w:top w:val="dotted" w:sz="4" w:space="0" w:color="auto"/>
              <w:left w:val="single" w:sz="4" w:space="0" w:color="auto"/>
              <w:bottom w:val="dotted" w:sz="4" w:space="0" w:color="auto"/>
              <w:right w:val="single" w:sz="4" w:space="0" w:color="auto"/>
              <w:tr2bl w:val="nil"/>
            </w:tcBorders>
            <w:vAlign w:val="center"/>
          </w:tcPr>
          <w:p w:rsidR="00295566" w:rsidRPr="008B53A9" w:rsidRDefault="00295566" w:rsidP="00525611">
            <w:pPr>
              <w:pStyle w:val="Tabulka"/>
              <w:jc w:val="left"/>
              <w:rPr>
                <w:rFonts w:cs="Calibri"/>
                <w:lang w:val="cs-CZ" w:eastAsia="cs-CZ"/>
              </w:rPr>
            </w:pPr>
            <w:r w:rsidRPr="008B53A9">
              <w:rPr>
                <w:rFonts w:cs="Calibri"/>
                <w:lang w:val="cs-CZ" w:eastAsia="cs-CZ"/>
              </w:rPr>
              <w:t>Osa Mikrofinancování a sociální podnikání</w:t>
            </w:r>
          </w:p>
        </w:tc>
        <w:tc>
          <w:tcPr>
            <w:tcW w:w="2324" w:type="dxa"/>
            <w:tcBorders>
              <w:top w:val="dotted" w:sz="4" w:space="0" w:color="auto"/>
              <w:left w:val="single" w:sz="4" w:space="0" w:color="auto"/>
              <w:bottom w:val="dotted" w:sz="4" w:space="0" w:color="auto"/>
              <w:right w:val="single" w:sz="4" w:space="0" w:color="auto"/>
              <w:tr2bl w:val="nil"/>
            </w:tcBorders>
            <w:vAlign w:val="center"/>
          </w:tcPr>
          <w:p w:rsidR="00295566" w:rsidRPr="008B53A9" w:rsidRDefault="00295566" w:rsidP="00146DC1">
            <w:pPr>
              <w:pStyle w:val="Tabulka"/>
              <w:jc w:val="left"/>
              <w:rPr>
                <w:rFonts w:cs="Calibri"/>
                <w:lang w:val="cs-CZ" w:eastAsia="cs-CZ"/>
              </w:rPr>
            </w:pPr>
            <w:r w:rsidRPr="008B53A9">
              <w:rPr>
                <w:rFonts w:cs="Calibri"/>
                <w:lang w:val="cs-CZ" w:eastAsia="cs-CZ"/>
              </w:rPr>
              <w:t>Meziodvětvová složka</w:t>
            </w:r>
          </w:p>
        </w:tc>
      </w:tr>
      <w:tr w:rsidR="00295566" w:rsidRPr="008B53A9">
        <w:trPr>
          <w:trHeight w:val="2355"/>
        </w:trPr>
        <w:tc>
          <w:tcPr>
            <w:tcW w:w="0" w:type="auto"/>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Specifický cíl</w:t>
            </w:r>
          </w:p>
        </w:tc>
        <w:tc>
          <w:tcPr>
            <w:tcW w:w="0" w:type="auto"/>
            <w:tcBorders>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 xml:space="preserve">SC 2.1: </w:t>
            </w:r>
            <w:r w:rsidR="00CE3F25" w:rsidRPr="008B53A9">
              <w:rPr>
                <w:rFonts w:cs="Calibri"/>
                <w:lang w:val="cs-CZ" w:eastAsia="cs-CZ"/>
              </w:rPr>
              <w:t>Zvýšit konkurenceschopnost začínajících a rozvojových MSP</w:t>
            </w:r>
          </w:p>
          <w:p w:rsidR="00295566" w:rsidRPr="008B53A9" w:rsidRDefault="00295566" w:rsidP="00267430">
            <w:pPr>
              <w:pStyle w:val="Tabulka"/>
              <w:jc w:val="left"/>
              <w:rPr>
                <w:rFonts w:cs="Calibri"/>
                <w:lang w:val="cs-CZ" w:eastAsia="cs-CZ"/>
              </w:rPr>
            </w:pPr>
            <w:r w:rsidRPr="008B53A9">
              <w:rPr>
                <w:rFonts w:cs="Calibri"/>
                <w:lang w:val="cs-CZ" w:eastAsia="cs-CZ"/>
              </w:rPr>
              <w:t>SC 2.2: Zvýšit internacionalizaci malých a středních podniků</w:t>
            </w:r>
          </w:p>
        </w:tc>
        <w:tc>
          <w:tcPr>
            <w:tcW w:w="0" w:type="auto"/>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263" w:type="dxa"/>
            <w:tcBorders>
              <w:left w:val="single"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2.2 Přístup k rizikovému financování</w:t>
            </w:r>
          </w:p>
        </w:tc>
        <w:tc>
          <w:tcPr>
            <w:tcW w:w="2263" w:type="dxa"/>
            <w:tcBorders>
              <w:left w:val="single"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SC c) zlepšit přístup k financím pro malé a střední podniky ve formě vlastního kapitálu a dluhů</w:t>
            </w:r>
          </w:p>
          <w:p w:rsidR="00295566" w:rsidRPr="008B53A9" w:rsidRDefault="00295566" w:rsidP="00267430">
            <w:pPr>
              <w:pStyle w:val="Tabulka"/>
              <w:jc w:val="left"/>
              <w:rPr>
                <w:rFonts w:cs="Calibri"/>
                <w:lang w:val="cs-CZ" w:eastAsia="cs-CZ"/>
              </w:rPr>
            </w:pPr>
            <w:r w:rsidRPr="008B53A9">
              <w:rPr>
                <w:rFonts w:cs="Calibri"/>
                <w:lang w:val="cs-CZ" w:eastAsia="cs-CZ"/>
              </w:rPr>
              <w:t>SC d) zlepšit přístup firem na trhy Unie a celosvětově</w:t>
            </w:r>
          </w:p>
        </w:tc>
        <w:tc>
          <w:tcPr>
            <w:tcW w:w="2382" w:type="dxa"/>
            <w:tcBorders>
              <w:left w:val="single" w:sz="4" w:space="0" w:color="auto"/>
              <w:right w:val="single" w:sz="4" w:space="0" w:color="auto"/>
            </w:tcBorders>
            <w:vAlign w:val="center"/>
          </w:tcPr>
          <w:p w:rsidR="00295566" w:rsidRPr="008B53A9" w:rsidRDefault="00295566" w:rsidP="00525611">
            <w:pPr>
              <w:pStyle w:val="Tabulka"/>
              <w:jc w:val="left"/>
              <w:rPr>
                <w:rFonts w:cs="Calibri"/>
                <w:lang w:val="cs-CZ" w:eastAsia="cs-CZ"/>
              </w:rPr>
            </w:pPr>
            <w:r w:rsidRPr="008B53A9">
              <w:rPr>
                <w:rFonts w:cs="Calibri"/>
                <w:lang w:val="cs-CZ" w:eastAsia="cs-CZ"/>
              </w:rPr>
              <w:t>SC 1. b) Zvýšit přístup a dostupnost mikrofinancování pro mikropodniky</w:t>
            </w:r>
          </w:p>
        </w:tc>
        <w:tc>
          <w:tcPr>
            <w:tcW w:w="2324" w:type="dxa"/>
            <w:tcBorders>
              <w:left w:val="single" w:sz="4" w:space="0" w:color="auto"/>
              <w:right w:val="single" w:sz="4" w:space="0" w:color="auto"/>
            </w:tcBorders>
            <w:vAlign w:val="center"/>
          </w:tcPr>
          <w:p w:rsidR="00295566" w:rsidRPr="008B53A9" w:rsidRDefault="00295566" w:rsidP="00146DC1">
            <w:pPr>
              <w:pStyle w:val="Tabulka"/>
              <w:jc w:val="left"/>
              <w:rPr>
                <w:rFonts w:cs="Calibri"/>
                <w:lang w:val="cs-CZ" w:eastAsia="cs-CZ"/>
              </w:rPr>
            </w:pPr>
            <w:r w:rsidRPr="008B53A9">
              <w:rPr>
                <w:rFonts w:cs="Calibri"/>
                <w:lang w:val="cs-CZ" w:eastAsia="cs-CZ"/>
              </w:rPr>
              <w:t>Záruční nástroj pro kulturní a kreativní odvětví</w:t>
            </w:r>
          </w:p>
        </w:tc>
      </w:tr>
      <w:tr w:rsidR="00295566" w:rsidRPr="008B53A9">
        <w:tc>
          <w:tcPr>
            <w:tcW w:w="0" w:type="auto"/>
            <w:tcBorders>
              <w:top w:val="dotted" w:sz="4" w:space="0" w:color="auto"/>
            </w:tcBorders>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Věcná specifikace (zaměření, aktivity)</w:t>
            </w:r>
          </w:p>
        </w:tc>
        <w:tc>
          <w:tcPr>
            <w:tcW w:w="0" w:type="auto"/>
            <w:tcBorders>
              <w:top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 realizace podnikatelských záměrů nových a rozvinutých MSP, včetně mikropodniků</w:t>
            </w:r>
          </w:p>
          <w:p w:rsidR="00295566" w:rsidRPr="008B53A9" w:rsidRDefault="00295566" w:rsidP="00267430">
            <w:pPr>
              <w:pStyle w:val="Tabulka"/>
              <w:jc w:val="left"/>
              <w:rPr>
                <w:rFonts w:cs="Calibri"/>
                <w:lang w:val="cs-CZ" w:eastAsia="cs-CZ"/>
              </w:rPr>
            </w:pPr>
            <w:r w:rsidRPr="008B53A9">
              <w:rPr>
                <w:rFonts w:cs="Calibri"/>
                <w:lang w:val="cs-CZ" w:eastAsia="cs-CZ"/>
              </w:rPr>
              <w:t>- internacionalizace MSP</w:t>
            </w:r>
          </w:p>
        </w:tc>
        <w:tc>
          <w:tcPr>
            <w:tcW w:w="0" w:type="auto"/>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263" w:type="dxa"/>
            <w:tcBorders>
              <w:top w:val="dotted" w:sz="4" w:space="0" w:color="auto"/>
              <w:left w:val="single" w:sz="4" w:space="0" w:color="auto"/>
              <w:right w:val="single" w:sz="4" w:space="0" w:color="auto"/>
            </w:tcBorders>
            <w:shd w:val="clear" w:color="auto" w:fill="auto"/>
            <w:vAlign w:val="center"/>
          </w:tcPr>
          <w:p w:rsidR="00295566" w:rsidRPr="008B53A9" w:rsidRDefault="00295566" w:rsidP="0017225A">
            <w:pPr>
              <w:pStyle w:val="Tabulka"/>
              <w:jc w:val="left"/>
              <w:rPr>
                <w:rFonts w:cs="Calibri"/>
                <w:lang w:val="cs-CZ" w:eastAsia="cs-CZ"/>
              </w:rPr>
            </w:pPr>
            <w:r w:rsidRPr="008B53A9">
              <w:rPr>
                <w:rFonts w:cs="Calibri"/>
                <w:lang w:val="cs-CZ" w:eastAsia="cs-CZ"/>
              </w:rPr>
              <w:t>usnadnit přístup k rizikovému kapitálu (podniky v zárodečném stadiu i běžící podniky)</w:t>
            </w:r>
          </w:p>
        </w:tc>
        <w:tc>
          <w:tcPr>
            <w:tcW w:w="2263" w:type="dxa"/>
            <w:tcBorders>
              <w:top w:val="dotted" w:sz="4" w:space="0" w:color="auto"/>
              <w:left w:val="single"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 zlepšení přístupu MSP (především časných MSP) k financování – v kombinaci a jako doplněk podobných opatření na úrovni členských států EU</w:t>
            </w:r>
          </w:p>
          <w:p w:rsidR="00295566" w:rsidRPr="008B53A9" w:rsidRDefault="00295566" w:rsidP="0053585B">
            <w:pPr>
              <w:pStyle w:val="Tabulka"/>
              <w:jc w:val="left"/>
              <w:rPr>
                <w:rFonts w:cs="Calibri"/>
                <w:lang w:val="cs-CZ" w:eastAsia="cs-CZ"/>
              </w:rPr>
            </w:pPr>
            <w:r w:rsidRPr="008B53A9">
              <w:rPr>
                <w:rFonts w:cs="Calibri"/>
                <w:lang w:val="cs-CZ" w:eastAsia="cs-CZ"/>
              </w:rPr>
              <w:lastRenderedPageBreak/>
              <w:t xml:space="preserve">- podpora opatření ke zlepšení přístupu MSP na jednotný trh, včetně poskytování informací a zlepšení informovanosti </w:t>
            </w:r>
          </w:p>
          <w:p w:rsidR="00295566" w:rsidRPr="008B53A9" w:rsidRDefault="00295566" w:rsidP="0053585B">
            <w:pPr>
              <w:pStyle w:val="Tabulka"/>
              <w:jc w:val="left"/>
              <w:rPr>
                <w:rFonts w:cs="Calibri"/>
                <w:lang w:val="cs-CZ" w:eastAsia="cs-CZ"/>
              </w:rPr>
            </w:pPr>
            <w:r w:rsidRPr="008B53A9">
              <w:rPr>
                <w:rFonts w:cs="Calibri"/>
                <w:lang w:val="cs-CZ" w:eastAsia="cs-CZ"/>
              </w:rPr>
              <w:t>- podpora konkrétních opatření zaměřených na usnadnění přístupu MSP na trhy mimo Unii a na posilování existujících služeb na těchto trzích.</w:t>
            </w:r>
          </w:p>
        </w:tc>
        <w:tc>
          <w:tcPr>
            <w:tcW w:w="2382" w:type="dxa"/>
            <w:tcBorders>
              <w:top w:val="dotted" w:sz="4" w:space="0" w:color="auto"/>
              <w:left w:val="single" w:sz="4" w:space="0" w:color="auto"/>
              <w:right w:val="single" w:sz="4" w:space="0" w:color="auto"/>
            </w:tcBorders>
            <w:vAlign w:val="center"/>
          </w:tcPr>
          <w:p w:rsidR="00295566" w:rsidRPr="008B53A9" w:rsidRDefault="00295566" w:rsidP="00B121AC">
            <w:pPr>
              <w:pStyle w:val="Tabulka"/>
              <w:jc w:val="left"/>
              <w:rPr>
                <w:rFonts w:cs="Calibri"/>
                <w:lang w:val="cs-CZ" w:eastAsia="cs-CZ"/>
              </w:rPr>
            </w:pPr>
            <w:r w:rsidRPr="008B53A9">
              <w:rPr>
                <w:rFonts w:cs="Calibri"/>
                <w:lang w:val="cs-CZ" w:eastAsia="cs-CZ"/>
              </w:rPr>
              <w:lastRenderedPageBreak/>
              <w:t>zvýšit přístup k mikrofinancování pro mikropodniky</w:t>
            </w:r>
          </w:p>
        </w:tc>
        <w:tc>
          <w:tcPr>
            <w:tcW w:w="2324" w:type="dxa"/>
            <w:tcBorders>
              <w:top w:val="dotted" w:sz="4" w:space="0" w:color="auto"/>
              <w:left w:val="single" w:sz="4" w:space="0" w:color="auto"/>
              <w:right w:val="single" w:sz="4" w:space="0" w:color="auto"/>
            </w:tcBorders>
            <w:vAlign w:val="center"/>
          </w:tcPr>
          <w:p w:rsidR="00295566" w:rsidRPr="008B53A9" w:rsidRDefault="00295566" w:rsidP="00146DC1">
            <w:pPr>
              <w:pStyle w:val="Tabulka"/>
              <w:jc w:val="left"/>
              <w:rPr>
                <w:rFonts w:cs="Calibri"/>
                <w:lang w:val="cs-CZ" w:eastAsia="cs-CZ"/>
              </w:rPr>
            </w:pPr>
            <w:r w:rsidRPr="008B53A9">
              <w:rPr>
                <w:rFonts w:cs="Calibri"/>
                <w:lang w:val="cs-CZ" w:eastAsia="cs-CZ"/>
              </w:rPr>
              <w:t>usnadňovat přístup k financování MSP, mikroorganizacím a malým a středním organizacím napříč kulturními a kreativními odvětvími</w:t>
            </w:r>
          </w:p>
        </w:tc>
      </w:tr>
      <w:tr w:rsidR="00295566" w:rsidRPr="008B53A9">
        <w:tc>
          <w:tcPr>
            <w:tcW w:w="0" w:type="auto"/>
            <w:shd w:val="clear" w:color="auto" w:fill="E5DFE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lastRenderedPageBreak/>
              <w:t>Implementační prvky</w:t>
            </w:r>
          </w:p>
        </w:tc>
        <w:tc>
          <w:tcPr>
            <w:tcW w:w="0" w:type="auto"/>
            <w:tcBorders>
              <w:bottom w:val="single" w:sz="4" w:space="0" w:color="auto"/>
            </w:tcBorders>
            <w:shd w:val="clear" w:color="auto" w:fill="auto"/>
            <w:vAlign w:val="center"/>
          </w:tcPr>
          <w:p w:rsidR="00295566" w:rsidRPr="008B53A9" w:rsidRDefault="00295566" w:rsidP="0053585B">
            <w:pPr>
              <w:pStyle w:val="Tabulka"/>
              <w:jc w:val="left"/>
              <w:rPr>
                <w:rFonts w:cs="Calibri"/>
                <w:lang w:val="cs-CZ" w:eastAsia="cs-CZ"/>
              </w:rPr>
            </w:pPr>
            <w:r w:rsidRPr="008B53A9">
              <w:rPr>
                <w:rFonts w:cs="Calibri"/>
                <w:lang w:val="cs-CZ" w:eastAsia="cs-CZ"/>
              </w:rPr>
              <w:t>Typy příjemců: Podnikatelské subjekty (malé a střední podniky), Agentura pro podporu podnikání a investic CzechInvest, Česká agentura na podporu obchodu CzechTrade.</w:t>
            </w:r>
          </w:p>
          <w:p w:rsidR="00295566" w:rsidRPr="008B53A9" w:rsidRDefault="00295566" w:rsidP="002B15A3">
            <w:pPr>
              <w:pStyle w:val="Tabulka"/>
              <w:jc w:val="left"/>
              <w:rPr>
                <w:rFonts w:cs="Calibri"/>
                <w:lang w:val="cs-CZ" w:eastAsia="cs-CZ"/>
              </w:rPr>
            </w:pPr>
            <w:r w:rsidRPr="008B53A9">
              <w:rPr>
                <w:rFonts w:cs="Calibri"/>
                <w:lang w:val="cs-CZ" w:eastAsia="cs-CZ"/>
              </w:rPr>
              <w:t>Cílové území: Území České republiky, mimo území hl. m. Prahy.</w:t>
            </w:r>
          </w:p>
        </w:tc>
        <w:tc>
          <w:tcPr>
            <w:tcW w:w="0" w:type="auto"/>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263" w:type="dxa"/>
            <w:tcBorders>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Typy příjemců: Podnikatelské subjekty</w:t>
            </w:r>
          </w:p>
          <w:p w:rsidR="00295566" w:rsidRPr="008B53A9" w:rsidRDefault="00295566" w:rsidP="00267430">
            <w:pPr>
              <w:pStyle w:val="Tabulka"/>
              <w:jc w:val="left"/>
              <w:rPr>
                <w:rFonts w:cs="Calibri"/>
                <w:lang w:val="cs-CZ" w:eastAsia="cs-CZ"/>
              </w:rPr>
            </w:pPr>
            <w:r w:rsidRPr="008B53A9">
              <w:rPr>
                <w:rFonts w:cs="Calibri"/>
                <w:lang w:val="cs-CZ" w:eastAsia="cs-CZ"/>
              </w:rPr>
              <w:t>Cílové území: Území České republiky</w:t>
            </w:r>
          </w:p>
        </w:tc>
        <w:tc>
          <w:tcPr>
            <w:tcW w:w="2263" w:type="dxa"/>
            <w:tcBorders>
              <w:left w:val="single"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Typy příjemců: Podnikatelské subjekty</w:t>
            </w:r>
          </w:p>
          <w:p w:rsidR="00295566" w:rsidRPr="008B53A9" w:rsidRDefault="00295566" w:rsidP="00267430">
            <w:pPr>
              <w:pStyle w:val="Tabulka"/>
              <w:jc w:val="left"/>
              <w:rPr>
                <w:rFonts w:cs="Calibri"/>
                <w:lang w:val="cs-CZ" w:eastAsia="cs-CZ"/>
              </w:rPr>
            </w:pPr>
            <w:r w:rsidRPr="008B53A9">
              <w:rPr>
                <w:rFonts w:cs="Calibri"/>
                <w:lang w:val="cs-CZ" w:eastAsia="cs-CZ"/>
              </w:rPr>
              <w:t>Cílové území: Území České republiky</w:t>
            </w:r>
          </w:p>
        </w:tc>
        <w:tc>
          <w:tcPr>
            <w:tcW w:w="2382" w:type="dxa"/>
            <w:tcBorders>
              <w:left w:val="single" w:sz="4" w:space="0" w:color="auto"/>
              <w:right w:val="single" w:sz="4" w:space="0" w:color="auto"/>
            </w:tcBorders>
            <w:vAlign w:val="center"/>
          </w:tcPr>
          <w:p w:rsidR="00295566" w:rsidRPr="008B53A9" w:rsidRDefault="00295566" w:rsidP="00525611">
            <w:pPr>
              <w:pStyle w:val="Tabulka"/>
              <w:jc w:val="left"/>
              <w:rPr>
                <w:rFonts w:cs="Calibri"/>
                <w:lang w:val="cs-CZ" w:eastAsia="cs-CZ"/>
              </w:rPr>
            </w:pPr>
          </w:p>
        </w:tc>
        <w:tc>
          <w:tcPr>
            <w:tcW w:w="2324" w:type="dxa"/>
            <w:tcBorders>
              <w:left w:val="single" w:sz="4" w:space="0" w:color="auto"/>
              <w:right w:val="single" w:sz="4" w:space="0" w:color="auto"/>
            </w:tcBorders>
            <w:vAlign w:val="center"/>
          </w:tcPr>
          <w:p w:rsidR="00295566" w:rsidRPr="008B53A9" w:rsidRDefault="00295566" w:rsidP="00146DC1">
            <w:pPr>
              <w:pStyle w:val="Tabulka"/>
              <w:jc w:val="left"/>
              <w:rPr>
                <w:rFonts w:cs="Calibri"/>
                <w:lang w:val="cs-CZ" w:eastAsia="cs-CZ"/>
              </w:rPr>
            </w:pPr>
          </w:p>
        </w:tc>
      </w:tr>
      <w:tr w:rsidR="00530742" w:rsidRPr="008B53A9">
        <w:tc>
          <w:tcPr>
            <w:tcW w:w="0" w:type="auto"/>
            <w:shd w:val="clear" w:color="auto" w:fill="E5DFEC"/>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t>Synergie/komplementarita</w:t>
            </w:r>
          </w:p>
        </w:tc>
        <w:tc>
          <w:tcPr>
            <w:tcW w:w="0" w:type="auto"/>
            <w:tcBorders>
              <w:tr2bl w:val="single" w:sz="4" w:space="0" w:color="auto"/>
            </w:tcBorders>
            <w:shd w:val="clear" w:color="auto" w:fill="auto"/>
            <w:vAlign w:val="center"/>
          </w:tcPr>
          <w:p w:rsidR="00530742" w:rsidRPr="008B53A9" w:rsidRDefault="00530742" w:rsidP="0053585B">
            <w:pPr>
              <w:pStyle w:val="Tabulka"/>
              <w:jc w:val="left"/>
              <w:rPr>
                <w:rFonts w:cs="Calibri"/>
                <w:lang w:val="cs-CZ" w:eastAsia="cs-CZ"/>
              </w:rPr>
            </w:pPr>
          </w:p>
        </w:tc>
        <w:tc>
          <w:tcPr>
            <w:tcW w:w="0" w:type="auto"/>
            <w:tcBorders>
              <w:top w:val="nil"/>
              <w:bottom w:val="nil"/>
            </w:tcBorders>
            <w:shd w:val="clear" w:color="auto" w:fill="auto"/>
            <w:vAlign w:val="center"/>
          </w:tcPr>
          <w:p w:rsidR="00530742" w:rsidRPr="008B53A9" w:rsidRDefault="00530742" w:rsidP="00267430">
            <w:pPr>
              <w:pStyle w:val="Tabulka"/>
              <w:jc w:val="left"/>
              <w:rPr>
                <w:rFonts w:cs="Calibri"/>
                <w:sz w:val="6"/>
                <w:szCs w:val="6"/>
                <w:lang w:val="cs-CZ" w:eastAsia="cs-CZ"/>
              </w:rPr>
            </w:pPr>
          </w:p>
        </w:tc>
        <w:tc>
          <w:tcPr>
            <w:tcW w:w="2263" w:type="dxa"/>
            <w:tcBorders>
              <w:right w:val="single" w:sz="4" w:space="0" w:color="auto"/>
            </w:tcBorders>
            <w:shd w:val="clear" w:color="auto" w:fill="auto"/>
            <w:vAlign w:val="center"/>
          </w:tcPr>
          <w:p w:rsidR="00530742" w:rsidRPr="008B53A9" w:rsidRDefault="00407D0C" w:rsidP="00267430">
            <w:pPr>
              <w:pStyle w:val="Tabulka"/>
              <w:jc w:val="left"/>
              <w:rPr>
                <w:rFonts w:cs="Calibri"/>
                <w:lang w:val="cs-CZ" w:eastAsia="cs-CZ"/>
              </w:rPr>
            </w:pPr>
            <w:r w:rsidRPr="008B53A9">
              <w:rPr>
                <w:rFonts w:cs="Calibri"/>
                <w:lang w:val="cs-CZ" w:eastAsia="cs-CZ"/>
              </w:rPr>
              <w:t>komplementarita</w:t>
            </w:r>
          </w:p>
        </w:tc>
        <w:tc>
          <w:tcPr>
            <w:tcW w:w="2263" w:type="dxa"/>
            <w:tcBorders>
              <w:left w:val="single" w:sz="4" w:space="0" w:color="auto"/>
              <w:right w:val="single" w:sz="4" w:space="0" w:color="auto"/>
            </w:tcBorders>
            <w:shd w:val="clear" w:color="auto" w:fill="auto"/>
            <w:vAlign w:val="center"/>
          </w:tcPr>
          <w:p w:rsidR="00530742" w:rsidRPr="008B53A9" w:rsidRDefault="00407D0C" w:rsidP="00267430">
            <w:pPr>
              <w:pStyle w:val="Tabulka"/>
              <w:jc w:val="left"/>
              <w:rPr>
                <w:rFonts w:cs="Calibri"/>
                <w:lang w:val="cs-CZ" w:eastAsia="cs-CZ"/>
              </w:rPr>
            </w:pPr>
            <w:r w:rsidRPr="008B53A9">
              <w:rPr>
                <w:rFonts w:cs="Calibri"/>
                <w:lang w:val="cs-CZ" w:eastAsia="cs-CZ"/>
              </w:rPr>
              <w:t>komplementarita</w:t>
            </w:r>
          </w:p>
        </w:tc>
        <w:tc>
          <w:tcPr>
            <w:tcW w:w="2382" w:type="dxa"/>
            <w:tcBorders>
              <w:left w:val="single" w:sz="4" w:space="0" w:color="auto"/>
              <w:right w:val="single" w:sz="4" w:space="0" w:color="auto"/>
            </w:tcBorders>
            <w:vAlign w:val="center"/>
          </w:tcPr>
          <w:p w:rsidR="00530742" w:rsidRPr="008B53A9" w:rsidRDefault="00407D0C" w:rsidP="00525611">
            <w:pPr>
              <w:pStyle w:val="Tabulka"/>
              <w:jc w:val="left"/>
              <w:rPr>
                <w:rFonts w:cs="Calibri"/>
                <w:lang w:val="cs-CZ" w:eastAsia="cs-CZ"/>
              </w:rPr>
            </w:pPr>
            <w:r w:rsidRPr="008B53A9">
              <w:rPr>
                <w:rFonts w:cs="Calibri"/>
                <w:lang w:val="cs-CZ" w:eastAsia="cs-CZ"/>
              </w:rPr>
              <w:t>komplementarita</w:t>
            </w:r>
          </w:p>
        </w:tc>
        <w:tc>
          <w:tcPr>
            <w:tcW w:w="2324" w:type="dxa"/>
            <w:tcBorders>
              <w:left w:val="single" w:sz="4" w:space="0" w:color="auto"/>
              <w:right w:val="single" w:sz="4" w:space="0" w:color="auto"/>
            </w:tcBorders>
            <w:vAlign w:val="center"/>
          </w:tcPr>
          <w:p w:rsidR="00530742" w:rsidRPr="008B53A9" w:rsidRDefault="00407D0C" w:rsidP="00146DC1">
            <w:pPr>
              <w:pStyle w:val="Tabulka"/>
              <w:jc w:val="left"/>
              <w:rPr>
                <w:rFonts w:cs="Calibri"/>
                <w:lang w:val="cs-CZ" w:eastAsia="cs-CZ"/>
              </w:rPr>
            </w:pPr>
            <w:r w:rsidRPr="008B53A9">
              <w:rPr>
                <w:rFonts w:cs="Calibri"/>
                <w:lang w:val="cs-CZ" w:eastAsia="cs-CZ"/>
              </w:rPr>
              <w:t>komplementarita</w:t>
            </w:r>
          </w:p>
        </w:tc>
      </w:tr>
      <w:tr w:rsidR="004D34CD" w:rsidRPr="008B53A9">
        <w:tc>
          <w:tcPr>
            <w:tcW w:w="0" w:type="auto"/>
            <w:shd w:val="clear" w:color="auto" w:fill="E5DFEC"/>
            <w:vAlign w:val="center"/>
          </w:tcPr>
          <w:p w:rsidR="004D34CD" w:rsidRPr="008B53A9" w:rsidRDefault="004D34CD" w:rsidP="00267430">
            <w:pPr>
              <w:pStyle w:val="Tabulka"/>
              <w:jc w:val="left"/>
              <w:rPr>
                <w:rFonts w:cs="Calibri"/>
                <w:b/>
                <w:lang w:val="cs-CZ" w:eastAsia="cs-CZ"/>
              </w:rPr>
            </w:pPr>
            <w:r w:rsidRPr="008B53A9">
              <w:rPr>
                <w:rFonts w:cs="Calibri"/>
                <w:b/>
                <w:lang w:val="cs-CZ" w:eastAsia="cs-CZ"/>
              </w:rPr>
              <w:t>Mechanismus koordinace</w:t>
            </w:r>
          </w:p>
        </w:tc>
        <w:tc>
          <w:tcPr>
            <w:tcW w:w="0" w:type="auto"/>
            <w:gridSpan w:val="6"/>
            <w:tcBorders>
              <w:right w:val="single" w:sz="4" w:space="0" w:color="auto"/>
            </w:tcBorders>
            <w:shd w:val="clear" w:color="auto" w:fill="auto"/>
            <w:vAlign w:val="center"/>
          </w:tcPr>
          <w:p w:rsidR="004D34CD" w:rsidRPr="008B53A9" w:rsidRDefault="004D34CD" w:rsidP="004D34CD">
            <w:pPr>
              <w:pStyle w:val="Tabulka"/>
              <w:jc w:val="both"/>
              <w:rPr>
                <w:rFonts w:cs="Calibri"/>
                <w:lang w:val="cs-CZ" w:eastAsia="cs-CZ"/>
              </w:rPr>
            </w:pPr>
            <w:r w:rsidRPr="008B53A9">
              <w:rPr>
                <w:rFonts w:cs="Calibri"/>
                <w:lang w:val="cs-CZ" w:eastAsia="cs-CZ"/>
              </w:rPr>
              <w:t xml:space="preserve">V případě programů </w:t>
            </w:r>
            <w:r w:rsidR="0087102E" w:rsidRPr="008B53A9">
              <w:rPr>
                <w:rFonts w:cs="Calibri"/>
                <w:lang w:val="cs-CZ" w:eastAsia="cs-CZ"/>
              </w:rPr>
              <w:t>Horizont 2020</w:t>
            </w:r>
            <w:r w:rsidRPr="008B53A9">
              <w:rPr>
                <w:rFonts w:cs="Calibri"/>
                <w:lang w:val="cs-CZ" w:eastAsia="cs-CZ"/>
              </w:rPr>
              <w:t xml:space="preserve"> a COSME bude mechanismus koordinace bude institucionálně zajištěn prostřednictvím Technologického centra Akademie věd ČR – viz tabulka „Výzkum, vývoj a inovace“ výše. Mechanismem koordinace bude spolupráce při přípravě výzev a identifikace projektových záměrů formou konzultací s potenciálními žadateli.</w:t>
            </w:r>
          </w:p>
          <w:p w:rsidR="004D34CD" w:rsidRPr="008B53A9" w:rsidRDefault="004D34CD" w:rsidP="004D34CD">
            <w:pPr>
              <w:pStyle w:val="Tabulka"/>
              <w:jc w:val="both"/>
              <w:rPr>
                <w:rFonts w:cs="Calibri"/>
                <w:lang w:val="cs-CZ" w:eastAsia="cs-CZ"/>
              </w:rPr>
            </w:pPr>
          </w:p>
          <w:p w:rsidR="00636AE4" w:rsidRPr="008B53A9" w:rsidRDefault="00636AE4" w:rsidP="00310E56">
            <w:pPr>
              <w:pStyle w:val="Tabulka"/>
              <w:jc w:val="both"/>
              <w:rPr>
                <w:rFonts w:cs="Calibri"/>
                <w:lang w:val="cs-CZ" w:eastAsia="cs-CZ"/>
              </w:rPr>
            </w:pPr>
            <w:r w:rsidRPr="008B53A9">
              <w:rPr>
                <w:rFonts w:cs="Calibri"/>
                <w:lang w:val="cs-CZ" w:eastAsia="cs-CZ"/>
              </w:rPr>
              <w:t>Pokud jde o komunitární program EU Kreativní Evropa, mechanismus koordinace bude zajištěn prostřednictvím Ministerstva kultury a jím zřízených organizací, Institutu umění – Divadelního ústavu a Národního filmového archivu, které jsou sídlem Kanceláře Kreativní Evropa. Ministerstvo kultury bude spolupracovat při přípravě výzev a identifikaci projektových záměrů v OP PIK formou konzultací s potenciálními žadateli. Kancelář Kreativní Evropa poskytuje o programu Kreativní Evropa konzultace českým (především kulturním) organizacím a podněcuje tak jejich zájem o realizaci kulturních projektů. V rámci této činnosti bude Kancelář Kreativní Evropa informovat zájemce o možnostech realizovat jejich projekt také prostřednictvím OP PIK.</w:t>
            </w:r>
          </w:p>
        </w:tc>
      </w:tr>
    </w:tbl>
    <w:p w:rsidR="00D51A7B" w:rsidRPr="008B53A9" w:rsidRDefault="00D51A7B" w:rsidP="00D51A7B">
      <w:pPr>
        <w:pStyle w:val="Standardntext"/>
      </w:pPr>
    </w:p>
    <w:p w:rsidR="003A239A" w:rsidRPr="008B53A9" w:rsidRDefault="003A239A" w:rsidP="005D178C">
      <w:pPr>
        <w:pStyle w:val="Standardntext"/>
        <w:keepNext/>
        <w:keepLines/>
        <w:numPr>
          <w:ilvl w:val="0"/>
          <w:numId w:val="96"/>
        </w:numPr>
        <w:rPr>
          <w:b/>
        </w:rPr>
      </w:pPr>
      <w:r w:rsidRPr="008B53A9">
        <w:rPr>
          <w:b/>
        </w:rPr>
        <w:t>Energetika</w:t>
      </w:r>
    </w:p>
    <w:p w:rsidR="003A239A" w:rsidRPr="008B53A9" w:rsidRDefault="003A239A" w:rsidP="003A239A">
      <w:pPr>
        <w:pStyle w:val="Standardntext"/>
        <w:keepNext/>
        <w:keepLines/>
      </w:pPr>
      <w:r w:rsidRPr="008B53A9">
        <w:t xml:space="preserve">V oblasti energetiky vykazuje OP PIK vazby na </w:t>
      </w:r>
      <w:r w:rsidRPr="008B53A9">
        <w:rPr>
          <w:b/>
        </w:rPr>
        <w:t>Horizont 2020</w:t>
      </w:r>
      <w:r w:rsidRPr="008B53A9">
        <w:t xml:space="preserve">, kde jde zejména o snižování spotřeby energie, OZE, energetickou infrastrukturu, </w:t>
      </w:r>
      <w:r w:rsidRPr="008B53A9">
        <w:rPr>
          <w:bCs/>
        </w:rPr>
        <w:t>zavádění inovativních nízkouhlíkových technologií, včetně nízkouhlíkové dopravy či oblasti druhotných surovin</w:t>
      </w:r>
      <w:r w:rsidRPr="008B53A9">
        <w:t>.</w:t>
      </w:r>
    </w:p>
    <w:p w:rsidR="003A239A" w:rsidRPr="008B53A9" w:rsidRDefault="003A239A" w:rsidP="003A239A">
      <w:pPr>
        <w:pStyle w:val="Standardntext"/>
        <w:keepNext/>
        <w:keepLines/>
      </w:pPr>
      <w:r w:rsidRPr="008B53A9">
        <w:t>Z nástroje CEF lze financovat jen projekty, které byly zařazeny na seznam Projektů společného zájmu (PCI). V případě ČR jde o jeden konkrétní projekt. Potřeby samotné ČR jsou vzhledem k přenosové soustavě daleko širší a proto budou v rámci OP PIK podpořeny ostatní projekty, mimo tento PCI projekt.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3793"/>
        <w:gridCol w:w="222"/>
        <w:gridCol w:w="2966"/>
        <w:gridCol w:w="4507"/>
      </w:tblGrid>
      <w:tr w:rsidR="002E523E" w:rsidRPr="008B53A9">
        <w:trPr>
          <w:trHeight w:val="233"/>
        </w:trPr>
        <w:tc>
          <w:tcPr>
            <w:tcW w:w="0" w:type="auto"/>
            <w:shd w:val="clear" w:color="auto" w:fill="937BB1"/>
            <w:vAlign w:val="center"/>
          </w:tcPr>
          <w:p w:rsidR="002E523E" w:rsidRPr="008B53A9" w:rsidRDefault="002E523E" w:rsidP="00240F89">
            <w:pPr>
              <w:pStyle w:val="Tabulka"/>
              <w:jc w:val="left"/>
              <w:rPr>
                <w:rFonts w:cs="Calibri"/>
                <w:b/>
                <w:shd w:val="clear" w:color="auto" w:fill="B2A1C7"/>
                <w:lang w:val="cs-CZ" w:eastAsia="cs-CZ"/>
              </w:rPr>
            </w:pPr>
            <w:r w:rsidRPr="008B53A9">
              <w:rPr>
                <w:rFonts w:cs="Calibri"/>
                <w:b/>
                <w:color w:val="FFFFFF"/>
                <w:lang w:val="cs-CZ" w:eastAsia="cs-CZ"/>
              </w:rPr>
              <w:t>Energetika</w:t>
            </w:r>
          </w:p>
        </w:tc>
        <w:tc>
          <w:tcPr>
            <w:tcW w:w="0" w:type="auto"/>
            <w:tcBorders>
              <w:bottom w:val="single" w:sz="4" w:space="0" w:color="000000"/>
            </w:tcBorders>
            <w:shd w:val="clear" w:color="auto" w:fill="B2A1C7"/>
            <w:vAlign w:val="center"/>
          </w:tcPr>
          <w:p w:rsidR="002E523E" w:rsidRPr="008B53A9" w:rsidRDefault="002E523E" w:rsidP="00267430">
            <w:pPr>
              <w:pStyle w:val="Tabulka"/>
              <w:rPr>
                <w:rFonts w:cs="Calibri"/>
                <w:b/>
                <w:shd w:val="clear" w:color="auto" w:fill="B2A1C7"/>
                <w:lang w:val="cs-CZ" w:eastAsia="cs-CZ"/>
              </w:rPr>
            </w:pPr>
            <w:r w:rsidRPr="008B53A9">
              <w:rPr>
                <w:rFonts w:cs="Calibri"/>
                <w:b/>
                <w:shd w:val="clear" w:color="auto" w:fill="B2A1C7"/>
                <w:lang w:val="cs-CZ" w:eastAsia="cs-CZ"/>
              </w:rPr>
              <w:t>OP PIK</w:t>
            </w:r>
          </w:p>
        </w:tc>
        <w:tc>
          <w:tcPr>
            <w:tcW w:w="0" w:type="auto"/>
            <w:tcBorders>
              <w:top w:val="nil"/>
              <w:left w:val="single" w:sz="4" w:space="0" w:color="auto"/>
              <w:bottom w:val="nil"/>
              <w:right w:val="single" w:sz="4" w:space="0" w:color="auto"/>
            </w:tcBorders>
            <w:shd w:val="clear" w:color="auto" w:fill="auto"/>
          </w:tcPr>
          <w:p w:rsidR="002E523E" w:rsidRPr="008B53A9" w:rsidRDefault="002E523E" w:rsidP="00267430">
            <w:pPr>
              <w:pStyle w:val="Tabulka"/>
              <w:rPr>
                <w:rFonts w:cs="Calibri"/>
                <w:b/>
                <w:lang w:val="cs-CZ" w:eastAsia="cs-CZ"/>
              </w:rPr>
            </w:pPr>
          </w:p>
        </w:tc>
        <w:tc>
          <w:tcPr>
            <w:tcW w:w="0" w:type="auto"/>
            <w:tcBorders>
              <w:left w:val="single" w:sz="4" w:space="0" w:color="auto"/>
              <w:bottom w:val="single" w:sz="4" w:space="0" w:color="000000"/>
              <w:right w:val="single" w:sz="4" w:space="0" w:color="auto"/>
            </w:tcBorders>
            <w:shd w:val="clear" w:color="auto" w:fill="B2A1C7"/>
          </w:tcPr>
          <w:p w:rsidR="002E523E" w:rsidRPr="008B53A9" w:rsidRDefault="002E523E" w:rsidP="00267430">
            <w:pPr>
              <w:pStyle w:val="Tabulka"/>
              <w:rPr>
                <w:rFonts w:cs="Calibri"/>
                <w:b/>
                <w:lang w:val="cs-CZ" w:eastAsia="cs-CZ"/>
              </w:rPr>
            </w:pPr>
            <w:r w:rsidRPr="008B53A9">
              <w:rPr>
                <w:rFonts w:cs="Calibri"/>
                <w:b/>
                <w:lang w:val="cs-CZ" w:eastAsia="cs-CZ"/>
              </w:rPr>
              <w:t>Horizont 2020</w:t>
            </w:r>
          </w:p>
        </w:tc>
        <w:tc>
          <w:tcPr>
            <w:tcW w:w="0" w:type="auto"/>
            <w:tcBorders>
              <w:left w:val="single" w:sz="4" w:space="0" w:color="auto"/>
              <w:bottom w:val="single" w:sz="4" w:space="0" w:color="000000"/>
            </w:tcBorders>
            <w:shd w:val="clear" w:color="auto" w:fill="B2A1C7"/>
            <w:vAlign w:val="center"/>
          </w:tcPr>
          <w:p w:rsidR="002E523E" w:rsidRPr="008B53A9" w:rsidRDefault="002E523E" w:rsidP="00A22A08">
            <w:pPr>
              <w:pStyle w:val="Tabulka"/>
              <w:rPr>
                <w:rFonts w:cs="Calibri"/>
                <w:b/>
                <w:lang w:val="cs-CZ" w:eastAsia="cs-CZ"/>
              </w:rPr>
            </w:pPr>
            <w:r w:rsidRPr="008B53A9">
              <w:rPr>
                <w:rFonts w:cs="Calibri"/>
                <w:b/>
                <w:lang w:val="cs-CZ" w:eastAsia="cs-CZ"/>
              </w:rPr>
              <w:t>CEF</w:t>
            </w:r>
          </w:p>
        </w:tc>
      </w:tr>
      <w:tr w:rsidR="002E523E" w:rsidRPr="008B53A9">
        <w:trPr>
          <w:trHeight w:val="300"/>
        </w:trPr>
        <w:tc>
          <w:tcPr>
            <w:tcW w:w="0" w:type="auto"/>
            <w:vMerge w:val="restart"/>
            <w:shd w:val="clear" w:color="auto" w:fill="E5DFEC"/>
            <w:vAlign w:val="center"/>
          </w:tcPr>
          <w:p w:rsidR="002E523E" w:rsidRPr="008B53A9" w:rsidRDefault="002E523E" w:rsidP="00267430">
            <w:pPr>
              <w:pStyle w:val="Tabulka"/>
              <w:jc w:val="left"/>
              <w:rPr>
                <w:rFonts w:cs="Calibri"/>
                <w:b/>
                <w:lang w:val="cs-CZ" w:eastAsia="cs-CZ"/>
              </w:rPr>
            </w:pPr>
            <w:r w:rsidRPr="008B53A9">
              <w:rPr>
                <w:rFonts w:cs="Calibri"/>
                <w:b/>
                <w:lang w:val="cs-CZ" w:eastAsia="cs-CZ"/>
              </w:rPr>
              <w:t>Tematický cíl / investiční priorita</w:t>
            </w:r>
          </w:p>
        </w:tc>
        <w:tc>
          <w:tcPr>
            <w:tcW w:w="0" w:type="auto"/>
            <w:vMerge w:val="restart"/>
            <w:tcBorders>
              <w:right w:val="single" w:sz="4" w:space="0" w:color="auto"/>
            </w:tcBorders>
            <w:shd w:val="clear" w:color="auto" w:fill="auto"/>
            <w:vAlign w:val="center"/>
          </w:tcPr>
          <w:p w:rsidR="002E523E" w:rsidRPr="008B53A9" w:rsidRDefault="002E523E" w:rsidP="005E6F75">
            <w:pPr>
              <w:pStyle w:val="Tabulka"/>
              <w:jc w:val="left"/>
              <w:rPr>
                <w:rFonts w:cs="Calibri"/>
                <w:lang w:val="cs-CZ" w:eastAsia="cs-CZ"/>
              </w:rPr>
            </w:pPr>
            <w:r w:rsidRPr="008B53A9">
              <w:rPr>
                <w:rFonts w:cs="Calibri"/>
                <w:lang w:val="cs-CZ" w:eastAsia="cs-CZ"/>
              </w:rPr>
              <w:t>TC 4 / 4 a)</w:t>
            </w:r>
          </w:p>
          <w:p w:rsidR="002E523E" w:rsidRPr="008B53A9" w:rsidRDefault="002E523E" w:rsidP="005E6F75">
            <w:pPr>
              <w:pStyle w:val="Tabulka"/>
              <w:jc w:val="left"/>
              <w:rPr>
                <w:rFonts w:cs="Calibri"/>
                <w:lang w:val="cs-CZ" w:eastAsia="cs-CZ"/>
              </w:rPr>
            </w:pPr>
            <w:r w:rsidRPr="008B53A9">
              <w:rPr>
                <w:rFonts w:cs="Calibri"/>
                <w:lang w:val="cs-CZ" w:eastAsia="cs-CZ"/>
              </w:rPr>
              <w:t>TC 4 / 4 b)</w:t>
            </w:r>
          </w:p>
          <w:p w:rsidR="002E523E" w:rsidRPr="008B53A9" w:rsidRDefault="002E523E" w:rsidP="005E6F75">
            <w:pPr>
              <w:pStyle w:val="Tabulka"/>
              <w:jc w:val="left"/>
              <w:rPr>
                <w:rFonts w:cs="Calibri"/>
                <w:lang w:val="cs-CZ" w:eastAsia="cs-CZ"/>
              </w:rPr>
            </w:pPr>
            <w:r w:rsidRPr="008B53A9">
              <w:rPr>
                <w:rFonts w:cs="Calibri"/>
                <w:lang w:val="cs-CZ" w:eastAsia="cs-CZ"/>
              </w:rPr>
              <w:t>TC 4 / 4 d)</w:t>
            </w:r>
          </w:p>
          <w:p w:rsidR="002E523E" w:rsidRPr="008B53A9" w:rsidRDefault="002E523E" w:rsidP="008022FA">
            <w:pPr>
              <w:pStyle w:val="Tabulka"/>
              <w:jc w:val="left"/>
              <w:rPr>
                <w:rFonts w:cs="Calibri"/>
                <w:lang w:val="cs-CZ" w:eastAsia="cs-CZ"/>
              </w:rPr>
            </w:pPr>
            <w:r w:rsidRPr="008B53A9">
              <w:rPr>
                <w:rFonts w:cs="Calibri"/>
                <w:lang w:val="cs-CZ" w:eastAsia="cs-CZ"/>
              </w:rPr>
              <w:t>TC 4 / 4 f)</w:t>
            </w:r>
          </w:p>
          <w:p w:rsidR="002E523E" w:rsidRPr="008B53A9" w:rsidRDefault="002E523E" w:rsidP="008022FA">
            <w:pPr>
              <w:pStyle w:val="Tabulka"/>
              <w:jc w:val="left"/>
              <w:rPr>
                <w:rFonts w:cs="Calibri"/>
                <w:lang w:val="cs-CZ" w:eastAsia="cs-CZ"/>
              </w:rPr>
            </w:pPr>
            <w:r w:rsidRPr="008B53A9">
              <w:rPr>
                <w:rFonts w:cs="Calibri"/>
                <w:lang w:val="cs-CZ" w:eastAsia="cs-CZ"/>
              </w:rPr>
              <w:t>TC 7 / 7 e)</w:t>
            </w:r>
          </w:p>
        </w:tc>
        <w:tc>
          <w:tcPr>
            <w:tcW w:w="0" w:type="auto"/>
            <w:tcBorders>
              <w:top w:val="nil"/>
              <w:left w:val="single" w:sz="4" w:space="0" w:color="auto"/>
              <w:bottom w:val="nil"/>
              <w:right w:val="single" w:sz="4" w:space="0" w:color="auto"/>
            </w:tcBorders>
            <w:shd w:val="clear" w:color="auto" w:fill="auto"/>
          </w:tcPr>
          <w:p w:rsidR="002E523E" w:rsidRPr="008B53A9" w:rsidRDefault="002E523E" w:rsidP="00267430">
            <w:pPr>
              <w:pStyle w:val="Tabulka"/>
              <w:jc w:val="left"/>
              <w:rPr>
                <w:rFonts w:cs="Calibri"/>
                <w:lang w:val="cs-CZ" w:eastAsia="cs-CZ"/>
              </w:rPr>
            </w:pPr>
          </w:p>
        </w:tc>
        <w:tc>
          <w:tcPr>
            <w:tcW w:w="0" w:type="auto"/>
            <w:vMerge w:val="restart"/>
            <w:tcBorders>
              <w:top w:val="single" w:sz="4" w:space="0" w:color="000000"/>
              <w:left w:val="single" w:sz="4" w:space="0" w:color="auto"/>
              <w:right w:val="single" w:sz="4" w:space="0" w:color="auto"/>
              <w:tr2bl w:val="single" w:sz="4" w:space="0" w:color="auto"/>
            </w:tcBorders>
            <w:vAlign w:val="center"/>
          </w:tcPr>
          <w:p w:rsidR="002E523E" w:rsidRPr="008B53A9" w:rsidRDefault="002E523E" w:rsidP="00267430">
            <w:pPr>
              <w:pStyle w:val="Tabulka"/>
              <w:jc w:val="left"/>
              <w:rPr>
                <w:rFonts w:cs="Calibri"/>
                <w:lang w:val="cs-CZ" w:eastAsia="cs-CZ"/>
              </w:rPr>
            </w:pPr>
          </w:p>
        </w:tc>
        <w:tc>
          <w:tcPr>
            <w:tcW w:w="0" w:type="auto"/>
            <w:vMerge w:val="restart"/>
            <w:tcBorders>
              <w:top w:val="single" w:sz="4" w:space="0" w:color="000000"/>
              <w:left w:val="single" w:sz="4" w:space="0" w:color="auto"/>
              <w:tr2bl w:val="single" w:sz="4" w:space="0" w:color="auto"/>
            </w:tcBorders>
            <w:vAlign w:val="center"/>
          </w:tcPr>
          <w:p w:rsidR="002E523E" w:rsidRPr="008B53A9" w:rsidRDefault="002E523E" w:rsidP="00A22A08">
            <w:pPr>
              <w:pStyle w:val="Tabulka"/>
              <w:jc w:val="left"/>
              <w:rPr>
                <w:rFonts w:cs="Calibri"/>
                <w:lang w:val="cs-CZ" w:eastAsia="cs-CZ"/>
              </w:rPr>
            </w:pPr>
          </w:p>
        </w:tc>
      </w:tr>
      <w:tr w:rsidR="002E523E" w:rsidRPr="008B53A9">
        <w:trPr>
          <w:trHeight w:val="212"/>
        </w:trPr>
        <w:tc>
          <w:tcPr>
            <w:tcW w:w="0" w:type="auto"/>
            <w:vMerge/>
            <w:tcBorders>
              <w:bottom w:val="dotted" w:sz="4" w:space="0" w:color="auto"/>
            </w:tcBorders>
            <w:shd w:val="clear" w:color="auto" w:fill="E5DFEC"/>
            <w:vAlign w:val="center"/>
          </w:tcPr>
          <w:p w:rsidR="002E523E" w:rsidRPr="008B53A9" w:rsidRDefault="002E523E" w:rsidP="00267430">
            <w:pPr>
              <w:pStyle w:val="Tabulka"/>
              <w:jc w:val="left"/>
              <w:rPr>
                <w:rFonts w:cs="Calibri"/>
                <w:b/>
                <w:lang w:val="cs-CZ" w:eastAsia="cs-CZ"/>
              </w:rPr>
            </w:pPr>
          </w:p>
        </w:tc>
        <w:tc>
          <w:tcPr>
            <w:tcW w:w="0" w:type="auto"/>
            <w:vMerge/>
            <w:tcBorders>
              <w:bottom w:val="dotted" w:sz="4" w:space="0" w:color="auto"/>
              <w:right w:val="single" w:sz="4" w:space="0" w:color="auto"/>
            </w:tcBorders>
            <w:shd w:val="clear" w:color="auto" w:fill="auto"/>
            <w:vAlign w:val="center"/>
          </w:tcPr>
          <w:p w:rsidR="002E523E" w:rsidRPr="008B53A9" w:rsidRDefault="002E523E" w:rsidP="00267430">
            <w:pPr>
              <w:pStyle w:val="Tabulka"/>
              <w:jc w:val="left"/>
              <w:rPr>
                <w:rFonts w:cs="Calibri"/>
                <w:lang w:val="cs-CZ" w:eastAsia="cs-CZ"/>
              </w:rPr>
            </w:pPr>
          </w:p>
        </w:tc>
        <w:tc>
          <w:tcPr>
            <w:tcW w:w="0" w:type="auto"/>
            <w:tcBorders>
              <w:top w:val="nil"/>
              <w:left w:val="single" w:sz="4" w:space="0" w:color="auto"/>
              <w:bottom w:val="nil"/>
              <w:right w:val="single" w:sz="4" w:space="0" w:color="auto"/>
            </w:tcBorders>
            <w:shd w:val="clear" w:color="auto" w:fill="auto"/>
          </w:tcPr>
          <w:p w:rsidR="002E523E" w:rsidRPr="008B53A9" w:rsidRDefault="002E523E" w:rsidP="00267430">
            <w:pPr>
              <w:pStyle w:val="Tabulka"/>
              <w:jc w:val="left"/>
              <w:rPr>
                <w:rFonts w:cs="Calibri"/>
                <w:lang w:val="cs-CZ" w:eastAsia="cs-CZ"/>
              </w:rPr>
            </w:pPr>
          </w:p>
        </w:tc>
        <w:tc>
          <w:tcPr>
            <w:tcW w:w="0" w:type="auto"/>
            <w:vMerge/>
            <w:tcBorders>
              <w:left w:val="single" w:sz="4" w:space="0" w:color="auto"/>
              <w:bottom w:val="dotted" w:sz="4" w:space="0" w:color="auto"/>
              <w:right w:val="single" w:sz="4" w:space="0" w:color="auto"/>
              <w:tr2bl w:val="single" w:sz="4" w:space="0" w:color="auto"/>
            </w:tcBorders>
            <w:vAlign w:val="center"/>
          </w:tcPr>
          <w:p w:rsidR="002E523E" w:rsidRPr="008B53A9" w:rsidRDefault="002E523E" w:rsidP="00267430">
            <w:pPr>
              <w:pStyle w:val="Tabulka"/>
              <w:jc w:val="left"/>
              <w:rPr>
                <w:rFonts w:cs="Calibri"/>
                <w:lang w:val="cs-CZ" w:eastAsia="cs-CZ"/>
              </w:rPr>
            </w:pPr>
          </w:p>
        </w:tc>
        <w:tc>
          <w:tcPr>
            <w:tcW w:w="0" w:type="auto"/>
            <w:vMerge/>
            <w:tcBorders>
              <w:left w:val="single" w:sz="4" w:space="0" w:color="auto"/>
              <w:bottom w:val="dotted" w:sz="4" w:space="0" w:color="auto"/>
              <w:tr2bl w:val="single" w:sz="4" w:space="0" w:color="auto"/>
            </w:tcBorders>
            <w:vAlign w:val="center"/>
          </w:tcPr>
          <w:p w:rsidR="002E523E" w:rsidRPr="008B53A9" w:rsidRDefault="002E523E" w:rsidP="00A22A08">
            <w:pPr>
              <w:pStyle w:val="Tabulka"/>
              <w:jc w:val="left"/>
              <w:rPr>
                <w:rFonts w:cs="Calibri"/>
                <w:lang w:val="cs-CZ" w:eastAsia="cs-CZ"/>
              </w:rPr>
            </w:pPr>
          </w:p>
        </w:tc>
      </w:tr>
      <w:tr w:rsidR="002E523E" w:rsidRPr="008B53A9">
        <w:trPr>
          <w:trHeight w:val="212"/>
        </w:trPr>
        <w:tc>
          <w:tcPr>
            <w:tcW w:w="0" w:type="auto"/>
            <w:tcBorders>
              <w:top w:val="dotted" w:sz="4" w:space="0" w:color="auto"/>
              <w:bottom w:val="dotted" w:sz="4" w:space="0" w:color="auto"/>
            </w:tcBorders>
            <w:shd w:val="clear" w:color="auto" w:fill="E5DFEC"/>
            <w:vAlign w:val="center"/>
          </w:tcPr>
          <w:p w:rsidR="002E523E" w:rsidRPr="008B53A9" w:rsidRDefault="002E523E" w:rsidP="00267430">
            <w:pPr>
              <w:pStyle w:val="Tabulka"/>
              <w:jc w:val="left"/>
              <w:rPr>
                <w:rFonts w:cs="Calibri"/>
                <w:b/>
                <w:lang w:val="cs-CZ" w:eastAsia="cs-CZ"/>
              </w:rPr>
            </w:pPr>
            <w:r w:rsidRPr="008B53A9">
              <w:rPr>
                <w:rFonts w:cs="Calibri"/>
                <w:b/>
                <w:lang w:val="cs-CZ" w:eastAsia="cs-CZ"/>
              </w:rPr>
              <w:t>Prioritní osa</w:t>
            </w:r>
          </w:p>
        </w:tc>
        <w:tc>
          <w:tcPr>
            <w:tcW w:w="0" w:type="auto"/>
            <w:tcBorders>
              <w:top w:val="dotted" w:sz="4" w:space="0" w:color="auto"/>
              <w:bottom w:val="dotted" w:sz="4" w:space="0" w:color="auto"/>
              <w:right w:val="single" w:sz="4" w:space="0" w:color="auto"/>
            </w:tcBorders>
            <w:shd w:val="clear" w:color="auto" w:fill="auto"/>
            <w:vAlign w:val="center"/>
          </w:tcPr>
          <w:p w:rsidR="002E523E" w:rsidRPr="008B53A9" w:rsidRDefault="002E523E" w:rsidP="00267430">
            <w:pPr>
              <w:pStyle w:val="Tabulka"/>
              <w:jc w:val="left"/>
              <w:rPr>
                <w:rFonts w:cs="Calibri"/>
                <w:lang w:val="cs-CZ" w:eastAsia="cs-CZ"/>
              </w:rPr>
            </w:pPr>
            <w:r w:rsidRPr="008B53A9">
              <w:rPr>
                <w:rFonts w:cs="Calibri"/>
                <w:lang w:val="cs-CZ" w:eastAsia="cs-CZ"/>
              </w:rPr>
              <w:t>PO 3: Účinné nakládání energií, rozvoj energetické infrastruktury a obnovitelných zdrojů energie, podpora zavádění nových technologií v oblasti nakládání energií a druhotných surovin</w:t>
            </w:r>
          </w:p>
        </w:tc>
        <w:tc>
          <w:tcPr>
            <w:tcW w:w="0" w:type="auto"/>
            <w:tcBorders>
              <w:top w:val="nil"/>
              <w:left w:val="single" w:sz="4" w:space="0" w:color="auto"/>
              <w:bottom w:val="nil"/>
              <w:right w:val="single" w:sz="4" w:space="0" w:color="auto"/>
            </w:tcBorders>
            <w:shd w:val="clear" w:color="auto" w:fill="auto"/>
          </w:tcPr>
          <w:p w:rsidR="002E523E" w:rsidRPr="008B53A9" w:rsidRDefault="002E523E" w:rsidP="00267430">
            <w:pPr>
              <w:pStyle w:val="Tabulka"/>
              <w:jc w:val="left"/>
              <w:rPr>
                <w:rFonts w:cs="Calibri"/>
                <w:lang w:val="cs-CZ" w:eastAsia="cs-CZ"/>
              </w:rPr>
            </w:pPr>
          </w:p>
        </w:tc>
        <w:tc>
          <w:tcPr>
            <w:tcW w:w="0" w:type="auto"/>
            <w:tcBorders>
              <w:top w:val="dotted" w:sz="4" w:space="0" w:color="auto"/>
              <w:left w:val="single" w:sz="4" w:space="0" w:color="auto"/>
              <w:bottom w:val="dotted" w:sz="4" w:space="0" w:color="auto"/>
              <w:right w:val="single" w:sz="4" w:space="0" w:color="auto"/>
            </w:tcBorders>
            <w:vAlign w:val="center"/>
          </w:tcPr>
          <w:p w:rsidR="002E523E" w:rsidRPr="008B53A9" w:rsidRDefault="002E523E" w:rsidP="00267430">
            <w:pPr>
              <w:pStyle w:val="Tabulka"/>
              <w:jc w:val="left"/>
              <w:rPr>
                <w:rFonts w:cs="Calibri"/>
                <w:lang w:val="cs-CZ" w:eastAsia="cs-CZ"/>
              </w:rPr>
            </w:pPr>
            <w:r w:rsidRPr="008B53A9">
              <w:rPr>
                <w:rFonts w:cs="Calibri"/>
                <w:lang w:val="cs-CZ" w:eastAsia="cs-CZ"/>
              </w:rPr>
              <w:t>Priorita 3) Společenské výzvy</w:t>
            </w:r>
          </w:p>
        </w:tc>
        <w:tc>
          <w:tcPr>
            <w:tcW w:w="0" w:type="auto"/>
            <w:tcBorders>
              <w:top w:val="dotted" w:sz="4" w:space="0" w:color="auto"/>
              <w:left w:val="single" w:sz="4" w:space="0" w:color="auto"/>
              <w:bottom w:val="dotted" w:sz="4" w:space="0" w:color="auto"/>
            </w:tcBorders>
            <w:vAlign w:val="center"/>
          </w:tcPr>
          <w:p w:rsidR="002E523E" w:rsidRPr="008B53A9" w:rsidRDefault="00A22A08" w:rsidP="00A22A08">
            <w:pPr>
              <w:pStyle w:val="Tabulka"/>
              <w:jc w:val="left"/>
              <w:rPr>
                <w:rFonts w:cs="Calibri"/>
                <w:lang w:val="cs-CZ" w:eastAsia="cs-CZ"/>
              </w:rPr>
            </w:pPr>
            <w:r w:rsidRPr="008B53A9">
              <w:rPr>
                <w:rFonts w:cs="Calibri"/>
                <w:lang w:val="cs-CZ" w:eastAsia="cs-CZ"/>
              </w:rPr>
              <w:t>3. Odvětví energetiky</w:t>
            </w:r>
          </w:p>
        </w:tc>
      </w:tr>
      <w:tr w:rsidR="002E523E" w:rsidRPr="008B53A9">
        <w:tc>
          <w:tcPr>
            <w:tcW w:w="0" w:type="auto"/>
            <w:tcBorders>
              <w:top w:val="dotted" w:sz="4" w:space="0" w:color="auto"/>
            </w:tcBorders>
            <w:shd w:val="clear" w:color="auto" w:fill="E5DFEC"/>
            <w:vAlign w:val="center"/>
          </w:tcPr>
          <w:p w:rsidR="002E523E" w:rsidRPr="008B53A9" w:rsidRDefault="002E523E" w:rsidP="00267430">
            <w:pPr>
              <w:pStyle w:val="Tabulka"/>
              <w:jc w:val="left"/>
              <w:rPr>
                <w:rFonts w:cs="Calibri"/>
                <w:b/>
                <w:lang w:val="cs-CZ" w:eastAsia="cs-CZ"/>
              </w:rPr>
            </w:pPr>
            <w:r w:rsidRPr="008B53A9">
              <w:rPr>
                <w:rFonts w:cs="Calibri"/>
                <w:b/>
                <w:lang w:val="cs-CZ" w:eastAsia="cs-CZ"/>
              </w:rPr>
              <w:t>Specifický cíl</w:t>
            </w:r>
          </w:p>
        </w:tc>
        <w:tc>
          <w:tcPr>
            <w:tcW w:w="0" w:type="auto"/>
            <w:tcBorders>
              <w:top w:val="dotted" w:sz="4" w:space="0" w:color="auto"/>
            </w:tcBorders>
            <w:shd w:val="clear" w:color="auto" w:fill="auto"/>
            <w:vAlign w:val="center"/>
          </w:tcPr>
          <w:p w:rsidR="002E523E" w:rsidRPr="008B53A9" w:rsidRDefault="002E523E" w:rsidP="00267430">
            <w:pPr>
              <w:pStyle w:val="Tabulka"/>
              <w:jc w:val="left"/>
              <w:rPr>
                <w:rFonts w:cs="Calibri"/>
                <w:lang w:val="cs-CZ" w:eastAsia="cs-CZ"/>
              </w:rPr>
            </w:pPr>
            <w:r w:rsidRPr="008B53A9">
              <w:rPr>
                <w:rFonts w:cs="Calibri"/>
                <w:lang w:val="cs-CZ" w:eastAsia="cs-CZ"/>
              </w:rPr>
              <w:t xml:space="preserve">SC 3.1: Zvýšit podíl výroby energie z </w:t>
            </w:r>
            <w:r w:rsidRPr="008B53A9">
              <w:rPr>
                <w:rFonts w:cs="Calibri"/>
                <w:lang w:val="cs-CZ" w:eastAsia="cs-CZ"/>
              </w:rPr>
              <w:lastRenderedPageBreak/>
              <w:t>obnovitelných zdrojů na hrubé konečné spotřebě ČR</w:t>
            </w:r>
          </w:p>
          <w:p w:rsidR="002E523E" w:rsidRPr="008B53A9" w:rsidRDefault="002E523E" w:rsidP="00267430">
            <w:pPr>
              <w:pStyle w:val="Tabulka"/>
              <w:jc w:val="left"/>
              <w:rPr>
                <w:rFonts w:cs="Calibri"/>
                <w:lang w:val="cs-CZ" w:eastAsia="cs-CZ"/>
              </w:rPr>
            </w:pPr>
            <w:r w:rsidRPr="008B53A9">
              <w:rPr>
                <w:rFonts w:cs="Calibri"/>
                <w:lang w:val="cs-CZ" w:eastAsia="cs-CZ"/>
              </w:rPr>
              <w:t>SC 3.2: Zvýšit energetickou účinnost podnikatelského sektoru</w:t>
            </w:r>
          </w:p>
          <w:p w:rsidR="002E523E" w:rsidRPr="008B53A9" w:rsidRDefault="002E523E" w:rsidP="00267430">
            <w:pPr>
              <w:pStyle w:val="Tabulka"/>
              <w:jc w:val="left"/>
              <w:rPr>
                <w:rFonts w:cs="Calibri"/>
                <w:lang w:val="cs-CZ" w:eastAsia="cs-CZ"/>
              </w:rPr>
            </w:pPr>
            <w:r w:rsidRPr="008B53A9">
              <w:rPr>
                <w:rFonts w:cs="Calibri"/>
                <w:lang w:val="cs-CZ" w:eastAsia="cs-CZ"/>
              </w:rPr>
              <w:t>SC 3.3: Zvýšit aplikaci prvků inteligentních sítí v distribučních soustavách</w:t>
            </w:r>
          </w:p>
          <w:p w:rsidR="002E523E" w:rsidRPr="008B53A9" w:rsidRDefault="002E523E" w:rsidP="00267430">
            <w:pPr>
              <w:pStyle w:val="Tabulka"/>
              <w:jc w:val="left"/>
              <w:rPr>
                <w:rFonts w:cs="Calibri"/>
                <w:lang w:val="cs-CZ" w:eastAsia="cs-CZ"/>
              </w:rPr>
            </w:pPr>
            <w:r w:rsidRPr="008B53A9">
              <w:rPr>
                <w:rFonts w:cs="Calibri"/>
                <w:lang w:val="cs-CZ" w:eastAsia="cs-CZ"/>
              </w:rPr>
              <w:t xml:space="preserve">SC 3.4: Uplatnit inovativní nízkouhlíkové technologie v oblasti nakládání energií a při využívání druhotných surovin </w:t>
            </w:r>
          </w:p>
          <w:p w:rsidR="002E523E" w:rsidRPr="008B53A9" w:rsidRDefault="002E523E" w:rsidP="00267430">
            <w:pPr>
              <w:pStyle w:val="Tabulka"/>
              <w:jc w:val="left"/>
              <w:rPr>
                <w:rFonts w:cs="Calibri"/>
                <w:lang w:val="cs-CZ" w:eastAsia="cs-CZ"/>
              </w:rPr>
            </w:pPr>
            <w:r w:rsidRPr="008B53A9">
              <w:rPr>
                <w:rFonts w:cs="Calibri"/>
                <w:lang w:val="cs-CZ" w:eastAsia="cs-CZ"/>
              </w:rPr>
              <w:t>SC 3.6: Posílit energetickou bezpečnost přenosové soustavy</w:t>
            </w:r>
          </w:p>
        </w:tc>
        <w:tc>
          <w:tcPr>
            <w:tcW w:w="0" w:type="auto"/>
            <w:tcBorders>
              <w:top w:val="nil"/>
              <w:left w:val="single" w:sz="4" w:space="0" w:color="auto"/>
              <w:bottom w:val="nil"/>
              <w:right w:val="single" w:sz="4" w:space="0" w:color="auto"/>
            </w:tcBorders>
            <w:shd w:val="clear" w:color="auto" w:fill="auto"/>
          </w:tcPr>
          <w:p w:rsidR="002E523E" w:rsidRPr="008B53A9" w:rsidRDefault="002E523E" w:rsidP="00267430">
            <w:pPr>
              <w:pStyle w:val="Tabulka"/>
              <w:jc w:val="left"/>
              <w:rPr>
                <w:rFonts w:cs="Calibri"/>
                <w:lang w:val="cs-CZ" w:eastAsia="cs-CZ"/>
              </w:rPr>
            </w:pPr>
          </w:p>
        </w:tc>
        <w:tc>
          <w:tcPr>
            <w:tcW w:w="0" w:type="auto"/>
            <w:tcBorders>
              <w:top w:val="dotted" w:sz="4" w:space="0" w:color="auto"/>
              <w:left w:val="single" w:sz="4" w:space="0" w:color="auto"/>
              <w:right w:val="single" w:sz="4" w:space="0" w:color="auto"/>
            </w:tcBorders>
            <w:vAlign w:val="center"/>
          </w:tcPr>
          <w:p w:rsidR="002E523E" w:rsidRPr="008B53A9" w:rsidRDefault="002E523E" w:rsidP="00E15CD5">
            <w:pPr>
              <w:pStyle w:val="Tabulka"/>
              <w:jc w:val="left"/>
              <w:rPr>
                <w:rFonts w:cs="Calibri"/>
                <w:lang w:val="cs-CZ" w:eastAsia="cs-CZ"/>
              </w:rPr>
            </w:pPr>
            <w:r w:rsidRPr="008B53A9">
              <w:rPr>
                <w:rFonts w:cs="Calibri"/>
                <w:lang w:val="cs-CZ" w:eastAsia="cs-CZ"/>
              </w:rPr>
              <w:t xml:space="preserve">3.3 Bezpečné, čisté a účinné </w:t>
            </w:r>
            <w:r w:rsidRPr="008B53A9">
              <w:rPr>
                <w:rFonts w:cs="Calibri"/>
                <w:lang w:val="cs-CZ" w:eastAsia="cs-CZ"/>
              </w:rPr>
              <w:lastRenderedPageBreak/>
              <w:t>energie</w:t>
            </w:r>
          </w:p>
          <w:p w:rsidR="002E523E" w:rsidRPr="008B53A9" w:rsidRDefault="002E523E" w:rsidP="00E15CD5">
            <w:pPr>
              <w:pStyle w:val="Tabulka"/>
              <w:jc w:val="left"/>
              <w:rPr>
                <w:rFonts w:cs="Calibri"/>
                <w:lang w:val="cs-CZ" w:eastAsia="cs-CZ"/>
              </w:rPr>
            </w:pPr>
            <w:r w:rsidRPr="008B53A9">
              <w:rPr>
                <w:rFonts w:cs="Calibri"/>
                <w:lang w:val="cs-CZ" w:eastAsia="cs-CZ"/>
              </w:rPr>
              <w:t>3.4 Inteligentní, ekologická a integrovaná doprava</w:t>
            </w:r>
          </w:p>
          <w:p w:rsidR="002E523E" w:rsidRPr="008B53A9" w:rsidRDefault="002E523E" w:rsidP="00E15CD5">
            <w:pPr>
              <w:pStyle w:val="Tabulka"/>
              <w:jc w:val="left"/>
              <w:rPr>
                <w:rFonts w:cs="Calibri"/>
                <w:lang w:val="cs-CZ" w:eastAsia="cs-CZ"/>
              </w:rPr>
            </w:pPr>
            <w:r w:rsidRPr="008B53A9">
              <w:rPr>
                <w:rFonts w:cs="Calibri"/>
                <w:lang w:val="cs-CZ" w:eastAsia="cs-CZ"/>
              </w:rPr>
              <w:t>3.5 Klimatická změna a účinné využívání zdrojů a surovin</w:t>
            </w:r>
          </w:p>
        </w:tc>
        <w:tc>
          <w:tcPr>
            <w:tcW w:w="0" w:type="auto"/>
            <w:tcBorders>
              <w:top w:val="dotted" w:sz="4" w:space="0" w:color="auto"/>
              <w:left w:val="single" w:sz="4" w:space="0" w:color="auto"/>
            </w:tcBorders>
            <w:vAlign w:val="center"/>
          </w:tcPr>
          <w:p w:rsidR="002E523E" w:rsidRPr="008B53A9" w:rsidRDefault="00A22A08" w:rsidP="00A22A08">
            <w:pPr>
              <w:pStyle w:val="Tabulka"/>
              <w:jc w:val="left"/>
              <w:rPr>
                <w:rFonts w:cs="Calibri"/>
                <w:lang w:val="cs-CZ" w:eastAsia="cs-CZ"/>
              </w:rPr>
            </w:pPr>
            <w:r w:rsidRPr="008B53A9">
              <w:rPr>
                <w:rFonts w:cs="Calibri"/>
                <w:lang w:val="cs-CZ" w:eastAsia="cs-CZ"/>
              </w:rPr>
              <w:lastRenderedPageBreak/>
              <w:t xml:space="preserve">3 b) zvýšení bezpečnosti dodávek energie v </w:t>
            </w:r>
            <w:r w:rsidRPr="008B53A9">
              <w:rPr>
                <w:rFonts w:cs="Calibri"/>
                <w:lang w:val="cs-CZ" w:eastAsia="cs-CZ"/>
              </w:rPr>
              <w:lastRenderedPageBreak/>
              <w:t>rámci Unie</w:t>
            </w:r>
          </w:p>
        </w:tc>
      </w:tr>
      <w:tr w:rsidR="002E523E" w:rsidRPr="008B53A9">
        <w:tc>
          <w:tcPr>
            <w:tcW w:w="0" w:type="auto"/>
            <w:shd w:val="clear" w:color="auto" w:fill="E5DFEC"/>
            <w:vAlign w:val="center"/>
          </w:tcPr>
          <w:p w:rsidR="002E523E" w:rsidRPr="008B53A9" w:rsidRDefault="002E523E" w:rsidP="00267430">
            <w:pPr>
              <w:pStyle w:val="Tabulka"/>
              <w:jc w:val="left"/>
              <w:rPr>
                <w:rFonts w:cs="Calibri"/>
                <w:b/>
                <w:lang w:val="cs-CZ" w:eastAsia="cs-CZ"/>
              </w:rPr>
            </w:pPr>
            <w:r w:rsidRPr="008B53A9">
              <w:rPr>
                <w:rFonts w:cs="Calibri"/>
                <w:b/>
                <w:lang w:val="cs-CZ" w:eastAsia="cs-CZ"/>
              </w:rPr>
              <w:lastRenderedPageBreak/>
              <w:t>Věcná specifikace (zaměření, aktivity)</w:t>
            </w:r>
          </w:p>
        </w:tc>
        <w:tc>
          <w:tcPr>
            <w:tcW w:w="0" w:type="auto"/>
            <w:shd w:val="clear" w:color="auto" w:fill="auto"/>
            <w:vAlign w:val="center"/>
          </w:tcPr>
          <w:p w:rsidR="002E523E" w:rsidRPr="008B53A9" w:rsidRDefault="002E523E" w:rsidP="008178A5">
            <w:pPr>
              <w:pStyle w:val="Tabulka"/>
              <w:jc w:val="left"/>
              <w:rPr>
                <w:rFonts w:cs="Calibri"/>
                <w:lang w:val="cs-CZ" w:eastAsia="cs-CZ"/>
              </w:rPr>
            </w:pPr>
            <w:r w:rsidRPr="008B53A9">
              <w:rPr>
                <w:rFonts w:cs="Calibri"/>
                <w:lang w:val="cs-CZ" w:eastAsia="cs-CZ"/>
              </w:rPr>
              <w:t>- výstavba nových a rekonstrukce a modernizace stávajících výroben elektřiny a tepla z OZE (např. výstavba a rekonstrukce a modernizace</w:t>
            </w:r>
            <w:r w:rsidRPr="008B53A9">
              <w:rPr>
                <w:rFonts w:cs="Calibri"/>
                <w:bCs/>
                <w:lang w:val="cs-CZ" w:eastAsia="cs-CZ"/>
              </w:rPr>
              <w:t xml:space="preserve"> malých vodních elektráren</w:t>
            </w:r>
            <w:r w:rsidRPr="008B53A9">
              <w:rPr>
                <w:rFonts w:cs="Calibri"/>
                <w:lang w:val="cs-CZ" w:eastAsia="cs-CZ"/>
              </w:rPr>
              <w:t>)</w:t>
            </w:r>
          </w:p>
          <w:p w:rsidR="002E523E" w:rsidRPr="008B53A9" w:rsidRDefault="002E523E" w:rsidP="008178A5">
            <w:pPr>
              <w:pStyle w:val="Tabulka"/>
              <w:jc w:val="left"/>
              <w:rPr>
                <w:rFonts w:cs="Calibri"/>
                <w:bCs/>
                <w:lang w:val="cs-CZ" w:eastAsia="cs-CZ"/>
              </w:rPr>
            </w:pPr>
            <w:r w:rsidRPr="008B53A9">
              <w:rPr>
                <w:rFonts w:cs="Calibri"/>
                <w:lang w:val="cs-CZ" w:eastAsia="cs-CZ"/>
              </w:rPr>
              <w:t xml:space="preserve">- </w:t>
            </w:r>
            <w:r w:rsidRPr="008B53A9">
              <w:rPr>
                <w:rFonts w:cs="Calibri"/>
                <w:bCs/>
                <w:lang w:val="cs-CZ" w:eastAsia="cs-CZ"/>
              </w:rPr>
              <w:t>realizace opatření ke snižování energetické náročnosti budov v podnikatelském sektoru</w:t>
            </w:r>
          </w:p>
          <w:p w:rsidR="002E523E" w:rsidRPr="008B53A9" w:rsidRDefault="002E523E" w:rsidP="008178A5">
            <w:pPr>
              <w:pStyle w:val="Tabulka"/>
              <w:jc w:val="left"/>
              <w:rPr>
                <w:rFonts w:cs="Calibri"/>
                <w:bCs/>
                <w:lang w:val="cs-CZ" w:eastAsia="cs-CZ"/>
              </w:rPr>
            </w:pPr>
            <w:r w:rsidRPr="008B53A9">
              <w:rPr>
                <w:rFonts w:cs="Calibri"/>
                <w:bCs/>
                <w:lang w:val="cs-CZ" w:eastAsia="cs-CZ"/>
              </w:rPr>
              <w:t>- nasazení tzv. smart prvků v distribučních soustavách</w:t>
            </w:r>
          </w:p>
          <w:p w:rsidR="002E523E" w:rsidRPr="008B53A9" w:rsidRDefault="002E523E" w:rsidP="008178A5">
            <w:pPr>
              <w:pStyle w:val="Tabulka"/>
              <w:jc w:val="left"/>
              <w:rPr>
                <w:rFonts w:cs="Calibri"/>
                <w:bCs/>
                <w:lang w:val="cs-CZ" w:eastAsia="cs-CZ"/>
              </w:rPr>
            </w:pPr>
            <w:r w:rsidRPr="008B53A9">
              <w:rPr>
                <w:rFonts w:cs="Calibri"/>
                <w:bCs/>
                <w:lang w:val="cs-CZ" w:eastAsia="cs-CZ"/>
              </w:rPr>
              <w:t>- zavádění inovativních nízkouhlíkových technologií v oblasti nakládání energií, např. nízkouhlíková doprava</w:t>
            </w:r>
          </w:p>
          <w:p w:rsidR="002E523E" w:rsidRPr="008B53A9" w:rsidRDefault="002E523E" w:rsidP="008178A5">
            <w:pPr>
              <w:pStyle w:val="Tabulka"/>
              <w:jc w:val="left"/>
              <w:rPr>
                <w:rFonts w:cs="Calibri"/>
                <w:bCs/>
                <w:lang w:val="cs-CZ" w:eastAsia="cs-CZ"/>
              </w:rPr>
            </w:pPr>
            <w:r w:rsidRPr="008B53A9">
              <w:rPr>
                <w:rFonts w:cs="Calibri"/>
                <w:bCs/>
                <w:lang w:val="cs-CZ" w:eastAsia="cs-CZ"/>
              </w:rPr>
              <w:t>- zavádění inovativních nízkouhlíkatých technologií v oblasti zpracování a využívání druhotných surovin</w:t>
            </w:r>
          </w:p>
          <w:p w:rsidR="0032023E" w:rsidRPr="008B53A9" w:rsidRDefault="0032023E" w:rsidP="0032023E">
            <w:pPr>
              <w:pStyle w:val="Tabulka"/>
              <w:jc w:val="left"/>
              <w:rPr>
                <w:rFonts w:cs="Calibri"/>
                <w:lang w:val="cs-CZ" w:eastAsia="cs-CZ"/>
              </w:rPr>
            </w:pPr>
            <w:r w:rsidRPr="008B53A9">
              <w:rPr>
                <w:rFonts w:cs="Calibri"/>
                <w:bCs/>
                <w:lang w:val="cs-CZ" w:eastAsia="cs-CZ"/>
              </w:rPr>
              <w:lastRenderedPageBreak/>
              <w:t>- výstavba, posílení, modernizace a rekonstrukce vedení přenosové soustavy a transformoven (ve smyslu nasazení smart grids)</w:t>
            </w:r>
          </w:p>
        </w:tc>
        <w:tc>
          <w:tcPr>
            <w:tcW w:w="0" w:type="auto"/>
            <w:tcBorders>
              <w:top w:val="nil"/>
              <w:left w:val="single" w:sz="4" w:space="0" w:color="auto"/>
              <w:bottom w:val="nil"/>
              <w:right w:val="single" w:sz="4" w:space="0" w:color="auto"/>
            </w:tcBorders>
            <w:shd w:val="clear" w:color="auto" w:fill="auto"/>
          </w:tcPr>
          <w:p w:rsidR="002E523E" w:rsidRPr="008B53A9" w:rsidRDefault="002E523E" w:rsidP="00267430">
            <w:pPr>
              <w:pStyle w:val="Tabulka"/>
              <w:jc w:val="left"/>
              <w:rPr>
                <w:rFonts w:cs="Calibri"/>
                <w:lang w:val="cs-CZ" w:eastAsia="cs-CZ"/>
              </w:rPr>
            </w:pPr>
          </w:p>
        </w:tc>
        <w:tc>
          <w:tcPr>
            <w:tcW w:w="0" w:type="auto"/>
            <w:tcBorders>
              <w:left w:val="single" w:sz="4" w:space="0" w:color="auto"/>
              <w:right w:val="single" w:sz="4" w:space="0" w:color="auto"/>
            </w:tcBorders>
            <w:vAlign w:val="center"/>
          </w:tcPr>
          <w:p w:rsidR="002E523E" w:rsidRPr="008B53A9" w:rsidRDefault="002E523E" w:rsidP="00267430">
            <w:pPr>
              <w:pStyle w:val="Tabulka"/>
              <w:jc w:val="left"/>
              <w:rPr>
                <w:rFonts w:cs="Calibri"/>
                <w:lang w:val="cs-CZ" w:eastAsia="cs-CZ"/>
              </w:rPr>
            </w:pPr>
            <w:r w:rsidRPr="008B53A9">
              <w:rPr>
                <w:rFonts w:cs="Calibri"/>
                <w:lang w:val="cs-CZ" w:eastAsia="cs-CZ"/>
              </w:rPr>
              <w:t>- snižování spotřeby energie v budovách, ve službách a v průmyslu, účinné a obnovitelné systémy vytápění a chlazení</w:t>
            </w:r>
          </w:p>
          <w:p w:rsidR="002E523E" w:rsidRPr="008B53A9" w:rsidRDefault="002E523E" w:rsidP="00267430">
            <w:pPr>
              <w:pStyle w:val="Tabulka"/>
              <w:jc w:val="left"/>
              <w:rPr>
                <w:rFonts w:cs="Calibri"/>
                <w:lang w:val="cs-CZ" w:eastAsia="cs-CZ"/>
              </w:rPr>
            </w:pPr>
            <w:r w:rsidRPr="008B53A9">
              <w:rPr>
                <w:rFonts w:cs="Calibri"/>
                <w:lang w:val="cs-CZ" w:eastAsia="cs-CZ"/>
              </w:rPr>
              <w:t>- zásobování levnou elektřinou, vodní energie a další</w:t>
            </w:r>
          </w:p>
          <w:p w:rsidR="002E523E" w:rsidRPr="008B53A9" w:rsidRDefault="002E523E" w:rsidP="00267430">
            <w:pPr>
              <w:pStyle w:val="Tabulka"/>
              <w:jc w:val="left"/>
              <w:rPr>
                <w:rFonts w:cs="Calibri"/>
                <w:lang w:val="cs-CZ" w:eastAsia="cs-CZ"/>
              </w:rPr>
            </w:pPr>
            <w:r w:rsidRPr="008B53A9">
              <w:rPr>
                <w:rFonts w:cs="Calibri"/>
                <w:lang w:val="cs-CZ" w:eastAsia="cs-CZ"/>
              </w:rPr>
              <w:t>- alternativní paliva a mobilní zdroje energie</w:t>
            </w:r>
          </w:p>
          <w:p w:rsidR="002E523E" w:rsidRPr="008B53A9" w:rsidRDefault="002E523E" w:rsidP="00267430">
            <w:pPr>
              <w:pStyle w:val="Tabulka"/>
              <w:jc w:val="left"/>
              <w:rPr>
                <w:rFonts w:cs="Calibri"/>
                <w:lang w:val="cs-CZ" w:eastAsia="cs-CZ"/>
              </w:rPr>
            </w:pPr>
            <w:r w:rsidRPr="008B53A9">
              <w:rPr>
                <w:rFonts w:cs="Calibri"/>
                <w:lang w:val="cs-CZ" w:eastAsia="cs-CZ"/>
              </w:rPr>
              <w:t>- jednotná inteligentní elektrická rozvodná soustava pro Evropu, integrace OZE, minimalizace emisí a nákladů</w:t>
            </w:r>
          </w:p>
          <w:p w:rsidR="002E523E" w:rsidRPr="008B53A9" w:rsidRDefault="002E523E" w:rsidP="00E15CD5">
            <w:pPr>
              <w:pStyle w:val="Tabulka"/>
              <w:jc w:val="left"/>
              <w:rPr>
                <w:rFonts w:cs="Calibri"/>
                <w:lang w:val="cs-CZ" w:eastAsia="cs-CZ"/>
              </w:rPr>
            </w:pPr>
            <w:r w:rsidRPr="008B53A9">
              <w:rPr>
                <w:rFonts w:cs="Calibri"/>
                <w:lang w:val="cs-CZ" w:eastAsia="cs-CZ"/>
              </w:rPr>
              <w:t>- zavádění energetických inovací na trh</w:t>
            </w:r>
          </w:p>
          <w:p w:rsidR="002E523E" w:rsidRPr="008B53A9" w:rsidRDefault="002E523E" w:rsidP="00E15CD5">
            <w:pPr>
              <w:pStyle w:val="Tabulka"/>
              <w:jc w:val="left"/>
              <w:rPr>
                <w:rFonts w:cs="Calibri"/>
                <w:lang w:val="cs-CZ" w:eastAsia="cs-CZ"/>
              </w:rPr>
            </w:pPr>
            <w:r w:rsidRPr="008B53A9">
              <w:rPr>
                <w:rFonts w:cs="Calibri"/>
                <w:lang w:val="cs-CZ" w:eastAsia="cs-CZ"/>
              </w:rPr>
              <w:t xml:space="preserve">- úsporná a ekologická </w:t>
            </w:r>
            <w:r w:rsidRPr="008B53A9">
              <w:rPr>
                <w:rFonts w:cs="Calibri"/>
                <w:lang w:val="cs-CZ" w:eastAsia="cs-CZ"/>
              </w:rPr>
              <w:lastRenderedPageBreak/>
              <w:t>doprava, snížení spotřeby zdrojů, zlepšení účinnosti vozidel</w:t>
            </w:r>
          </w:p>
          <w:p w:rsidR="002E523E" w:rsidRPr="008B53A9" w:rsidRDefault="002E523E" w:rsidP="005A082C">
            <w:pPr>
              <w:pStyle w:val="Tabulka"/>
              <w:jc w:val="left"/>
              <w:rPr>
                <w:rFonts w:cs="Calibri"/>
                <w:lang w:val="cs-CZ" w:eastAsia="cs-CZ"/>
              </w:rPr>
            </w:pPr>
            <w:r w:rsidRPr="008B53A9">
              <w:rPr>
                <w:rFonts w:cs="Calibri"/>
                <w:lang w:val="cs-CZ" w:eastAsia="cs-CZ"/>
              </w:rPr>
              <w:t>- udržitelné zásobování a využívání surovin</w:t>
            </w:r>
          </w:p>
        </w:tc>
        <w:tc>
          <w:tcPr>
            <w:tcW w:w="0" w:type="auto"/>
            <w:tcBorders>
              <w:left w:val="single" w:sz="4" w:space="0" w:color="auto"/>
            </w:tcBorders>
            <w:vAlign w:val="center"/>
          </w:tcPr>
          <w:p w:rsidR="002E523E" w:rsidRPr="008B53A9" w:rsidRDefault="00A22A08" w:rsidP="00A22A08">
            <w:pPr>
              <w:pStyle w:val="Tabulka"/>
              <w:jc w:val="left"/>
              <w:rPr>
                <w:rFonts w:cs="Calibri"/>
                <w:lang w:val="cs-CZ" w:eastAsia="cs-CZ"/>
              </w:rPr>
            </w:pPr>
            <w:r w:rsidRPr="008B53A9">
              <w:rPr>
                <w:rFonts w:cs="Calibri"/>
                <w:lang w:val="cs-CZ" w:eastAsia="cs-CZ"/>
              </w:rPr>
              <w:lastRenderedPageBreak/>
              <w:t>- diverzifikace zdrojů dodávek, dodávajících protistran a tras</w:t>
            </w:r>
          </w:p>
          <w:p w:rsidR="00A22A08" w:rsidRPr="008B53A9" w:rsidRDefault="00A22A08" w:rsidP="00A22A08">
            <w:pPr>
              <w:pStyle w:val="Tabulka"/>
              <w:jc w:val="left"/>
              <w:rPr>
                <w:rFonts w:cs="Calibri"/>
                <w:lang w:val="cs-CZ" w:eastAsia="cs-CZ"/>
              </w:rPr>
            </w:pPr>
            <w:r w:rsidRPr="008B53A9">
              <w:rPr>
                <w:rFonts w:cs="Calibri"/>
                <w:lang w:val="cs-CZ" w:eastAsia="cs-CZ"/>
              </w:rPr>
              <w:t>- zvýšení skladovací kapacity</w:t>
            </w:r>
          </w:p>
          <w:p w:rsidR="00A22A08" w:rsidRPr="008B53A9" w:rsidRDefault="00A22A08" w:rsidP="00A22A08">
            <w:pPr>
              <w:pStyle w:val="Tabulka"/>
              <w:jc w:val="left"/>
              <w:rPr>
                <w:rFonts w:cs="Calibri"/>
                <w:lang w:val="cs-CZ" w:eastAsia="cs-CZ"/>
              </w:rPr>
            </w:pPr>
            <w:r w:rsidRPr="008B53A9">
              <w:rPr>
                <w:rFonts w:cs="Calibri"/>
                <w:lang w:val="cs-CZ" w:eastAsia="cs-CZ"/>
              </w:rPr>
              <w:t>- zohlednění počtu přerušení dodávek a doby jejich trvání</w:t>
            </w:r>
          </w:p>
          <w:p w:rsidR="00A22A08" w:rsidRPr="008B53A9" w:rsidRDefault="00A22A08" w:rsidP="00A22A08">
            <w:pPr>
              <w:pStyle w:val="Tabulka"/>
              <w:jc w:val="left"/>
              <w:rPr>
                <w:rFonts w:cs="Calibri"/>
                <w:lang w:val="cs-CZ" w:eastAsia="cs-CZ"/>
              </w:rPr>
            </w:pPr>
            <w:r w:rsidRPr="008B53A9">
              <w:rPr>
                <w:rFonts w:cs="Calibri"/>
                <w:lang w:val="cs-CZ" w:eastAsia="cs-CZ"/>
              </w:rPr>
              <w:t>- předcházení omezení dodávek energie z OZE</w:t>
            </w:r>
          </w:p>
          <w:p w:rsidR="00A22A08" w:rsidRPr="008B53A9" w:rsidRDefault="00A22A08" w:rsidP="00A22A08">
            <w:pPr>
              <w:pStyle w:val="Tabulka"/>
              <w:jc w:val="left"/>
              <w:rPr>
                <w:rFonts w:cs="Calibri"/>
                <w:lang w:val="cs-CZ" w:eastAsia="cs-CZ"/>
              </w:rPr>
            </w:pPr>
            <w:r w:rsidRPr="008B53A9">
              <w:rPr>
                <w:rFonts w:cs="Calibri"/>
                <w:lang w:val="cs-CZ" w:eastAsia="cs-CZ"/>
              </w:rPr>
              <w:t>- propojení izolovaných trhů s diverzifikovanějšími zdroji dodávek</w:t>
            </w:r>
          </w:p>
          <w:p w:rsidR="00A22A08" w:rsidRPr="008B53A9" w:rsidRDefault="00A22A08" w:rsidP="00A22A08">
            <w:pPr>
              <w:pStyle w:val="Tabulka"/>
              <w:jc w:val="left"/>
              <w:rPr>
                <w:rFonts w:cs="Calibri"/>
                <w:lang w:val="cs-CZ" w:eastAsia="cs-CZ"/>
              </w:rPr>
            </w:pPr>
            <w:r w:rsidRPr="008B53A9">
              <w:rPr>
                <w:rFonts w:cs="Calibri"/>
                <w:lang w:val="cs-CZ" w:eastAsia="cs-CZ"/>
              </w:rPr>
              <w:t>- optimální využívání energetické infrastruktury</w:t>
            </w:r>
          </w:p>
        </w:tc>
      </w:tr>
      <w:tr w:rsidR="002E523E" w:rsidRPr="008B53A9">
        <w:tc>
          <w:tcPr>
            <w:tcW w:w="0" w:type="auto"/>
            <w:shd w:val="clear" w:color="auto" w:fill="E5DFEC"/>
            <w:vAlign w:val="center"/>
          </w:tcPr>
          <w:p w:rsidR="002E523E" w:rsidRPr="008B53A9" w:rsidRDefault="002E523E" w:rsidP="00267430">
            <w:pPr>
              <w:pStyle w:val="Tabulka"/>
              <w:jc w:val="left"/>
              <w:rPr>
                <w:rFonts w:cs="Calibri"/>
                <w:b/>
                <w:lang w:val="cs-CZ" w:eastAsia="cs-CZ"/>
              </w:rPr>
            </w:pPr>
            <w:r w:rsidRPr="008B53A9">
              <w:rPr>
                <w:rFonts w:cs="Calibri"/>
                <w:b/>
                <w:lang w:val="cs-CZ" w:eastAsia="cs-CZ"/>
              </w:rPr>
              <w:lastRenderedPageBreak/>
              <w:t>Implementační prvky</w:t>
            </w:r>
          </w:p>
        </w:tc>
        <w:tc>
          <w:tcPr>
            <w:tcW w:w="0" w:type="auto"/>
            <w:tcBorders>
              <w:bottom w:val="single" w:sz="4" w:space="0" w:color="auto"/>
            </w:tcBorders>
            <w:shd w:val="clear" w:color="auto" w:fill="auto"/>
            <w:vAlign w:val="center"/>
          </w:tcPr>
          <w:p w:rsidR="002E523E" w:rsidRPr="008B53A9" w:rsidRDefault="002E523E" w:rsidP="00187282">
            <w:pPr>
              <w:pStyle w:val="Tabulka"/>
              <w:jc w:val="left"/>
              <w:rPr>
                <w:rFonts w:cs="Calibri"/>
                <w:lang w:val="cs-CZ" w:eastAsia="cs-CZ"/>
              </w:rPr>
            </w:pPr>
            <w:r w:rsidRPr="008B53A9">
              <w:rPr>
                <w:rFonts w:cs="Calibri"/>
                <w:lang w:val="cs-CZ" w:eastAsia="cs-CZ"/>
              </w:rPr>
              <w:t>Typy příjemců: Podnikatelské subjekty (</w:t>
            </w:r>
            <w:r w:rsidR="0032023E" w:rsidRPr="008B53A9">
              <w:rPr>
                <w:rFonts w:cs="Calibri"/>
                <w:lang w:val="cs-CZ" w:eastAsia="cs-CZ"/>
              </w:rPr>
              <w:t>malé,</w:t>
            </w:r>
            <w:r w:rsidRPr="008B53A9">
              <w:rPr>
                <w:rFonts w:cs="Calibri"/>
                <w:lang w:val="cs-CZ" w:eastAsia="cs-CZ"/>
              </w:rPr>
              <w:t xml:space="preserve"> střední a velké podniky).</w:t>
            </w:r>
          </w:p>
          <w:p w:rsidR="002E523E" w:rsidRPr="008B53A9" w:rsidRDefault="002E523E" w:rsidP="0032023E">
            <w:pPr>
              <w:pStyle w:val="Tabulka"/>
              <w:jc w:val="left"/>
              <w:rPr>
                <w:rFonts w:cs="Calibri"/>
                <w:lang w:val="cs-CZ" w:eastAsia="cs-CZ"/>
              </w:rPr>
            </w:pPr>
            <w:r w:rsidRPr="008B53A9">
              <w:rPr>
                <w:rFonts w:cs="Calibri"/>
                <w:lang w:val="cs-CZ" w:eastAsia="cs-CZ"/>
              </w:rPr>
              <w:t xml:space="preserve">Cílové území: </w:t>
            </w:r>
            <w:r w:rsidR="0032023E" w:rsidRPr="008B53A9">
              <w:rPr>
                <w:rFonts w:cs="Calibri"/>
                <w:lang w:val="cs-CZ" w:eastAsia="cs-CZ"/>
              </w:rPr>
              <w:t>Území České republiky, mimo území hl. m. Prahy.</w:t>
            </w:r>
          </w:p>
        </w:tc>
        <w:tc>
          <w:tcPr>
            <w:tcW w:w="0" w:type="auto"/>
            <w:tcBorders>
              <w:top w:val="nil"/>
              <w:left w:val="single" w:sz="4" w:space="0" w:color="auto"/>
              <w:bottom w:val="nil"/>
              <w:right w:val="single" w:sz="4" w:space="0" w:color="auto"/>
            </w:tcBorders>
            <w:shd w:val="clear" w:color="auto" w:fill="auto"/>
          </w:tcPr>
          <w:p w:rsidR="002E523E" w:rsidRPr="008B53A9" w:rsidRDefault="002E523E" w:rsidP="00267430">
            <w:pPr>
              <w:pStyle w:val="Tabulka"/>
              <w:jc w:val="left"/>
              <w:rPr>
                <w:rFonts w:cs="Calibri"/>
                <w:lang w:val="cs-CZ" w:eastAsia="cs-CZ"/>
              </w:rPr>
            </w:pPr>
          </w:p>
        </w:tc>
        <w:tc>
          <w:tcPr>
            <w:tcW w:w="0" w:type="auto"/>
            <w:tcBorders>
              <w:left w:val="single" w:sz="4" w:space="0" w:color="auto"/>
              <w:right w:val="single" w:sz="4" w:space="0" w:color="auto"/>
            </w:tcBorders>
            <w:vAlign w:val="center"/>
          </w:tcPr>
          <w:p w:rsidR="002E523E" w:rsidRPr="008B53A9" w:rsidRDefault="002E523E" w:rsidP="00267430">
            <w:pPr>
              <w:pStyle w:val="Tabulka"/>
              <w:jc w:val="left"/>
              <w:rPr>
                <w:rFonts w:cs="Calibri"/>
                <w:lang w:val="cs-CZ" w:eastAsia="cs-CZ"/>
              </w:rPr>
            </w:pPr>
            <w:r w:rsidRPr="008B53A9">
              <w:rPr>
                <w:rFonts w:cs="Calibri"/>
                <w:lang w:val="cs-CZ" w:eastAsia="cs-CZ"/>
              </w:rPr>
              <w:t>Typy příjemců: Podnikatelské subjekty</w:t>
            </w:r>
          </w:p>
          <w:p w:rsidR="002E523E" w:rsidRPr="008B53A9" w:rsidRDefault="002E523E" w:rsidP="00267430">
            <w:pPr>
              <w:pStyle w:val="Tabulka"/>
              <w:jc w:val="left"/>
              <w:rPr>
                <w:rFonts w:cs="Calibri"/>
                <w:lang w:val="cs-CZ" w:eastAsia="cs-CZ"/>
              </w:rPr>
            </w:pPr>
            <w:r w:rsidRPr="008B53A9">
              <w:rPr>
                <w:rFonts w:cs="Calibri"/>
                <w:lang w:val="cs-CZ" w:eastAsia="cs-CZ"/>
              </w:rPr>
              <w:t>Cílové území: Území České republiky</w:t>
            </w:r>
          </w:p>
        </w:tc>
        <w:tc>
          <w:tcPr>
            <w:tcW w:w="0" w:type="auto"/>
            <w:tcBorders>
              <w:left w:val="single" w:sz="4" w:space="0" w:color="auto"/>
            </w:tcBorders>
            <w:vAlign w:val="center"/>
          </w:tcPr>
          <w:p w:rsidR="002E523E" w:rsidRPr="008B53A9" w:rsidRDefault="00A22A08" w:rsidP="00A22A08">
            <w:pPr>
              <w:pStyle w:val="Tabulka"/>
              <w:jc w:val="left"/>
              <w:rPr>
                <w:rFonts w:cs="Calibri"/>
                <w:lang w:val="cs-CZ" w:eastAsia="cs-CZ"/>
              </w:rPr>
            </w:pPr>
            <w:r w:rsidRPr="008B53A9">
              <w:rPr>
                <w:rFonts w:cs="Calibri"/>
                <w:lang w:val="cs-CZ" w:eastAsia="cs-CZ"/>
              </w:rPr>
              <w:t>Návrhy předkládá jeden nebo více členských států nebo, se souhlasem dotčených členských států, mezinárodní organizace, společné podniky nebo veřejné či soukromé podniky nebo subjekty zřízené v členských státech</w:t>
            </w:r>
          </w:p>
        </w:tc>
      </w:tr>
      <w:tr w:rsidR="002E523E" w:rsidRPr="008B53A9">
        <w:tc>
          <w:tcPr>
            <w:tcW w:w="0" w:type="auto"/>
            <w:shd w:val="clear" w:color="auto" w:fill="E5DFEC"/>
            <w:vAlign w:val="center"/>
          </w:tcPr>
          <w:p w:rsidR="002E523E" w:rsidRPr="008B53A9" w:rsidRDefault="002E523E" w:rsidP="00267430">
            <w:pPr>
              <w:pStyle w:val="Tabulka"/>
              <w:jc w:val="left"/>
              <w:rPr>
                <w:rFonts w:cs="Calibri"/>
                <w:b/>
                <w:lang w:val="cs-CZ" w:eastAsia="cs-CZ"/>
              </w:rPr>
            </w:pPr>
            <w:r w:rsidRPr="008B53A9">
              <w:rPr>
                <w:rFonts w:cs="Calibri"/>
                <w:b/>
                <w:lang w:val="cs-CZ" w:eastAsia="cs-CZ"/>
              </w:rPr>
              <w:t>Synergie/komplementarita</w:t>
            </w:r>
          </w:p>
        </w:tc>
        <w:tc>
          <w:tcPr>
            <w:tcW w:w="0" w:type="auto"/>
            <w:tcBorders>
              <w:tr2bl w:val="single" w:sz="4" w:space="0" w:color="auto"/>
            </w:tcBorders>
            <w:shd w:val="clear" w:color="auto" w:fill="auto"/>
            <w:vAlign w:val="center"/>
          </w:tcPr>
          <w:p w:rsidR="002E523E" w:rsidRPr="008B53A9" w:rsidRDefault="002E523E" w:rsidP="00187282">
            <w:pPr>
              <w:pStyle w:val="Tabulka"/>
              <w:jc w:val="left"/>
              <w:rPr>
                <w:rFonts w:cs="Calibri"/>
                <w:lang w:val="cs-CZ" w:eastAsia="cs-CZ"/>
              </w:rPr>
            </w:pPr>
          </w:p>
        </w:tc>
        <w:tc>
          <w:tcPr>
            <w:tcW w:w="0" w:type="auto"/>
            <w:tcBorders>
              <w:top w:val="nil"/>
              <w:left w:val="single" w:sz="4" w:space="0" w:color="auto"/>
              <w:bottom w:val="nil"/>
              <w:right w:val="single" w:sz="4" w:space="0" w:color="auto"/>
            </w:tcBorders>
            <w:shd w:val="clear" w:color="auto" w:fill="auto"/>
          </w:tcPr>
          <w:p w:rsidR="002E523E" w:rsidRPr="008B53A9" w:rsidRDefault="002E523E" w:rsidP="00267430">
            <w:pPr>
              <w:pStyle w:val="Tabulka"/>
              <w:jc w:val="left"/>
              <w:rPr>
                <w:rFonts w:cs="Calibri"/>
                <w:lang w:val="cs-CZ" w:eastAsia="cs-CZ"/>
              </w:rPr>
            </w:pPr>
          </w:p>
        </w:tc>
        <w:tc>
          <w:tcPr>
            <w:tcW w:w="0" w:type="auto"/>
            <w:tcBorders>
              <w:left w:val="single" w:sz="4" w:space="0" w:color="auto"/>
              <w:right w:val="single" w:sz="4" w:space="0" w:color="auto"/>
            </w:tcBorders>
            <w:vAlign w:val="center"/>
          </w:tcPr>
          <w:p w:rsidR="002E523E" w:rsidRPr="008B53A9" w:rsidRDefault="002E523E" w:rsidP="00267430">
            <w:pPr>
              <w:pStyle w:val="Tabulka"/>
              <w:jc w:val="left"/>
              <w:rPr>
                <w:rFonts w:cs="Calibri"/>
                <w:lang w:val="cs-CZ" w:eastAsia="cs-CZ"/>
              </w:rPr>
            </w:pPr>
            <w:r w:rsidRPr="008B53A9">
              <w:rPr>
                <w:rFonts w:cs="Calibri"/>
                <w:lang w:val="cs-CZ" w:eastAsia="cs-CZ"/>
              </w:rPr>
              <w:t>komplementarita</w:t>
            </w:r>
          </w:p>
        </w:tc>
        <w:tc>
          <w:tcPr>
            <w:tcW w:w="0" w:type="auto"/>
            <w:tcBorders>
              <w:left w:val="single" w:sz="4" w:space="0" w:color="auto"/>
            </w:tcBorders>
            <w:vAlign w:val="center"/>
          </w:tcPr>
          <w:p w:rsidR="002E523E" w:rsidRPr="008B53A9" w:rsidRDefault="007E578A" w:rsidP="00A22A08">
            <w:pPr>
              <w:pStyle w:val="Tabulka"/>
              <w:jc w:val="left"/>
              <w:rPr>
                <w:rFonts w:cs="Calibri"/>
                <w:lang w:val="cs-CZ" w:eastAsia="cs-CZ"/>
              </w:rPr>
            </w:pPr>
            <w:r w:rsidRPr="008B53A9">
              <w:rPr>
                <w:rFonts w:cs="Calibri"/>
                <w:lang w:val="cs-CZ" w:eastAsia="cs-CZ"/>
              </w:rPr>
              <w:t>komplementarita</w:t>
            </w:r>
          </w:p>
        </w:tc>
      </w:tr>
      <w:tr w:rsidR="00A22A08" w:rsidRPr="008B53A9">
        <w:tc>
          <w:tcPr>
            <w:tcW w:w="0" w:type="auto"/>
            <w:shd w:val="clear" w:color="auto" w:fill="E5DFEC"/>
            <w:vAlign w:val="center"/>
          </w:tcPr>
          <w:p w:rsidR="00A22A08" w:rsidRPr="008B53A9" w:rsidRDefault="00A22A08" w:rsidP="00267430">
            <w:pPr>
              <w:pStyle w:val="Tabulka"/>
              <w:jc w:val="left"/>
              <w:rPr>
                <w:rFonts w:cs="Calibri"/>
                <w:b/>
                <w:lang w:val="cs-CZ" w:eastAsia="cs-CZ"/>
              </w:rPr>
            </w:pPr>
            <w:r w:rsidRPr="008B53A9">
              <w:rPr>
                <w:rFonts w:cs="Calibri"/>
                <w:b/>
                <w:lang w:val="cs-CZ" w:eastAsia="cs-CZ"/>
              </w:rPr>
              <w:t>Mechanismus koordinace</w:t>
            </w:r>
          </w:p>
        </w:tc>
        <w:tc>
          <w:tcPr>
            <w:tcW w:w="0" w:type="auto"/>
            <w:gridSpan w:val="4"/>
            <w:shd w:val="clear" w:color="auto" w:fill="auto"/>
            <w:vAlign w:val="center"/>
          </w:tcPr>
          <w:p w:rsidR="00A22A08" w:rsidRPr="008B53A9" w:rsidRDefault="00A22A08" w:rsidP="00267430">
            <w:pPr>
              <w:pStyle w:val="Tabulka"/>
              <w:jc w:val="left"/>
              <w:rPr>
                <w:rFonts w:cs="Calibri"/>
                <w:lang w:val="cs-CZ" w:eastAsia="cs-CZ"/>
              </w:rPr>
            </w:pPr>
            <w:r w:rsidRPr="008B53A9">
              <w:rPr>
                <w:rFonts w:cs="Calibri"/>
                <w:lang w:val="cs-CZ" w:eastAsia="cs-CZ"/>
              </w:rPr>
              <w:t>V případě programu Horizont 2020 bude mechanismus koordinace institucionálně zajištěn prostřednictvím Technologického centra Akademie věd ČR – viz tabulka „Výzkum, vývoj a inovace“ výše. Mechanismem koordinace bude spolupráce při přípravě výzev a identifikace projektových záměrů formou konzultací s potenciálními žadateli.</w:t>
            </w:r>
          </w:p>
          <w:p w:rsidR="00A22A08" w:rsidRPr="008B53A9" w:rsidRDefault="0032023E" w:rsidP="00A22A08">
            <w:pPr>
              <w:pStyle w:val="Tabulka"/>
              <w:jc w:val="left"/>
              <w:rPr>
                <w:rFonts w:cs="Calibri"/>
                <w:lang w:val="cs-CZ" w:eastAsia="cs-CZ"/>
              </w:rPr>
            </w:pPr>
            <w:r w:rsidRPr="008B53A9">
              <w:rPr>
                <w:rFonts w:cs="Calibri"/>
                <w:lang w:val="cs-CZ" w:eastAsia="cs-CZ"/>
              </w:rPr>
              <w:t>Pokud jde o CEF, mechanismus koordinace bude zajištěn prostřednictvím účasti na odborných pracovních skupinách k problematice CEF, kterých se zúčastňují i zástupci MPO.</w:t>
            </w:r>
          </w:p>
        </w:tc>
      </w:tr>
    </w:tbl>
    <w:p w:rsidR="00A73155" w:rsidRPr="008B53A9" w:rsidRDefault="00A73155" w:rsidP="00113E40">
      <w:pPr>
        <w:pStyle w:val="Standardntext"/>
      </w:pPr>
    </w:p>
    <w:p w:rsidR="003A239A" w:rsidRPr="008B53A9" w:rsidRDefault="003A239A" w:rsidP="005D178C">
      <w:pPr>
        <w:pStyle w:val="Standardntext"/>
        <w:numPr>
          <w:ilvl w:val="0"/>
          <w:numId w:val="96"/>
        </w:numPr>
        <w:rPr>
          <w:b/>
        </w:rPr>
      </w:pPr>
      <w:r w:rsidRPr="008B53A9">
        <w:rPr>
          <w:b/>
        </w:rPr>
        <w:t>ICT</w:t>
      </w:r>
    </w:p>
    <w:p w:rsidR="003A239A" w:rsidRPr="008B53A9" w:rsidRDefault="003A239A" w:rsidP="003A239A">
      <w:pPr>
        <w:pStyle w:val="Standardntext"/>
      </w:pPr>
      <w:r w:rsidRPr="008B53A9">
        <w:t xml:space="preserve">Také v případě ICT má OP PIK vazbu na </w:t>
      </w:r>
      <w:r w:rsidRPr="008B53A9">
        <w:rPr>
          <w:b/>
        </w:rPr>
        <w:t>Horizont 2020</w:t>
      </w:r>
      <w:r w:rsidRPr="008B53A9">
        <w:t>, kde lze spatřovat vazby především v oblasti internetové infrastruktury a vývoji pokročilých a inteligencích systémů.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5218"/>
        <w:gridCol w:w="284"/>
        <w:gridCol w:w="4897"/>
      </w:tblGrid>
      <w:tr w:rsidR="00594FC4" w:rsidRPr="008B53A9">
        <w:trPr>
          <w:trHeight w:val="233"/>
        </w:trPr>
        <w:tc>
          <w:tcPr>
            <w:tcW w:w="1379" w:type="pct"/>
            <w:shd w:val="clear" w:color="auto" w:fill="937BB1"/>
            <w:vAlign w:val="center"/>
          </w:tcPr>
          <w:p w:rsidR="00594FC4" w:rsidRPr="008B53A9" w:rsidRDefault="00594FC4" w:rsidP="00356BE6">
            <w:pPr>
              <w:pStyle w:val="Tabulka"/>
              <w:keepNext/>
              <w:keepLines/>
              <w:jc w:val="left"/>
              <w:rPr>
                <w:rFonts w:cs="Calibri"/>
                <w:b/>
                <w:lang w:val="cs-CZ" w:eastAsia="cs-CZ"/>
              </w:rPr>
            </w:pPr>
            <w:r w:rsidRPr="008B53A9">
              <w:rPr>
                <w:rFonts w:cs="Calibri"/>
                <w:b/>
                <w:color w:val="FFFFFF"/>
                <w:lang w:val="cs-CZ" w:eastAsia="cs-CZ"/>
              </w:rPr>
              <w:t>ICT</w:t>
            </w:r>
          </w:p>
        </w:tc>
        <w:tc>
          <w:tcPr>
            <w:tcW w:w="1817" w:type="pct"/>
            <w:tcBorders>
              <w:bottom w:val="single" w:sz="4" w:space="0" w:color="000000"/>
            </w:tcBorders>
            <w:shd w:val="clear" w:color="auto" w:fill="B2A1C7"/>
            <w:vAlign w:val="center"/>
          </w:tcPr>
          <w:p w:rsidR="00594FC4" w:rsidRPr="008B53A9" w:rsidRDefault="00594FC4" w:rsidP="00267430">
            <w:pPr>
              <w:pStyle w:val="Tabulka"/>
              <w:keepNext/>
              <w:keepLines/>
              <w:rPr>
                <w:rFonts w:cs="Calibri"/>
                <w:b/>
                <w:lang w:val="cs-CZ" w:eastAsia="cs-CZ"/>
              </w:rPr>
            </w:pPr>
            <w:r w:rsidRPr="008B53A9">
              <w:rPr>
                <w:rFonts w:cs="Calibri"/>
                <w:b/>
                <w:lang w:val="cs-CZ" w:eastAsia="cs-CZ"/>
              </w:rPr>
              <w:t>OP PIK</w:t>
            </w:r>
          </w:p>
        </w:tc>
        <w:tc>
          <w:tcPr>
            <w:tcW w:w="99" w:type="pct"/>
            <w:tcBorders>
              <w:top w:val="nil"/>
              <w:left w:val="single" w:sz="4" w:space="0" w:color="auto"/>
              <w:bottom w:val="nil"/>
              <w:right w:val="single" w:sz="4" w:space="0" w:color="auto"/>
            </w:tcBorders>
            <w:shd w:val="clear" w:color="auto" w:fill="auto"/>
          </w:tcPr>
          <w:p w:rsidR="00594FC4" w:rsidRPr="008B53A9" w:rsidRDefault="00594FC4" w:rsidP="00267430">
            <w:pPr>
              <w:pStyle w:val="Tabulka"/>
              <w:keepNext/>
              <w:keepLines/>
              <w:rPr>
                <w:rFonts w:cs="Calibri"/>
                <w:b/>
                <w:lang w:val="cs-CZ" w:eastAsia="cs-CZ"/>
              </w:rPr>
            </w:pPr>
          </w:p>
        </w:tc>
        <w:tc>
          <w:tcPr>
            <w:tcW w:w="1705" w:type="pct"/>
            <w:tcBorders>
              <w:left w:val="single" w:sz="4" w:space="0" w:color="auto"/>
              <w:bottom w:val="single" w:sz="4" w:space="0" w:color="000000"/>
              <w:right w:val="single" w:sz="4" w:space="0" w:color="auto"/>
            </w:tcBorders>
            <w:shd w:val="clear" w:color="auto" w:fill="B2A1C7"/>
            <w:vAlign w:val="center"/>
          </w:tcPr>
          <w:p w:rsidR="00594FC4" w:rsidRPr="008B53A9" w:rsidRDefault="0087102E" w:rsidP="0000319F">
            <w:pPr>
              <w:pStyle w:val="Tabulka"/>
              <w:keepNext/>
              <w:keepLines/>
              <w:rPr>
                <w:rFonts w:cs="Calibri"/>
                <w:b/>
                <w:lang w:val="cs-CZ" w:eastAsia="cs-CZ"/>
              </w:rPr>
            </w:pPr>
            <w:r w:rsidRPr="008B53A9">
              <w:rPr>
                <w:rFonts w:cs="Calibri"/>
                <w:b/>
                <w:lang w:val="cs-CZ" w:eastAsia="cs-CZ"/>
              </w:rPr>
              <w:t>Horizont 2020</w:t>
            </w:r>
          </w:p>
        </w:tc>
      </w:tr>
      <w:tr w:rsidR="000305FB" w:rsidRPr="008B53A9">
        <w:trPr>
          <w:trHeight w:val="842"/>
        </w:trPr>
        <w:tc>
          <w:tcPr>
            <w:tcW w:w="1379" w:type="pct"/>
            <w:tcBorders>
              <w:bottom w:val="dotted" w:sz="4" w:space="0" w:color="auto"/>
            </w:tcBorders>
            <w:shd w:val="clear" w:color="auto" w:fill="E5DFEC"/>
            <w:vAlign w:val="center"/>
          </w:tcPr>
          <w:p w:rsidR="00594FC4" w:rsidRPr="008B53A9" w:rsidRDefault="002E0DC8" w:rsidP="00267430">
            <w:pPr>
              <w:pStyle w:val="Tabulka"/>
              <w:jc w:val="left"/>
              <w:rPr>
                <w:rFonts w:cs="Calibri"/>
                <w:b/>
                <w:lang w:val="cs-CZ" w:eastAsia="cs-CZ"/>
              </w:rPr>
            </w:pPr>
            <w:r w:rsidRPr="008B53A9">
              <w:rPr>
                <w:rFonts w:cs="Calibri"/>
                <w:b/>
                <w:lang w:val="cs-CZ" w:eastAsia="cs-CZ"/>
              </w:rPr>
              <w:t>Tematický cíl / investiční priorita</w:t>
            </w:r>
          </w:p>
        </w:tc>
        <w:tc>
          <w:tcPr>
            <w:tcW w:w="1817" w:type="pct"/>
            <w:tcBorders>
              <w:bottom w:val="dotted" w:sz="4" w:space="0" w:color="auto"/>
            </w:tcBorders>
            <w:shd w:val="clear" w:color="auto" w:fill="auto"/>
            <w:vAlign w:val="center"/>
          </w:tcPr>
          <w:p w:rsidR="00594FC4" w:rsidRPr="008B53A9" w:rsidRDefault="008022FA" w:rsidP="005E6F75">
            <w:pPr>
              <w:pStyle w:val="Tabulka"/>
              <w:jc w:val="left"/>
              <w:rPr>
                <w:rFonts w:cs="Calibri"/>
                <w:lang w:val="cs-CZ" w:eastAsia="cs-CZ"/>
              </w:rPr>
            </w:pPr>
            <w:r w:rsidRPr="008B53A9">
              <w:rPr>
                <w:rFonts w:cs="Calibri"/>
                <w:lang w:val="cs-CZ" w:eastAsia="cs-CZ"/>
              </w:rPr>
              <w:t xml:space="preserve">TC </w:t>
            </w:r>
            <w:r w:rsidR="00594FC4" w:rsidRPr="008B53A9">
              <w:rPr>
                <w:rFonts w:cs="Calibri"/>
                <w:lang w:val="cs-CZ" w:eastAsia="cs-CZ"/>
              </w:rPr>
              <w:t>2</w:t>
            </w:r>
            <w:r w:rsidR="005E6F75" w:rsidRPr="008B53A9">
              <w:rPr>
                <w:rFonts w:cs="Calibri"/>
                <w:lang w:val="cs-CZ" w:eastAsia="cs-CZ"/>
              </w:rPr>
              <w:t xml:space="preserve"> / </w:t>
            </w:r>
            <w:r w:rsidRPr="008B53A9">
              <w:rPr>
                <w:rFonts w:cs="Calibri"/>
                <w:lang w:val="cs-CZ" w:eastAsia="cs-CZ"/>
              </w:rPr>
              <w:t>2 a)</w:t>
            </w:r>
          </w:p>
          <w:p w:rsidR="005E6F75" w:rsidRPr="008B53A9" w:rsidRDefault="008022FA" w:rsidP="008022FA">
            <w:pPr>
              <w:pStyle w:val="Tabulka"/>
              <w:jc w:val="left"/>
              <w:rPr>
                <w:rFonts w:cs="Calibri"/>
                <w:lang w:val="cs-CZ" w:eastAsia="cs-CZ"/>
              </w:rPr>
            </w:pPr>
            <w:r w:rsidRPr="008B53A9">
              <w:rPr>
                <w:rFonts w:cs="Calibri"/>
                <w:lang w:val="cs-CZ" w:eastAsia="cs-CZ"/>
              </w:rPr>
              <w:t xml:space="preserve">TC </w:t>
            </w:r>
            <w:r w:rsidR="005E6F75" w:rsidRPr="008B53A9">
              <w:rPr>
                <w:rFonts w:cs="Calibri"/>
                <w:lang w:val="cs-CZ" w:eastAsia="cs-CZ"/>
              </w:rPr>
              <w:t xml:space="preserve">2 / </w:t>
            </w:r>
            <w:r w:rsidRPr="008B53A9">
              <w:rPr>
                <w:rFonts w:cs="Calibri"/>
                <w:lang w:val="cs-CZ" w:eastAsia="cs-CZ"/>
              </w:rPr>
              <w:t>2 b)</w:t>
            </w:r>
          </w:p>
        </w:tc>
        <w:tc>
          <w:tcPr>
            <w:tcW w:w="99" w:type="pct"/>
            <w:tcBorders>
              <w:top w:val="nil"/>
              <w:left w:val="single" w:sz="4" w:space="0" w:color="auto"/>
              <w:bottom w:val="nil"/>
              <w:right w:val="single" w:sz="4" w:space="0" w:color="auto"/>
              <w:tr2bl w:val="nil"/>
            </w:tcBorders>
            <w:shd w:val="clear" w:color="auto" w:fill="auto"/>
          </w:tcPr>
          <w:p w:rsidR="00594FC4" w:rsidRPr="008B53A9" w:rsidRDefault="00594FC4" w:rsidP="00267430"/>
        </w:tc>
        <w:tc>
          <w:tcPr>
            <w:tcW w:w="1705" w:type="pct"/>
            <w:tcBorders>
              <w:top w:val="single" w:sz="4" w:space="0" w:color="000000"/>
              <w:left w:val="single" w:sz="4" w:space="0" w:color="auto"/>
              <w:bottom w:val="dotted" w:sz="4" w:space="0" w:color="auto"/>
              <w:right w:val="single" w:sz="4" w:space="0" w:color="auto"/>
              <w:tr2bl w:val="single" w:sz="4" w:space="0" w:color="auto"/>
            </w:tcBorders>
            <w:vAlign w:val="center"/>
          </w:tcPr>
          <w:p w:rsidR="00594FC4" w:rsidRPr="008B53A9" w:rsidRDefault="00594FC4" w:rsidP="0000319F"/>
        </w:tc>
      </w:tr>
      <w:tr w:rsidR="00594FC4" w:rsidRPr="008B53A9">
        <w:trPr>
          <w:trHeight w:val="212"/>
        </w:trPr>
        <w:tc>
          <w:tcPr>
            <w:tcW w:w="1379" w:type="pct"/>
            <w:tcBorders>
              <w:top w:val="dotted" w:sz="4" w:space="0" w:color="auto"/>
              <w:bottom w:val="dotted" w:sz="4" w:space="0" w:color="auto"/>
            </w:tcBorders>
            <w:shd w:val="clear" w:color="auto" w:fill="E5DFEC"/>
            <w:vAlign w:val="center"/>
          </w:tcPr>
          <w:p w:rsidR="00594FC4" w:rsidRPr="008B53A9" w:rsidRDefault="00594FC4" w:rsidP="00267430">
            <w:pPr>
              <w:pStyle w:val="Tabulka"/>
              <w:jc w:val="left"/>
              <w:rPr>
                <w:rFonts w:cs="Calibri"/>
                <w:b/>
                <w:lang w:val="cs-CZ" w:eastAsia="cs-CZ"/>
              </w:rPr>
            </w:pPr>
            <w:r w:rsidRPr="008B53A9">
              <w:rPr>
                <w:rFonts w:cs="Calibri"/>
                <w:b/>
                <w:lang w:val="cs-CZ" w:eastAsia="cs-CZ"/>
              </w:rPr>
              <w:t>Prioritní osa</w:t>
            </w:r>
          </w:p>
        </w:tc>
        <w:tc>
          <w:tcPr>
            <w:tcW w:w="1817" w:type="pct"/>
            <w:tcBorders>
              <w:top w:val="dotted" w:sz="4" w:space="0" w:color="auto"/>
              <w:bottom w:val="dotted" w:sz="4" w:space="0" w:color="auto"/>
            </w:tcBorders>
            <w:shd w:val="clear" w:color="auto" w:fill="auto"/>
            <w:vAlign w:val="center"/>
          </w:tcPr>
          <w:p w:rsidR="00594FC4" w:rsidRPr="008B53A9" w:rsidRDefault="00594FC4" w:rsidP="00267430">
            <w:pPr>
              <w:pStyle w:val="Tabulka"/>
              <w:jc w:val="left"/>
              <w:rPr>
                <w:rFonts w:cs="Calibri"/>
                <w:lang w:val="cs-CZ" w:eastAsia="cs-CZ"/>
              </w:rPr>
            </w:pPr>
            <w:r w:rsidRPr="008B53A9">
              <w:rPr>
                <w:rFonts w:cs="Calibri"/>
                <w:lang w:val="cs-CZ" w:eastAsia="cs-CZ"/>
              </w:rPr>
              <w:t>PO 4: Rozvoj vysokorychlostních přístupových sítí k internetu a informačních a komunikačních technologií</w:t>
            </w:r>
          </w:p>
        </w:tc>
        <w:tc>
          <w:tcPr>
            <w:tcW w:w="99" w:type="pct"/>
            <w:tcBorders>
              <w:top w:val="nil"/>
              <w:left w:val="single" w:sz="4" w:space="0" w:color="auto"/>
              <w:bottom w:val="nil"/>
              <w:right w:val="single" w:sz="4" w:space="0" w:color="auto"/>
              <w:tr2bl w:val="nil"/>
            </w:tcBorders>
            <w:shd w:val="clear" w:color="auto" w:fill="auto"/>
          </w:tcPr>
          <w:p w:rsidR="00594FC4" w:rsidRPr="008B53A9" w:rsidRDefault="00594FC4" w:rsidP="00267430">
            <w:pPr>
              <w:pStyle w:val="Tabulka"/>
              <w:jc w:val="left"/>
              <w:rPr>
                <w:rFonts w:cs="Calibri"/>
                <w:lang w:val="cs-CZ" w:eastAsia="cs-CZ"/>
              </w:rPr>
            </w:pPr>
          </w:p>
        </w:tc>
        <w:tc>
          <w:tcPr>
            <w:tcW w:w="1705" w:type="pct"/>
            <w:tcBorders>
              <w:top w:val="dotted" w:sz="4" w:space="0" w:color="auto"/>
              <w:left w:val="single" w:sz="4" w:space="0" w:color="auto"/>
              <w:bottom w:val="dotted" w:sz="4" w:space="0" w:color="auto"/>
              <w:right w:val="single" w:sz="4" w:space="0" w:color="auto"/>
            </w:tcBorders>
            <w:vAlign w:val="center"/>
          </w:tcPr>
          <w:p w:rsidR="00594FC4" w:rsidRPr="008B53A9" w:rsidRDefault="00594FC4" w:rsidP="0000319F">
            <w:pPr>
              <w:pStyle w:val="Tabulka"/>
              <w:jc w:val="left"/>
              <w:rPr>
                <w:rFonts w:cs="Calibri"/>
                <w:lang w:val="cs-CZ" w:eastAsia="cs-CZ"/>
              </w:rPr>
            </w:pPr>
            <w:r w:rsidRPr="008B53A9">
              <w:rPr>
                <w:rFonts w:cs="Calibri"/>
                <w:lang w:val="cs-CZ" w:eastAsia="cs-CZ"/>
              </w:rPr>
              <w:t>Priorita 2) Vedoucí postavení průmyslu</w:t>
            </w:r>
          </w:p>
        </w:tc>
      </w:tr>
      <w:tr w:rsidR="00594FC4" w:rsidRPr="008B53A9">
        <w:tc>
          <w:tcPr>
            <w:tcW w:w="1379" w:type="pct"/>
            <w:tcBorders>
              <w:top w:val="dotted" w:sz="4" w:space="0" w:color="auto"/>
            </w:tcBorders>
            <w:shd w:val="clear" w:color="auto" w:fill="E5DFEC"/>
            <w:vAlign w:val="center"/>
          </w:tcPr>
          <w:p w:rsidR="00594FC4" w:rsidRPr="008B53A9" w:rsidRDefault="00594FC4" w:rsidP="00267430">
            <w:pPr>
              <w:pStyle w:val="Tabulka"/>
              <w:jc w:val="left"/>
              <w:rPr>
                <w:rFonts w:cs="Calibri"/>
                <w:b/>
                <w:lang w:val="cs-CZ" w:eastAsia="cs-CZ"/>
              </w:rPr>
            </w:pPr>
            <w:r w:rsidRPr="008B53A9">
              <w:rPr>
                <w:rFonts w:cs="Calibri"/>
                <w:b/>
                <w:lang w:val="cs-CZ" w:eastAsia="cs-CZ"/>
              </w:rPr>
              <w:t>Specifický cíl</w:t>
            </w:r>
          </w:p>
        </w:tc>
        <w:tc>
          <w:tcPr>
            <w:tcW w:w="1817" w:type="pct"/>
            <w:tcBorders>
              <w:top w:val="dotted" w:sz="4" w:space="0" w:color="auto"/>
            </w:tcBorders>
            <w:shd w:val="clear" w:color="auto" w:fill="auto"/>
            <w:vAlign w:val="center"/>
          </w:tcPr>
          <w:p w:rsidR="00594FC4" w:rsidRPr="008B53A9" w:rsidRDefault="00594FC4" w:rsidP="00267430">
            <w:pPr>
              <w:pStyle w:val="Tabulka"/>
              <w:jc w:val="left"/>
              <w:rPr>
                <w:rFonts w:cs="Calibri"/>
                <w:lang w:val="cs-CZ" w:eastAsia="cs-CZ"/>
              </w:rPr>
            </w:pPr>
            <w:r w:rsidRPr="008B53A9">
              <w:rPr>
                <w:rFonts w:cs="Calibri"/>
                <w:lang w:val="cs-CZ" w:eastAsia="cs-CZ"/>
              </w:rPr>
              <w:t xml:space="preserve">SC 4.1: Zvětšit pokrytí vysokorychlostním přístupem </w:t>
            </w:r>
            <w:r w:rsidRPr="008B53A9">
              <w:rPr>
                <w:rFonts w:cs="Calibri"/>
                <w:lang w:val="cs-CZ" w:eastAsia="cs-CZ"/>
              </w:rPr>
              <w:lastRenderedPageBreak/>
              <w:t>k internetu</w:t>
            </w:r>
          </w:p>
          <w:p w:rsidR="00594FC4" w:rsidRPr="008B53A9" w:rsidRDefault="00594FC4" w:rsidP="00267430">
            <w:pPr>
              <w:pStyle w:val="Tabulka"/>
              <w:jc w:val="left"/>
              <w:rPr>
                <w:rFonts w:cs="Calibri"/>
                <w:lang w:val="cs-CZ" w:eastAsia="cs-CZ"/>
              </w:rPr>
            </w:pPr>
            <w:r w:rsidRPr="008B53A9">
              <w:rPr>
                <w:rFonts w:cs="Calibri"/>
                <w:lang w:val="cs-CZ" w:eastAsia="cs-CZ"/>
              </w:rPr>
              <w:t xml:space="preserve">SC 4.2: </w:t>
            </w:r>
            <w:r w:rsidR="002F63A9" w:rsidRPr="008B53A9">
              <w:rPr>
                <w:rFonts w:cs="Calibri"/>
                <w:lang w:val="cs-CZ" w:eastAsia="cs-CZ"/>
              </w:rPr>
              <w:t>Zvýšit využití potenciálu ICT sektoru pro konkurenceschopnost ekonomiky</w:t>
            </w:r>
          </w:p>
        </w:tc>
        <w:tc>
          <w:tcPr>
            <w:tcW w:w="99" w:type="pct"/>
            <w:tcBorders>
              <w:top w:val="nil"/>
              <w:left w:val="single" w:sz="4" w:space="0" w:color="auto"/>
              <w:bottom w:val="nil"/>
              <w:right w:val="single" w:sz="4" w:space="0" w:color="auto"/>
            </w:tcBorders>
            <w:shd w:val="clear" w:color="auto" w:fill="auto"/>
          </w:tcPr>
          <w:p w:rsidR="00594FC4" w:rsidRPr="008B53A9" w:rsidRDefault="00594FC4" w:rsidP="00267430">
            <w:pPr>
              <w:pStyle w:val="Tabulka"/>
              <w:jc w:val="left"/>
              <w:rPr>
                <w:rFonts w:cs="Calibri"/>
                <w:iCs/>
                <w:lang w:val="cs-CZ" w:eastAsia="cs-CZ"/>
              </w:rPr>
            </w:pPr>
          </w:p>
        </w:tc>
        <w:tc>
          <w:tcPr>
            <w:tcW w:w="1705" w:type="pct"/>
            <w:tcBorders>
              <w:top w:val="dotted" w:sz="4" w:space="0" w:color="auto"/>
              <w:left w:val="single" w:sz="4" w:space="0" w:color="auto"/>
              <w:right w:val="single" w:sz="4" w:space="0" w:color="auto"/>
            </w:tcBorders>
            <w:vAlign w:val="center"/>
          </w:tcPr>
          <w:p w:rsidR="00594FC4" w:rsidRPr="008B53A9" w:rsidRDefault="00594FC4" w:rsidP="0000319F">
            <w:pPr>
              <w:pStyle w:val="Tabulka"/>
              <w:jc w:val="left"/>
              <w:rPr>
                <w:rFonts w:cs="Calibri"/>
                <w:iCs/>
                <w:lang w:val="cs-CZ" w:eastAsia="cs-CZ"/>
              </w:rPr>
            </w:pPr>
            <w:r w:rsidRPr="008B53A9">
              <w:rPr>
                <w:rFonts w:cs="Calibri"/>
                <w:iCs/>
                <w:lang w:val="cs-CZ" w:eastAsia="cs-CZ"/>
              </w:rPr>
              <w:t xml:space="preserve">2.1 Průlomové a průmyslové technologie (2.1.1 </w:t>
            </w:r>
            <w:r w:rsidRPr="008B53A9">
              <w:rPr>
                <w:rFonts w:cs="Calibri"/>
                <w:iCs/>
                <w:lang w:val="cs-CZ" w:eastAsia="cs-CZ"/>
              </w:rPr>
              <w:lastRenderedPageBreak/>
              <w:t>Informačních a komunikační technologie)</w:t>
            </w:r>
          </w:p>
        </w:tc>
      </w:tr>
      <w:tr w:rsidR="00594FC4" w:rsidRPr="008B53A9">
        <w:tc>
          <w:tcPr>
            <w:tcW w:w="1379" w:type="pct"/>
            <w:shd w:val="clear" w:color="auto" w:fill="E5DFEC"/>
            <w:vAlign w:val="center"/>
          </w:tcPr>
          <w:p w:rsidR="00594FC4" w:rsidRPr="008B53A9" w:rsidRDefault="00594FC4" w:rsidP="00267430">
            <w:pPr>
              <w:pStyle w:val="Tabulka"/>
              <w:jc w:val="left"/>
              <w:rPr>
                <w:rFonts w:cs="Calibri"/>
                <w:b/>
                <w:lang w:val="cs-CZ" w:eastAsia="cs-CZ"/>
              </w:rPr>
            </w:pPr>
            <w:r w:rsidRPr="008B53A9">
              <w:rPr>
                <w:rFonts w:cs="Calibri"/>
                <w:b/>
                <w:lang w:val="cs-CZ" w:eastAsia="cs-CZ"/>
              </w:rPr>
              <w:lastRenderedPageBreak/>
              <w:t>Věcná specifikace (zaměření, aktivity)</w:t>
            </w:r>
          </w:p>
        </w:tc>
        <w:tc>
          <w:tcPr>
            <w:tcW w:w="1817" w:type="pct"/>
            <w:shd w:val="clear" w:color="auto" w:fill="auto"/>
            <w:vAlign w:val="center"/>
          </w:tcPr>
          <w:p w:rsidR="00594FC4" w:rsidRPr="008B53A9" w:rsidRDefault="00594FC4" w:rsidP="00267430">
            <w:pPr>
              <w:pStyle w:val="Tabulka"/>
              <w:jc w:val="left"/>
              <w:rPr>
                <w:rFonts w:cs="Calibri"/>
                <w:lang w:val="cs-CZ" w:eastAsia="cs-CZ"/>
              </w:rPr>
            </w:pPr>
            <w:r w:rsidRPr="008B53A9">
              <w:rPr>
                <w:rFonts w:cs="Calibri"/>
                <w:lang w:val="cs-CZ" w:eastAsia="cs-CZ"/>
              </w:rPr>
              <w:t>- zřizování nových sítí pro vysokorychlostní přístup k internetu či modernizace resp. rozšiřování stávající infrastruktury pro vysokorychlostní přístup k internetu</w:t>
            </w:r>
          </w:p>
          <w:p w:rsidR="00594FC4" w:rsidRPr="008B53A9" w:rsidRDefault="00594FC4" w:rsidP="00267430">
            <w:pPr>
              <w:pStyle w:val="Tabulka"/>
              <w:jc w:val="left"/>
              <w:rPr>
                <w:rFonts w:cs="Calibri"/>
                <w:lang w:val="cs-CZ" w:eastAsia="cs-CZ"/>
              </w:rPr>
            </w:pPr>
            <w:r w:rsidRPr="008B53A9">
              <w:rPr>
                <w:rFonts w:cs="Calibri"/>
                <w:lang w:val="cs-CZ" w:eastAsia="cs-CZ"/>
              </w:rPr>
              <w:t>- tvorba nových ICT řešení</w:t>
            </w:r>
          </w:p>
          <w:p w:rsidR="00594FC4" w:rsidRPr="008B53A9" w:rsidRDefault="00594FC4" w:rsidP="00267430">
            <w:pPr>
              <w:pStyle w:val="Tabulka"/>
              <w:jc w:val="left"/>
              <w:rPr>
                <w:rFonts w:cs="Calibri"/>
                <w:lang w:val="cs-CZ" w:eastAsia="cs-CZ"/>
              </w:rPr>
            </w:pPr>
            <w:r w:rsidRPr="008B53A9">
              <w:rPr>
                <w:rFonts w:cs="Calibri"/>
                <w:lang w:val="cs-CZ" w:eastAsia="cs-CZ"/>
              </w:rPr>
              <w:t>- poskytování sofistikovaných sdílených služeb</w:t>
            </w:r>
          </w:p>
        </w:tc>
        <w:tc>
          <w:tcPr>
            <w:tcW w:w="99" w:type="pct"/>
            <w:tcBorders>
              <w:top w:val="nil"/>
              <w:left w:val="single" w:sz="4" w:space="0" w:color="auto"/>
              <w:bottom w:val="nil"/>
              <w:right w:val="single" w:sz="4" w:space="0" w:color="auto"/>
            </w:tcBorders>
            <w:shd w:val="clear" w:color="auto" w:fill="auto"/>
          </w:tcPr>
          <w:p w:rsidR="00594FC4" w:rsidRPr="008B53A9" w:rsidRDefault="00594FC4" w:rsidP="00267430">
            <w:pPr>
              <w:pStyle w:val="Tabulka"/>
              <w:jc w:val="left"/>
              <w:rPr>
                <w:rFonts w:cs="Calibri"/>
                <w:lang w:val="cs-CZ" w:eastAsia="cs-CZ"/>
              </w:rPr>
            </w:pPr>
          </w:p>
        </w:tc>
        <w:tc>
          <w:tcPr>
            <w:tcW w:w="1705" w:type="pct"/>
            <w:tcBorders>
              <w:left w:val="single" w:sz="4" w:space="0" w:color="auto"/>
              <w:right w:val="single" w:sz="4" w:space="0" w:color="auto"/>
            </w:tcBorders>
            <w:vAlign w:val="center"/>
          </w:tcPr>
          <w:p w:rsidR="00594FC4" w:rsidRPr="008B53A9" w:rsidRDefault="00594FC4" w:rsidP="0000319F">
            <w:pPr>
              <w:pStyle w:val="Tabulka"/>
              <w:jc w:val="left"/>
              <w:rPr>
                <w:rFonts w:cs="Calibri"/>
                <w:lang w:val="cs-CZ" w:eastAsia="cs-CZ"/>
              </w:rPr>
            </w:pPr>
            <w:r w:rsidRPr="008B53A9">
              <w:rPr>
                <w:rFonts w:cs="Calibri"/>
                <w:lang w:val="cs-CZ" w:eastAsia="cs-CZ"/>
              </w:rPr>
              <w:t>- vznik internetu nové generace postupným nahrazením stávající infrastruktury pro webové, pevné a mobilní sítě</w:t>
            </w:r>
          </w:p>
          <w:p w:rsidR="00594FC4" w:rsidRPr="008B53A9" w:rsidRDefault="00594FC4" w:rsidP="0000319F">
            <w:pPr>
              <w:pStyle w:val="Tabulka"/>
              <w:jc w:val="left"/>
              <w:rPr>
                <w:rFonts w:cs="Calibri"/>
                <w:lang w:val="cs-CZ" w:eastAsia="cs-CZ"/>
              </w:rPr>
            </w:pPr>
            <w:r w:rsidRPr="008B53A9">
              <w:rPr>
                <w:rFonts w:cs="Calibri"/>
                <w:lang w:val="cs-CZ" w:eastAsia="cs-CZ"/>
              </w:rPr>
              <w:t>- návrhy pokročilých a inteligentních vestavěných komponent a systémů, vývoj a užití počítačových technologií založený na internetu (cloud computing) a další</w:t>
            </w:r>
          </w:p>
        </w:tc>
      </w:tr>
      <w:tr w:rsidR="00594FC4" w:rsidRPr="008B53A9">
        <w:tc>
          <w:tcPr>
            <w:tcW w:w="1379" w:type="pct"/>
            <w:shd w:val="clear" w:color="auto" w:fill="E5DFEC"/>
            <w:vAlign w:val="center"/>
          </w:tcPr>
          <w:p w:rsidR="00594FC4" w:rsidRPr="008B53A9" w:rsidRDefault="00594FC4" w:rsidP="00267430">
            <w:pPr>
              <w:pStyle w:val="Tabulka"/>
              <w:jc w:val="left"/>
              <w:rPr>
                <w:rFonts w:cs="Calibri"/>
                <w:b/>
                <w:lang w:val="cs-CZ" w:eastAsia="cs-CZ"/>
              </w:rPr>
            </w:pPr>
            <w:r w:rsidRPr="008B53A9">
              <w:rPr>
                <w:rFonts w:cs="Calibri"/>
                <w:b/>
                <w:lang w:val="cs-CZ" w:eastAsia="cs-CZ"/>
              </w:rPr>
              <w:t>Implementační prvky</w:t>
            </w:r>
          </w:p>
        </w:tc>
        <w:tc>
          <w:tcPr>
            <w:tcW w:w="1817" w:type="pct"/>
            <w:tcBorders>
              <w:bottom w:val="single" w:sz="4" w:space="0" w:color="auto"/>
            </w:tcBorders>
            <w:shd w:val="clear" w:color="auto" w:fill="auto"/>
            <w:vAlign w:val="center"/>
          </w:tcPr>
          <w:p w:rsidR="00594FC4" w:rsidRPr="008B53A9" w:rsidRDefault="00594FC4" w:rsidP="00B71DE7">
            <w:pPr>
              <w:pStyle w:val="Tabulka"/>
              <w:jc w:val="left"/>
              <w:rPr>
                <w:rFonts w:cs="Calibri"/>
                <w:lang w:val="cs-CZ" w:eastAsia="cs-CZ"/>
              </w:rPr>
            </w:pPr>
            <w:r w:rsidRPr="008B53A9">
              <w:rPr>
                <w:rFonts w:cs="Calibri"/>
                <w:lang w:val="cs-CZ" w:eastAsia="cs-CZ"/>
              </w:rPr>
              <w:t>Typy příjemců:  Fyzické nebo právnické osoby podnikající v oblasti elektronických komunikací</w:t>
            </w:r>
          </w:p>
          <w:p w:rsidR="00594FC4" w:rsidRPr="008B53A9" w:rsidRDefault="00EA72D6" w:rsidP="00B71DE7">
            <w:pPr>
              <w:pStyle w:val="Tabulka"/>
              <w:jc w:val="left"/>
              <w:rPr>
                <w:rFonts w:cs="Calibri"/>
                <w:lang w:val="cs-CZ" w:eastAsia="cs-CZ"/>
              </w:rPr>
            </w:pPr>
            <w:r w:rsidRPr="008B53A9">
              <w:rPr>
                <w:rFonts w:cs="Calibri"/>
                <w:lang w:val="cs-CZ" w:eastAsia="cs-CZ"/>
              </w:rPr>
              <w:t>Cílové území: Prioritně tzv. bílé, případně i šedé, oblasti na území ČR (bez území hl. města Prahy)</w:t>
            </w:r>
          </w:p>
        </w:tc>
        <w:tc>
          <w:tcPr>
            <w:tcW w:w="99" w:type="pct"/>
            <w:tcBorders>
              <w:top w:val="nil"/>
              <w:left w:val="single" w:sz="4" w:space="0" w:color="auto"/>
              <w:bottom w:val="nil"/>
              <w:right w:val="single" w:sz="4" w:space="0" w:color="auto"/>
            </w:tcBorders>
            <w:shd w:val="clear" w:color="auto" w:fill="auto"/>
          </w:tcPr>
          <w:p w:rsidR="00594FC4" w:rsidRPr="008B53A9" w:rsidRDefault="00594FC4" w:rsidP="00267430">
            <w:pPr>
              <w:pStyle w:val="Tabulka"/>
              <w:jc w:val="left"/>
              <w:rPr>
                <w:rFonts w:cs="Calibri"/>
                <w:lang w:val="cs-CZ" w:eastAsia="cs-CZ"/>
              </w:rPr>
            </w:pPr>
          </w:p>
        </w:tc>
        <w:tc>
          <w:tcPr>
            <w:tcW w:w="1705" w:type="pct"/>
            <w:tcBorders>
              <w:left w:val="single" w:sz="4" w:space="0" w:color="auto"/>
              <w:right w:val="single" w:sz="4" w:space="0" w:color="auto"/>
            </w:tcBorders>
            <w:vAlign w:val="center"/>
          </w:tcPr>
          <w:p w:rsidR="00594FC4" w:rsidRPr="008B53A9" w:rsidRDefault="00594FC4" w:rsidP="00D539CD">
            <w:pPr>
              <w:pStyle w:val="Tabulka"/>
              <w:jc w:val="left"/>
              <w:rPr>
                <w:rFonts w:cs="Calibri"/>
                <w:lang w:val="cs-CZ" w:eastAsia="cs-CZ"/>
              </w:rPr>
            </w:pPr>
            <w:r w:rsidRPr="008B53A9">
              <w:rPr>
                <w:rFonts w:cs="Calibri"/>
                <w:lang w:val="cs-CZ" w:eastAsia="cs-CZ"/>
              </w:rPr>
              <w:t>Typy příjemců: Podnikatelské subjekty</w:t>
            </w:r>
          </w:p>
          <w:p w:rsidR="00594FC4" w:rsidRPr="008B53A9" w:rsidRDefault="00594FC4" w:rsidP="00D539CD">
            <w:pPr>
              <w:pStyle w:val="Tabulka"/>
              <w:jc w:val="left"/>
              <w:rPr>
                <w:rFonts w:cs="Calibri"/>
                <w:lang w:val="cs-CZ" w:eastAsia="cs-CZ"/>
              </w:rPr>
            </w:pPr>
            <w:r w:rsidRPr="008B53A9">
              <w:rPr>
                <w:rFonts w:cs="Calibri"/>
                <w:lang w:val="cs-CZ" w:eastAsia="cs-CZ"/>
              </w:rPr>
              <w:t>Cílové území: Území České republiky</w:t>
            </w:r>
          </w:p>
        </w:tc>
      </w:tr>
      <w:tr w:rsidR="00530742" w:rsidRPr="008B53A9">
        <w:tc>
          <w:tcPr>
            <w:tcW w:w="1379" w:type="pct"/>
            <w:shd w:val="clear" w:color="auto" w:fill="E5DFEC"/>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t>Synergie/komplementarita</w:t>
            </w:r>
          </w:p>
        </w:tc>
        <w:tc>
          <w:tcPr>
            <w:tcW w:w="1817" w:type="pct"/>
            <w:tcBorders>
              <w:tr2bl w:val="single" w:sz="4" w:space="0" w:color="auto"/>
            </w:tcBorders>
            <w:shd w:val="clear" w:color="auto" w:fill="auto"/>
            <w:vAlign w:val="center"/>
          </w:tcPr>
          <w:p w:rsidR="00530742" w:rsidRPr="008B53A9" w:rsidRDefault="00530742" w:rsidP="00B71DE7">
            <w:pPr>
              <w:pStyle w:val="Tabulka"/>
              <w:jc w:val="left"/>
              <w:rPr>
                <w:rFonts w:cs="Calibri"/>
                <w:lang w:val="cs-CZ" w:eastAsia="cs-CZ"/>
              </w:rPr>
            </w:pPr>
          </w:p>
        </w:tc>
        <w:tc>
          <w:tcPr>
            <w:tcW w:w="99" w:type="pct"/>
            <w:tcBorders>
              <w:top w:val="nil"/>
              <w:left w:val="single" w:sz="4" w:space="0" w:color="auto"/>
              <w:bottom w:val="nil"/>
              <w:right w:val="single" w:sz="4" w:space="0" w:color="auto"/>
            </w:tcBorders>
            <w:shd w:val="clear" w:color="auto" w:fill="auto"/>
          </w:tcPr>
          <w:p w:rsidR="00530742" w:rsidRPr="008B53A9" w:rsidRDefault="00530742" w:rsidP="00267430">
            <w:pPr>
              <w:pStyle w:val="Tabulka"/>
              <w:jc w:val="left"/>
              <w:rPr>
                <w:rFonts w:cs="Calibri"/>
                <w:lang w:val="cs-CZ" w:eastAsia="cs-CZ"/>
              </w:rPr>
            </w:pPr>
          </w:p>
        </w:tc>
        <w:tc>
          <w:tcPr>
            <w:tcW w:w="1705" w:type="pct"/>
            <w:tcBorders>
              <w:left w:val="single" w:sz="4" w:space="0" w:color="auto"/>
              <w:right w:val="single" w:sz="4" w:space="0" w:color="auto"/>
            </w:tcBorders>
            <w:vAlign w:val="center"/>
          </w:tcPr>
          <w:p w:rsidR="00530742" w:rsidRPr="008B53A9" w:rsidRDefault="00407D0C" w:rsidP="00D539CD">
            <w:pPr>
              <w:pStyle w:val="Tabulka"/>
              <w:jc w:val="left"/>
              <w:rPr>
                <w:rFonts w:cs="Calibri"/>
                <w:lang w:val="cs-CZ" w:eastAsia="cs-CZ"/>
              </w:rPr>
            </w:pPr>
            <w:r w:rsidRPr="008B53A9">
              <w:rPr>
                <w:rFonts w:cs="Calibri"/>
                <w:lang w:val="cs-CZ" w:eastAsia="cs-CZ"/>
              </w:rPr>
              <w:t>komplementarita</w:t>
            </w:r>
          </w:p>
        </w:tc>
      </w:tr>
      <w:tr w:rsidR="00594FC4" w:rsidRPr="008B53A9">
        <w:tc>
          <w:tcPr>
            <w:tcW w:w="1379" w:type="pct"/>
            <w:shd w:val="clear" w:color="auto" w:fill="E5DFEC"/>
            <w:vAlign w:val="center"/>
          </w:tcPr>
          <w:p w:rsidR="00594FC4" w:rsidRPr="008B53A9" w:rsidRDefault="00594FC4" w:rsidP="00267430">
            <w:pPr>
              <w:pStyle w:val="Tabulka"/>
              <w:jc w:val="left"/>
              <w:rPr>
                <w:rFonts w:cs="Calibri"/>
                <w:b/>
                <w:lang w:val="cs-CZ" w:eastAsia="cs-CZ"/>
              </w:rPr>
            </w:pPr>
            <w:r w:rsidRPr="008B53A9">
              <w:rPr>
                <w:rFonts w:cs="Calibri"/>
                <w:b/>
                <w:lang w:val="cs-CZ" w:eastAsia="cs-CZ"/>
              </w:rPr>
              <w:t>Mechanismus koordinace</w:t>
            </w:r>
          </w:p>
        </w:tc>
        <w:tc>
          <w:tcPr>
            <w:tcW w:w="3621" w:type="pct"/>
            <w:gridSpan w:val="3"/>
            <w:tcBorders>
              <w:right w:val="single" w:sz="4" w:space="0" w:color="auto"/>
            </w:tcBorders>
            <w:shd w:val="clear" w:color="auto" w:fill="auto"/>
            <w:vAlign w:val="center"/>
          </w:tcPr>
          <w:p w:rsidR="00594FC4" w:rsidRPr="008B53A9" w:rsidRDefault="00594FC4" w:rsidP="004D3935">
            <w:pPr>
              <w:pStyle w:val="Tabulka"/>
              <w:jc w:val="left"/>
              <w:rPr>
                <w:rFonts w:cs="Calibri"/>
                <w:lang w:val="cs-CZ" w:eastAsia="cs-CZ"/>
              </w:rPr>
            </w:pPr>
            <w:r w:rsidRPr="008B53A9">
              <w:rPr>
                <w:rFonts w:cs="Calibri"/>
                <w:lang w:val="cs-CZ" w:eastAsia="cs-CZ"/>
              </w:rPr>
              <w:t xml:space="preserve">V případě programu </w:t>
            </w:r>
            <w:r w:rsidR="0087102E" w:rsidRPr="008B53A9">
              <w:rPr>
                <w:rFonts w:cs="Calibri"/>
                <w:lang w:val="cs-CZ" w:eastAsia="cs-CZ"/>
              </w:rPr>
              <w:t>Horizont 2020</w:t>
            </w:r>
            <w:r w:rsidRPr="008B53A9">
              <w:rPr>
                <w:rFonts w:cs="Calibri"/>
                <w:lang w:val="cs-CZ" w:eastAsia="cs-CZ"/>
              </w:rPr>
              <w:t xml:space="preserve"> bude mechanismus koordinace institucionálně zajištěn prostřednictvím Technologického centra Akademie věd ČR – viz tabulka „Výzkum, vývoj a inovace“ výše. Mechanismem koordinace bude spolupráce při přípravě výzev a identifikace projektových záměrů formou konzultací s potenciálními žadat</w:t>
            </w:r>
            <w:r w:rsidR="004D3935" w:rsidRPr="008B53A9">
              <w:rPr>
                <w:rFonts w:cs="Calibri"/>
                <w:lang w:val="cs-CZ" w:eastAsia="cs-CZ"/>
              </w:rPr>
              <w:t>eli.</w:t>
            </w:r>
          </w:p>
        </w:tc>
      </w:tr>
    </w:tbl>
    <w:p w:rsidR="00594FC4" w:rsidRPr="008B53A9" w:rsidRDefault="00594FC4" w:rsidP="00D51A7B">
      <w:pPr>
        <w:pStyle w:val="Standardntext"/>
      </w:pPr>
    </w:p>
    <w:p w:rsidR="00D51A7B" w:rsidRPr="008B53A9" w:rsidRDefault="00D51A7B" w:rsidP="005F43DF">
      <w:pPr>
        <w:pStyle w:val="Standardntext"/>
        <w:keepNext/>
        <w:keepLines/>
        <w:numPr>
          <w:ilvl w:val="0"/>
          <w:numId w:val="30"/>
        </w:numPr>
        <w:ind w:left="714" w:hanging="357"/>
        <w:rPr>
          <w:b/>
        </w:rPr>
      </w:pPr>
      <w:r w:rsidRPr="008B53A9">
        <w:rPr>
          <w:b/>
        </w:rPr>
        <w:t>Identifikace synergií a komplementarit mezi programy a národními nástroji/programy</w:t>
      </w:r>
    </w:p>
    <w:p w:rsidR="004D7D09" w:rsidRPr="008B53A9" w:rsidRDefault="004D7D09" w:rsidP="004D7D09">
      <w:pPr>
        <w:pStyle w:val="Standardntext"/>
        <w:rPr>
          <w:b/>
        </w:rPr>
      </w:pPr>
    </w:p>
    <w:p w:rsidR="004D7D09" w:rsidRPr="008B53A9" w:rsidRDefault="004D7D09" w:rsidP="005D178C">
      <w:pPr>
        <w:pStyle w:val="Standardntext"/>
        <w:numPr>
          <w:ilvl w:val="0"/>
          <w:numId w:val="97"/>
        </w:numPr>
        <w:rPr>
          <w:b/>
        </w:rPr>
      </w:pPr>
      <w:r w:rsidRPr="008B53A9">
        <w:rPr>
          <w:b/>
        </w:rPr>
        <w:t>Aplikovaný výzkum a vývoj</w:t>
      </w:r>
    </w:p>
    <w:p w:rsidR="003A239A" w:rsidRPr="008B53A9" w:rsidRDefault="003A239A" w:rsidP="003A239A">
      <w:pPr>
        <w:pStyle w:val="Standardntext"/>
      </w:pPr>
      <w:r w:rsidRPr="008B53A9">
        <w:t xml:space="preserve">Zatímco OP PIK je v této oblasti více zaměřen na průmyslové výzvy a KETs, program </w:t>
      </w:r>
      <w:r w:rsidRPr="008B53A9">
        <w:rPr>
          <w:b/>
        </w:rPr>
        <w:t>Epsilon TA ČR</w:t>
      </w:r>
      <w:r w:rsidRPr="008B53A9">
        <w:t xml:space="preserve"> je založen na plnění cílů Národních priorit orientovaného výzkumu, experimentálního vývoje a inovací, nikoliv oborově, a je nastaven flexibilně, aby nenarušil implementaci příslušných operačních programů v období 2014 – 2020, a aby jednotlivé veřejné soutěže mohly být zaměřeny tematicky, regionálně, dle typu podpory a typu </w:t>
      </w:r>
      <w:r w:rsidRPr="008B53A9">
        <w:lastRenderedPageBreak/>
        <w:t xml:space="preserve">účastníků. Program </w:t>
      </w:r>
      <w:r w:rsidRPr="008B53A9">
        <w:rPr>
          <w:b/>
        </w:rPr>
        <w:t xml:space="preserve">Delta TA ČR </w:t>
      </w:r>
      <w:r w:rsidRPr="008B53A9">
        <w:t>se orientuje na podporu mezinárodní spolupráce v aplikovaném výzkumu a experimentálním vývoji se subjekty mimo ČR na základě bilaterálních memorand s obdobnými organizacemi jako je TA ČR.</w:t>
      </w:r>
    </w:p>
    <w:p w:rsidR="003A239A" w:rsidRPr="008B53A9" w:rsidRDefault="003A239A" w:rsidP="003A239A">
      <w:pPr>
        <w:pStyle w:val="Standardntext"/>
      </w:pPr>
      <w:r w:rsidRPr="008B53A9">
        <w:t xml:space="preserve">Pokud jde o aktivitu pre-commercial public procurement, v rámci OP PIK půjde o pokrytí výzkumných potřeb nejen orgánů státní správy, ale případně také samosprávy, resp. veřejné správy. Program </w:t>
      </w:r>
      <w:r w:rsidRPr="008B53A9">
        <w:rPr>
          <w:b/>
        </w:rPr>
        <w:t>Beta TA ČR</w:t>
      </w:r>
      <w:r w:rsidRPr="008B53A9">
        <w:t xml:space="preserve"> nevyužívá způsob realizace PCP/SBIR. Zásadní rozdíl je ve vlastnictví výsledku – v programu Beta je vlastníkem zadavatel, tj. státní správa; v OP PIK bude vlastníkem výsledku realizátor, tj. soukromý podnik.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379"/>
        <w:gridCol w:w="6168"/>
        <w:gridCol w:w="148"/>
        <w:gridCol w:w="4563"/>
      </w:tblGrid>
      <w:tr w:rsidR="00D51A7B" w:rsidRPr="008B53A9">
        <w:trPr>
          <w:trHeight w:val="233"/>
        </w:trPr>
        <w:tc>
          <w:tcPr>
            <w:tcW w:w="1185" w:type="pct"/>
            <w:shd w:val="clear" w:color="auto" w:fill="5D7430"/>
            <w:vAlign w:val="center"/>
          </w:tcPr>
          <w:p w:rsidR="00D51A7B" w:rsidRPr="008B53A9" w:rsidRDefault="0097199C" w:rsidP="00FC0044">
            <w:pPr>
              <w:pStyle w:val="Tabulka"/>
              <w:keepNext/>
              <w:keepLines/>
              <w:jc w:val="left"/>
              <w:rPr>
                <w:rFonts w:cs="Calibri"/>
                <w:b/>
                <w:lang w:val="cs-CZ" w:eastAsia="cs-CZ"/>
              </w:rPr>
            </w:pPr>
            <w:r w:rsidRPr="008B53A9">
              <w:rPr>
                <w:rFonts w:cs="Calibri"/>
                <w:b/>
                <w:color w:val="FFFFFF"/>
                <w:lang w:val="cs-CZ" w:eastAsia="cs-CZ"/>
              </w:rPr>
              <w:t>Aplikovaný výzkum a vývoj</w:t>
            </w:r>
          </w:p>
        </w:tc>
        <w:tc>
          <w:tcPr>
            <w:tcW w:w="2163" w:type="pct"/>
            <w:tcBorders>
              <w:bottom w:val="single" w:sz="4" w:space="0" w:color="000000"/>
            </w:tcBorders>
            <w:shd w:val="clear" w:color="auto" w:fill="76923C"/>
            <w:vAlign w:val="center"/>
          </w:tcPr>
          <w:p w:rsidR="00D51A7B" w:rsidRPr="008B53A9" w:rsidRDefault="00D51A7B" w:rsidP="00FC0044">
            <w:pPr>
              <w:pStyle w:val="Tabulka"/>
              <w:keepNext/>
              <w:keepLines/>
              <w:rPr>
                <w:rFonts w:cs="Calibri"/>
                <w:b/>
                <w:lang w:val="cs-CZ" w:eastAsia="cs-CZ"/>
              </w:rPr>
            </w:pPr>
            <w:r w:rsidRPr="008B53A9">
              <w:rPr>
                <w:rFonts w:cs="Calibri"/>
                <w:b/>
                <w:lang w:val="cs-CZ" w:eastAsia="cs-CZ"/>
              </w:rPr>
              <w:t>OP PIK</w:t>
            </w:r>
          </w:p>
        </w:tc>
        <w:tc>
          <w:tcPr>
            <w:tcW w:w="52" w:type="pct"/>
            <w:tcBorders>
              <w:top w:val="nil"/>
              <w:left w:val="single" w:sz="4" w:space="0" w:color="auto"/>
              <w:bottom w:val="nil"/>
              <w:right w:val="single" w:sz="4" w:space="0" w:color="auto"/>
            </w:tcBorders>
            <w:shd w:val="clear" w:color="auto" w:fill="auto"/>
          </w:tcPr>
          <w:p w:rsidR="00D51A7B" w:rsidRPr="008B53A9" w:rsidRDefault="00D51A7B" w:rsidP="00FC0044">
            <w:pPr>
              <w:pStyle w:val="Tabulka"/>
              <w:keepNext/>
              <w:keepLines/>
              <w:rPr>
                <w:rFonts w:cs="Calibri"/>
                <w:b/>
                <w:lang w:val="cs-CZ" w:eastAsia="cs-CZ"/>
              </w:rPr>
            </w:pPr>
          </w:p>
        </w:tc>
        <w:tc>
          <w:tcPr>
            <w:tcW w:w="1600" w:type="pct"/>
            <w:tcBorders>
              <w:left w:val="single" w:sz="4" w:space="0" w:color="auto"/>
              <w:bottom w:val="single" w:sz="4" w:space="0" w:color="000000"/>
            </w:tcBorders>
            <w:shd w:val="clear" w:color="auto" w:fill="76923C"/>
          </w:tcPr>
          <w:p w:rsidR="00D51A7B" w:rsidRPr="008B53A9" w:rsidRDefault="00D51A7B" w:rsidP="00FC0044">
            <w:pPr>
              <w:pStyle w:val="Tabulka"/>
              <w:keepNext/>
              <w:keepLines/>
              <w:rPr>
                <w:rFonts w:cs="Calibri"/>
                <w:b/>
                <w:lang w:val="cs-CZ" w:eastAsia="cs-CZ"/>
              </w:rPr>
            </w:pPr>
            <w:r w:rsidRPr="008B53A9">
              <w:rPr>
                <w:rFonts w:cs="Calibri"/>
                <w:b/>
                <w:lang w:val="cs-CZ" w:eastAsia="cs-CZ"/>
              </w:rPr>
              <w:t>Národní programy TA ČR</w:t>
            </w:r>
          </w:p>
        </w:tc>
      </w:tr>
      <w:tr w:rsidR="00D51A7B" w:rsidRPr="008B53A9">
        <w:trPr>
          <w:trHeight w:val="300"/>
        </w:trPr>
        <w:tc>
          <w:tcPr>
            <w:tcW w:w="1185" w:type="pct"/>
            <w:vMerge w:val="restart"/>
            <w:shd w:val="clear" w:color="auto" w:fill="D6E3BC"/>
            <w:vAlign w:val="center"/>
          </w:tcPr>
          <w:p w:rsidR="00D51A7B" w:rsidRPr="008B53A9" w:rsidRDefault="002E0DC8" w:rsidP="00FC0044">
            <w:pPr>
              <w:pStyle w:val="Tabulka"/>
              <w:keepNext/>
              <w:keepLines/>
              <w:jc w:val="left"/>
              <w:rPr>
                <w:rFonts w:cs="Calibri"/>
                <w:b/>
                <w:lang w:val="cs-CZ" w:eastAsia="cs-CZ"/>
              </w:rPr>
            </w:pPr>
            <w:r w:rsidRPr="008B53A9">
              <w:rPr>
                <w:rFonts w:cs="Calibri"/>
                <w:b/>
                <w:lang w:val="cs-CZ" w:eastAsia="cs-CZ"/>
              </w:rPr>
              <w:t>Tematický cíl / investiční priorita</w:t>
            </w:r>
          </w:p>
        </w:tc>
        <w:tc>
          <w:tcPr>
            <w:tcW w:w="2163" w:type="pct"/>
            <w:vMerge w:val="restart"/>
            <w:tcBorders>
              <w:right w:val="single" w:sz="4" w:space="0" w:color="auto"/>
            </w:tcBorders>
            <w:shd w:val="clear" w:color="auto" w:fill="auto"/>
            <w:vAlign w:val="center"/>
          </w:tcPr>
          <w:p w:rsidR="00D51A7B" w:rsidRPr="008B53A9" w:rsidRDefault="008022FA" w:rsidP="00FC0044">
            <w:pPr>
              <w:pStyle w:val="Tabulka"/>
              <w:keepNext/>
              <w:keepLines/>
              <w:jc w:val="left"/>
              <w:rPr>
                <w:rFonts w:cs="Calibri"/>
                <w:lang w:val="cs-CZ" w:eastAsia="cs-CZ"/>
              </w:rPr>
            </w:pPr>
            <w:r w:rsidRPr="008B53A9">
              <w:rPr>
                <w:rFonts w:cs="Calibri"/>
                <w:lang w:val="cs-CZ" w:eastAsia="cs-CZ"/>
              </w:rPr>
              <w:t xml:space="preserve">TC </w:t>
            </w:r>
            <w:r w:rsidR="00D51A7B" w:rsidRPr="008B53A9">
              <w:rPr>
                <w:rFonts w:cs="Calibri"/>
                <w:lang w:val="cs-CZ" w:eastAsia="cs-CZ"/>
              </w:rPr>
              <w:t>1</w:t>
            </w:r>
            <w:r w:rsidR="005E6F75" w:rsidRPr="008B53A9">
              <w:rPr>
                <w:rFonts w:cs="Calibri"/>
                <w:lang w:val="cs-CZ" w:eastAsia="cs-CZ"/>
              </w:rPr>
              <w:t xml:space="preserve"> / </w:t>
            </w:r>
            <w:r w:rsidRPr="008B53A9">
              <w:rPr>
                <w:rFonts w:cs="Calibri"/>
                <w:lang w:val="cs-CZ" w:eastAsia="cs-CZ"/>
              </w:rPr>
              <w:t>1 b)</w:t>
            </w:r>
          </w:p>
        </w:tc>
        <w:tc>
          <w:tcPr>
            <w:tcW w:w="52" w:type="pct"/>
            <w:tcBorders>
              <w:top w:val="nil"/>
              <w:left w:val="single" w:sz="4" w:space="0" w:color="auto"/>
              <w:bottom w:val="nil"/>
              <w:right w:val="single" w:sz="4" w:space="0" w:color="auto"/>
            </w:tcBorders>
            <w:shd w:val="clear" w:color="auto" w:fill="auto"/>
          </w:tcPr>
          <w:p w:rsidR="00D51A7B" w:rsidRPr="008B53A9" w:rsidRDefault="00D51A7B" w:rsidP="00FC0044">
            <w:pPr>
              <w:pStyle w:val="Tabulka"/>
              <w:keepNext/>
              <w:keepLines/>
              <w:jc w:val="left"/>
              <w:rPr>
                <w:rFonts w:cs="Calibri"/>
                <w:lang w:val="cs-CZ" w:eastAsia="cs-CZ"/>
              </w:rPr>
            </w:pPr>
          </w:p>
        </w:tc>
        <w:tc>
          <w:tcPr>
            <w:tcW w:w="1600" w:type="pct"/>
            <w:vMerge w:val="restart"/>
            <w:tcBorders>
              <w:top w:val="single" w:sz="4" w:space="0" w:color="000000"/>
              <w:left w:val="single" w:sz="4" w:space="0" w:color="auto"/>
              <w:tr2bl w:val="single" w:sz="4" w:space="0" w:color="auto"/>
            </w:tcBorders>
            <w:shd w:val="clear" w:color="auto" w:fill="auto"/>
            <w:vAlign w:val="center"/>
          </w:tcPr>
          <w:p w:rsidR="00D51A7B" w:rsidRPr="008B53A9" w:rsidRDefault="00D51A7B" w:rsidP="00FC0044">
            <w:pPr>
              <w:pStyle w:val="Tabulka"/>
              <w:keepNext/>
              <w:keepLines/>
              <w:jc w:val="left"/>
              <w:rPr>
                <w:rFonts w:cs="Calibri"/>
                <w:i/>
                <w:lang w:val="cs-CZ" w:eastAsia="cs-CZ"/>
              </w:rPr>
            </w:pPr>
          </w:p>
        </w:tc>
      </w:tr>
      <w:tr w:rsidR="000305FB" w:rsidRPr="008B53A9">
        <w:trPr>
          <w:trHeight w:val="209"/>
        </w:trPr>
        <w:tc>
          <w:tcPr>
            <w:tcW w:w="1185" w:type="pct"/>
            <w:vMerge/>
            <w:tcBorders>
              <w:bottom w:val="dotted" w:sz="4" w:space="0" w:color="auto"/>
            </w:tcBorders>
            <w:shd w:val="clear" w:color="auto" w:fill="D6E3BC"/>
            <w:vAlign w:val="center"/>
          </w:tcPr>
          <w:p w:rsidR="00D51A7B" w:rsidRPr="008B53A9" w:rsidRDefault="00D51A7B" w:rsidP="00FC0044">
            <w:pPr>
              <w:pStyle w:val="Tabulka"/>
              <w:keepNext/>
              <w:keepLines/>
              <w:jc w:val="left"/>
              <w:rPr>
                <w:rFonts w:cs="Calibri"/>
                <w:b/>
                <w:lang w:val="cs-CZ" w:eastAsia="cs-CZ"/>
              </w:rPr>
            </w:pPr>
          </w:p>
        </w:tc>
        <w:tc>
          <w:tcPr>
            <w:tcW w:w="2163" w:type="pct"/>
            <w:vMerge/>
            <w:tcBorders>
              <w:bottom w:val="dotted" w:sz="4" w:space="0" w:color="auto"/>
              <w:right w:val="single" w:sz="4" w:space="0" w:color="auto"/>
            </w:tcBorders>
            <w:shd w:val="clear" w:color="auto" w:fill="auto"/>
            <w:vAlign w:val="center"/>
          </w:tcPr>
          <w:p w:rsidR="00D51A7B" w:rsidRPr="008B53A9" w:rsidRDefault="00D51A7B" w:rsidP="00FC0044">
            <w:pPr>
              <w:pStyle w:val="Tabulka"/>
              <w:keepNext/>
              <w:keepLines/>
              <w:jc w:val="left"/>
              <w:rPr>
                <w:rFonts w:cs="Calibri"/>
                <w:lang w:val="cs-CZ" w:eastAsia="cs-CZ"/>
              </w:rPr>
            </w:pPr>
          </w:p>
        </w:tc>
        <w:tc>
          <w:tcPr>
            <w:tcW w:w="52" w:type="pct"/>
            <w:tcBorders>
              <w:top w:val="nil"/>
              <w:left w:val="single" w:sz="4" w:space="0" w:color="auto"/>
              <w:bottom w:val="nil"/>
              <w:right w:val="single" w:sz="4" w:space="0" w:color="auto"/>
            </w:tcBorders>
            <w:shd w:val="clear" w:color="auto" w:fill="auto"/>
          </w:tcPr>
          <w:p w:rsidR="00D51A7B" w:rsidRPr="008B53A9" w:rsidRDefault="00D51A7B" w:rsidP="00FC0044">
            <w:pPr>
              <w:pStyle w:val="Tabulka"/>
              <w:keepNext/>
              <w:keepLines/>
              <w:jc w:val="left"/>
              <w:rPr>
                <w:rFonts w:cs="Calibri"/>
                <w:lang w:val="cs-CZ" w:eastAsia="cs-CZ"/>
              </w:rPr>
            </w:pPr>
          </w:p>
        </w:tc>
        <w:tc>
          <w:tcPr>
            <w:tcW w:w="1600" w:type="pct"/>
            <w:vMerge/>
            <w:tcBorders>
              <w:left w:val="single" w:sz="4" w:space="0" w:color="auto"/>
              <w:bottom w:val="dotted" w:sz="4" w:space="0" w:color="auto"/>
              <w:tr2bl w:val="single" w:sz="4" w:space="0" w:color="auto"/>
            </w:tcBorders>
            <w:shd w:val="clear" w:color="auto" w:fill="auto"/>
            <w:vAlign w:val="center"/>
          </w:tcPr>
          <w:p w:rsidR="00D51A7B" w:rsidRPr="008B53A9" w:rsidRDefault="00D51A7B" w:rsidP="00FC0044">
            <w:pPr>
              <w:pStyle w:val="Tabulka"/>
              <w:keepNext/>
              <w:keepLines/>
              <w:jc w:val="left"/>
              <w:rPr>
                <w:rFonts w:cs="Calibri"/>
                <w:lang w:val="cs-CZ" w:eastAsia="cs-CZ"/>
              </w:rPr>
            </w:pPr>
          </w:p>
        </w:tc>
      </w:tr>
      <w:tr w:rsidR="00D51A7B" w:rsidRPr="008B53A9">
        <w:trPr>
          <w:trHeight w:val="212"/>
        </w:trPr>
        <w:tc>
          <w:tcPr>
            <w:tcW w:w="1185" w:type="pct"/>
            <w:tcBorders>
              <w:top w:val="dotted" w:sz="4" w:space="0" w:color="auto"/>
              <w:bottom w:val="dotted" w:sz="4" w:space="0" w:color="auto"/>
            </w:tcBorders>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Prioritní osa</w:t>
            </w:r>
          </w:p>
        </w:tc>
        <w:tc>
          <w:tcPr>
            <w:tcW w:w="2163" w:type="pct"/>
            <w:tcBorders>
              <w:top w:val="dotted" w:sz="4" w:space="0" w:color="auto"/>
              <w:bottom w:val="dotted" w:sz="4" w:space="0" w:color="auto"/>
              <w:righ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1: Rozvoj výzkumu a vývoje pro inovace</w:t>
            </w:r>
          </w:p>
        </w:tc>
        <w:tc>
          <w:tcPr>
            <w:tcW w:w="52"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600" w:type="pct"/>
            <w:tcBorders>
              <w:top w:val="dotted" w:sz="4" w:space="0" w:color="auto"/>
              <w:left w:val="single" w:sz="4" w:space="0" w:color="auto"/>
              <w:bottom w:val="dotted" w:sz="4" w:space="0" w:color="auto"/>
              <w:tr2bl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p>
        </w:tc>
      </w:tr>
      <w:tr w:rsidR="00D51A7B" w:rsidRPr="008B53A9">
        <w:tc>
          <w:tcPr>
            <w:tcW w:w="1185" w:type="pct"/>
            <w:tcBorders>
              <w:top w:val="dotted" w:sz="4" w:space="0" w:color="auto"/>
            </w:tcBorders>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Specifický cíl</w:t>
            </w:r>
          </w:p>
        </w:tc>
        <w:tc>
          <w:tcPr>
            <w:tcW w:w="2163"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SC 1.1: Zvýšit inovační výkonnost podniků</w:t>
            </w:r>
          </w:p>
        </w:tc>
        <w:tc>
          <w:tcPr>
            <w:tcW w:w="52"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600" w:type="pct"/>
            <w:tcBorders>
              <w:top w:val="dotted" w:sz="4" w:space="0" w:color="auto"/>
              <w:left w:val="single" w:sz="4" w:space="0" w:color="auto"/>
            </w:tcBorders>
            <w:shd w:val="clear" w:color="auto" w:fill="auto"/>
            <w:vAlign w:val="center"/>
          </w:tcPr>
          <w:p w:rsidR="00D51A7B" w:rsidRPr="008B53A9" w:rsidRDefault="00D51A7B" w:rsidP="00CD130E">
            <w:pPr>
              <w:pStyle w:val="Tabulka"/>
              <w:jc w:val="left"/>
              <w:rPr>
                <w:rFonts w:cs="Calibri"/>
                <w:lang w:val="cs-CZ" w:eastAsia="cs-CZ"/>
              </w:rPr>
            </w:pPr>
            <w:r w:rsidRPr="008B53A9">
              <w:rPr>
                <w:rFonts w:cs="Calibri"/>
                <w:lang w:val="cs-CZ" w:eastAsia="cs-CZ"/>
              </w:rPr>
              <w:t xml:space="preserve">Beta, </w:t>
            </w:r>
            <w:r w:rsidR="00040910" w:rsidRPr="008B53A9">
              <w:rPr>
                <w:rFonts w:cs="Calibri"/>
                <w:lang w:val="cs-CZ" w:eastAsia="cs-CZ"/>
              </w:rPr>
              <w:t xml:space="preserve">Delta, </w:t>
            </w:r>
            <w:r w:rsidRPr="008B53A9">
              <w:rPr>
                <w:rFonts w:cs="Calibri"/>
                <w:lang w:val="cs-CZ" w:eastAsia="cs-CZ"/>
              </w:rPr>
              <w:t>Epsilon</w:t>
            </w:r>
          </w:p>
        </w:tc>
      </w:tr>
      <w:tr w:rsidR="00D51A7B" w:rsidRPr="008B53A9">
        <w:tc>
          <w:tcPr>
            <w:tcW w:w="1185" w:type="pct"/>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Věcná specifikace (zaměření, aktivity)</w:t>
            </w:r>
          </w:p>
        </w:tc>
        <w:tc>
          <w:tcPr>
            <w:tcW w:w="2163" w:type="pct"/>
            <w:shd w:val="clear" w:color="auto" w:fill="auto"/>
            <w:vAlign w:val="center"/>
          </w:tcPr>
          <w:p w:rsidR="00040910" w:rsidRPr="008B53A9" w:rsidRDefault="00187282" w:rsidP="00187282">
            <w:pPr>
              <w:pStyle w:val="Tabulka"/>
              <w:jc w:val="left"/>
              <w:rPr>
                <w:rFonts w:cs="Calibri"/>
                <w:bCs/>
                <w:lang w:val="cs-CZ" w:eastAsia="cs-CZ"/>
              </w:rPr>
            </w:pPr>
            <w:r w:rsidRPr="008B53A9">
              <w:rPr>
                <w:rFonts w:cs="Calibri"/>
                <w:bCs/>
                <w:lang w:val="cs-CZ" w:eastAsia="cs-CZ"/>
              </w:rPr>
              <w:t>- průmyslový výzkum a vývoj</w:t>
            </w:r>
            <w:r w:rsidR="00040910" w:rsidRPr="008B53A9">
              <w:rPr>
                <w:rFonts w:cs="Calibri"/>
                <w:bCs/>
                <w:lang w:val="cs-CZ" w:eastAsia="cs-CZ"/>
              </w:rPr>
              <w:t xml:space="preserve"> (včetně aktivit typu EraSME v případě pokračování tohoto programu v prog</w:t>
            </w:r>
            <w:r w:rsidR="001D3C89" w:rsidRPr="008B53A9">
              <w:rPr>
                <w:rFonts w:cs="Calibri"/>
                <w:bCs/>
                <w:lang w:val="cs-CZ" w:eastAsia="cs-CZ"/>
              </w:rPr>
              <w:t>ramovacím</w:t>
            </w:r>
            <w:r w:rsidR="00040910" w:rsidRPr="008B53A9">
              <w:rPr>
                <w:rFonts w:cs="Calibri"/>
                <w:bCs/>
                <w:lang w:val="cs-CZ" w:eastAsia="cs-CZ"/>
              </w:rPr>
              <w:t xml:space="preserve"> období 2014-2020)</w:t>
            </w:r>
          </w:p>
          <w:p w:rsidR="00187282" w:rsidRPr="008B53A9" w:rsidRDefault="00040910" w:rsidP="00187282">
            <w:pPr>
              <w:pStyle w:val="Tabulka"/>
              <w:jc w:val="left"/>
              <w:rPr>
                <w:rFonts w:cs="Calibri"/>
                <w:lang w:val="cs-CZ" w:eastAsia="cs-CZ"/>
              </w:rPr>
            </w:pPr>
            <w:r w:rsidRPr="008B53A9">
              <w:rPr>
                <w:rFonts w:cs="Calibri"/>
                <w:bCs/>
                <w:lang w:val="cs-CZ" w:eastAsia="cs-CZ"/>
              </w:rPr>
              <w:t xml:space="preserve">- </w:t>
            </w:r>
            <w:r w:rsidR="00187282" w:rsidRPr="008B53A9">
              <w:rPr>
                <w:rFonts w:cs="Calibri"/>
                <w:lang w:val="cs-CZ" w:eastAsia="cs-CZ"/>
              </w:rPr>
              <w:t>key enabling technologies</w:t>
            </w:r>
          </w:p>
          <w:p w:rsidR="00D51A7B" w:rsidRPr="008B53A9" w:rsidRDefault="00187282" w:rsidP="00187282">
            <w:pPr>
              <w:pStyle w:val="Tabulka"/>
              <w:jc w:val="left"/>
              <w:rPr>
                <w:rFonts w:cs="Calibri"/>
                <w:lang w:val="cs-CZ" w:eastAsia="cs-CZ"/>
              </w:rPr>
            </w:pPr>
            <w:r w:rsidRPr="008B53A9">
              <w:rPr>
                <w:rFonts w:cs="Calibri"/>
                <w:lang w:val="cs-CZ" w:eastAsia="cs-CZ"/>
              </w:rPr>
              <w:t>- pre-commercial public procurement (PCP)</w:t>
            </w:r>
          </w:p>
        </w:tc>
        <w:tc>
          <w:tcPr>
            <w:tcW w:w="52"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600" w:type="pct"/>
            <w:tcBorders>
              <w:left w:val="single" w:sz="4" w:space="0" w:color="auto"/>
            </w:tcBorders>
            <w:shd w:val="clear" w:color="auto" w:fill="auto"/>
            <w:vAlign w:val="center"/>
          </w:tcPr>
          <w:p w:rsidR="00187282" w:rsidRPr="008B53A9" w:rsidRDefault="00187282" w:rsidP="00187282">
            <w:pPr>
              <w:pStyle w:val="Tabulka"/>
              <w:jc w:val="left"/>
              <w:rPr>
                <w:rFonts w:cs="Calibri"/>
                <w:lang w:val="cs-CZ" w:eastAsia="cs-CZ"/>
              </w:rPr>
            </w:pPr>
            <w:r w:rsidRPr="008B53A9">
              <w:rPr>
                <w:rFonts w:cs="Calibri"/>
                <w:lang w:val="cs-CZ" w:eastAsia="cs-CZ"/>
              </w:rPr>
              <w:t>- podpora aplikovaného výzkumu a experimentálního vývoje zejména v oblasti progresivních technologií, materiálů a systémů, energetických zdrojů a ochrany a tvorby životního prostředí a dále v oblasti udržitelného rozvoje dopravy</w:t>
            </w:r>
          </w:p>
          <w:p w:rsidR="00D51A7B" w:rsidRPr="008B53A9" w:rsidRDefault="00187282" w:rsidP="00187282">
            <w:pPr>
              <w:pStyle w:val="Tabulka"/>
              <w:jc w:val="left"/>
              <w:rPr>
                <w:rFonts w:cs="Calibri"/>
                <w:lang w:val="cs-CZ" w:eastAsia="cs-CZ"/>
              </w:rPr>
            </w:pPr>
            <w:r w:rsidRPr="008B53A9">
              <w:rPr>
                <w:rFonts w:cs="Calibri"/>
                <w:lang w:val="cs-CZ" w:eastAsia="cs-CZ"/>
              </w:rPr>
              <w:t xml:space="preserve">- </w:t>
            </w:r>
            <w:r w:rsidR="00753B7F" w:rsidRPr="008B53A9">
              <w:rPr>
                <w:rFonts w:cs="Calibri"/>
                <w:lang w:val="cs-CZ" w:eastAsia="cs-CZ"/>
              </w:rPr>
              <w:t>zadávání</w:t>
            </w:r>
            <w:r w:rsidRPr="008B53A9">
              <w:rPr>
                <w:rFonts w:cs="Calibri"/>
                <w:lang w:val="cs-CZ" w:eastAsia="cs-CZ"/>
              </w:rPr>
              <w:t xml:space="preserve"> veřejných zakázek ve výzkumu, experimentálním vývoji a inovacích pro potřeby státní správy</w:t>
            </w:r>
          </w:p>
          <w:p w:rsidR="00040910" w:rsidRPr="008B53A9" w:rsidRDefault="00040910" w:rsidP="00187282">
            <w:pPr>
              <w:pStyle w:val="Tabulka"/>
              <w:jc w:val="left"/>
              <w:rPr>
                <w:rFonts w:cs="Calibri"/>
                <w:lang w:val="cs-CZ" w:eastAsia="cs-CZ"/>
              </w:rPr>
            </w:pPr>
            <w:r w:rsidRPr="008B53A9">
              <w:rPr>
                <w:rFonts w:cs="Calibri"/>
                <w:lang w:val="cs-CZ" w:eastAsia="cs-CZ"/>
              </w:rPr>
              <w:t xml:space="preserve">- </w:t>
            </w:r>
            <w:r w:rsidR="00590B07" w:rsidRPr="008B53A9">
              <w:rPr>
                <w:rFonts w:cs="Calibri"/>
                <w:lang w:val="cs-CZ" w:eastAsia="cs-CZ"/>
              </w:rPr>
              <w:t>podpora spolupráce v aplikovaném výzkumu a experimentálním vývoji prostřednictvím společných projektů mezinárodní spolupráce, která je však vždy založena na bilaterální dohodě mezi TA ČR a obdobnou agenturou v zahraničí, převážně mimo státy EU. Jedná se o projekty bilaterální spolupráce, kdy na české straně bude min. jeden účastník – podnik.</w:t>
            </w:r>
          </w:p>
        </w:tc>
      </w:tr>
      <w:tr w:rsidR="00D51A7B" w:rsidRPr="008B53A9">
        <w:tc>
          <w:tcPr>
            <w:tcW w:w="1185" w:type="pct"/>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lastRenderedPageBreak/>
              <w:t>Implementační prvky</w:t>
            </w:r>
          </w:p>
        </w:tc>
        <w:tc>
          <w:tcPr>
            <w:tcW w:w="2163" w:type="pct"/>
            <w:tcBorders>
              <w:bottom w:val="single" w:sz="4" w:space="0" w:color="auto"/>
            </w:tcBorders>
            <w:shd w:val="clear" w:color="auto" w:fill="auto"/>
            <w:vAlign w:val="center"/>
          </w:tcPr>
          <w:p w:rsidR="00187282" w:rsidRPr="008B53A9" w:rsidRDefault="00187282" w:rsidP="00187282">
            <w:pPr>
              <w:pStyle w:val="Tabulka"/>
              <w:jc w:val="left"/>
              <w:rPr>
                <w:rFonts w:cs="Calibri"/>
                <w:lang w:val="cs-CZ" w:eastAsia="cs-CZ"/>
              </w:rPr>
            </w:pPr>
            <w:r w:rsidRPr="008B53A9">
              <w:rPr>
                <w:rFonts w:cs="Calibri"/>
                <w:lang w:val="cs-CZ" w:eastAsia="cs-CZ"/>
              </w:rPr>
              <w:t>Cílové území: Území České republiky, mimo území hl. města Prahy.</w:t>
            </w:r>
          </w:p>
          <w:p w:rsidR="00187282" w:rsidRPr="008B53A9" w:rsidRDefault="00187282" w:rsidP="00153F2D">
            <w:pPr>
              <w:pStyle w:val="Tabulka"/>
              <w:jc w:val="left"/>
              <w:rPr>
                <w:rFonts w:cs="Calibri"/>
                <w:lang w:val="cs-CZ" w:eastAsia="cs-CZ"/>
              </w:rPr>
            </w:pPr>
            <w:r w:rsidRPr="008B53A9">
              <w:rPr>
                <w:rFonts w:cs="Calibri"/>
                <w:lang w:val="cs-CZ" w:eastAsia="cs-CZ"/>
              </w:rPr>
              <w:t xml:space="preserve">Typy příjemců: Podnikatelské subjekty (zejména malé a střední, v odůvodněných případech velké podniky), vysoké školy, výzkumné organizace, výzkumné ústavy, veřejné výzkumné instituce a fyzické osoby, subjekty státní správy a územní samosprávy (v případě PCP), přímo řízené organizace a </w:t>
            </w:r>
            <w:r w:rsidR="00153F2D" w:rsidRPr="008B53A9">
              <w:rPr>
                <w:rFonts w:cs="Calibri"/>
                <w:lang w:val="cs-CZ" w:eastAsia="cs-CZ"/>
              </w:rPr>
              <w:t>OSS</w:t>
            </w:r>
            <w:r w:rsidRPr="008B53A9">
              <w:rPr>
                <w:rFonts w:cs="Calibri"/>
                <w:lang w:val="cs-CZ" w:eastAsia="cs-CZ"/>
              </w:rPr>
              <w:t>.</w:t>
            </w:r>
          </w:p>
        </w:tc>
        <w:tc>
          <w:tcPr>
            <w:tcW w:w="52"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600" w:type="pct"/>
            <w:tcBorders>
              <w:left w:val="single" w:sz="4" w:space="0" w:color="auto"/>
            </w:tcBorders>
            <w:shd w:val="clear" w:color="auto" w:fill="auto"/>
            <w:vAlign w:val="center"/>
          </w:tcPr>
          <w:p w:rsidR="00D51A7B" w:rsidRPr="008B53A9" w:rsidRDefault="00590B07" w:rsidP="00267430">
            <w:pPr>
              <w:pStyle w:val="Tabulka"/>
              <w:jc w:val="left"/>
              <w:rPr>
                <w:rFonts w:cs="Calibri"/>
                <w:lang w:val="cs-CZ" w:eastAsia="cs-CZ"/>
              </w:rPr>
            </w:pPr>
            <w:r w:rsidRPr="008B53A9">
              <w:rPr>
                <w:rFonts w:cs="Calibri"/>
                <w:lang w:val="cs-CZ" w:eastAsia="cs-CZ"/>
              </w:rPr>
              <w:t>Na české straně musí být vždy min. jeden účastník – podnik. Projektů se budou moci účastnit i výzkumné organizace, ale pouze jako další účastníci.</w:t>
            </w:r>
            <w:r w:rsidRPr="008B53A9">
              <w:rPr>
                <w:rFonts w:cs="Calibri"/>
                <w:i/>
                <w:lang w:val="cs-CZ" w:eastAsia="cs-CZ"/>
              </w:rPr>
              <w:t xml:space="preserve"> </w:t>
            </w:r>
            <w:r w:rsidRPr="008B53A9">
              <w:rPr>
                <w:rFonts w:cs="Calibri"/>
                <w:lang w:val="cs-CZ" w:eastAsia="cs-CZ"/>
              </w:rPr>
              <w:t>Zatímco TA ČR bude pokrývat náklady spojené s výzkumem českých subjektů, zahraniční agentura bude pokrývat náklady svých účastníků. Hodnocení bude probíhat odděleně, tj. TA ČR bude hodnotit vždy projektový záměr českých subjektů, zatímco zahraniční agentura svých účastníků.</w:t>
            </w:r>
          </w:p>
        </w:tc>
      </w:tr>
      <w:tr w:rsidR="00530742" w:rsidRPr="008B53A9">
        <w:tc>
          <w:tcPr>
            <w:tcW w:w="1185" w:type="pct"/>
            <w:shd w:val="clear" w:color="auto" w:fill="D6E3BC"/>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t>Synergie/komplementarita</w:t>
            </w:r>
          </w:p>
        </w:tc>
        <w:tc>
          <w:tcPr>
            <w:tcW w:w="2163" w:type="pct"/>
            <w:tcBorders>
              <w:tr2bl w:val="single" w:sz="4" w:space="0" w:color="auto"/>
            </w:tcBorders>
            <w:shd w:val="clear" w:color="auto" w:fill="auto"/>
            <w:vAlign w:val="center"/>
          </w:tcPr>
          <w:p w:rsidR="00530742" w:rsidRPr="008B53A9" w:rsidRDefault="00530742" w:rsidP="00187282">
            <w:pPr>
              <w:pStyle w:val="Tabulka"/>
              <w:jc w:val="left"/>
              <w:rPr>
                <w:rFonts w:cs="Calibri"/>
                <w:lang w:val="cs-CZ" w:eastAsia="cs-CZ"/>
              </w:rPr>
            </w:pPr>
          </w:p>
        </w:tc>
        <w:tc>
          <w:tcPr>
            <w:tcW w:w="52" w:type="pct"/>
            <w:tcBorders>
              <w:top w:val="nil"/>
              <w:left w:val="single" w:sz="4" w:space="0" w:color="auto"/>
              <w:bottom w:val="nil"/>
              <w:right w:val="single" w:sz="4" w:space="0" w:color="auto"/>
            </w:tcBorders>
            <w:shd w:val="clear" w:color="auto" w:fill="auto"/>
          </w:tcPr>
          <w:p w:rsidR="00530742" w:rsidRPr="008B53A9" w:rsidRDefault="00530742" w:rsidP="00267430">
            <w:pPr>
              <w:pStyle w:val="Tabulka"/>
              <w:jc w:val="left"/>
              <w:rPr>
                <w:rFonts w:cs="Calibri"/>
                <w:lang w:val="cs-CZ" w:eastAsia="cs-CZ"/>
              </w:rPr>
            </w:pPr>
          </w:p>
        </w:tc>
        <w:tc>
          <w:tcPr>
            <w:tcW w:w="1600" w:type="pct"/>
            <w:tcBorders>
              <w:left w:val="single" w:sz="4" w:space="0" w:color="auto"/>
            </w:tcBorders>
            <w:shd w:val="clear" w:color="auto" w:fill="auto"/>
            <w:vAlign w:val="center"/>
          </w:tcPr>
          <w:p w:rsidR="00530742" w:rsidRPr="008B53A9" w:rsidRDefault="00407D0C" w:rsidP="00267430">
            <w:pPr>
              <w:pStyle w:val="Tabulka"/>
              <w:jc w:val="left"/>
              <w:rPr>
                <w:rFonts w:cs="Calibri"/>
                <w:lang w:val="cs-CZ" w:eastAsia="cs-CZ"/>
              </w:rPr>
            </w:pPr>
            <w:r w:rsidRPr="008B53A9">
              <w:rPr>
                <w:rFonts w:cs="Calibri"/>
                <w:lang w:val="cs-CZ" w:eastAsia="cs-CZ"/>
              </w:rPr>
              <w:t>komplementarita</w:t>
            </w:r>
          </w:p>
        </w:tc>
      </w:tr>
      <w:tr w:rsidR="00363809" w:rsidRPr="008B53A9">
        <w:tc>
          <w:tcPr>
            <w:tcW w:w="1185" w:type="pct"/>
            <w:shd w:val="clear" w:color="auto" w:fill="D6E3BC"/>
            <w:vAlign w:val="center"/>
          </w:tcPr>
          <w:p w:rsidR="00363809" w:rsidRPr="008B53A9" w:rsidRDefault="00363809" w:rsidP="00267430">
            <w:pPr>
              <w:pStyle w:val="Tabulka"/>
              <w:jc w:val="left"/>
              <w:rPr>
                <w:rFonts w:cs="Calibri"/>
                <w:b/>
                <w:lang w:val="cs-CZ" w:eastAsia="cs-CZ"/>
              </w:rPr>
            </w:pPr>
            <w:r w:rsidRPr="008B53A9">
              <w:rPr>
                <w:rFonts w:cs="Calibri"/>
                <w:b/>
                <w:lang w:val="cs-CZ" w:eastAsia="cs-CZ"/>
              </w:rPr>
              <w:t>Mechanismus koordinace</w:t>
            </w:r>
          </w:p>
        </w:tc>
        <w:tc>
          <w:tcPr>
            <w:tcW w:w="3815" w:type="pct"/>
            <w:gridSpan w:val="3"/>
            <w:shd w:val="clear" w:color="auto" w:fill="auto"/>
            <w:vAlign w:val="center"/>
          </w:tcPr>
          <w:p w:rsidR="00363809" w:rsidRPr="008B53A9" w:rsidRDefault="00363809" w:rsidP="00A0251A">
            <w:pPr>
              <w:pStyle w:val="Tabulka"/>
              <w:jc w:val="left"/>
              <w:rPr>
                <w:rFonts w:cs="Calibri"/>
                <w:lang w:val="cs-CZ" w:eastAsia="cs-CZ"/>
              </w:rPr>
            </w:pPr>
            <w:r w:rsidRPr="008B53A9">
              <w:rPr>
                <w:rFonts w:cs="Calibri"/>
                <w:lang w:val="cs-CZ" w:eastAsia="cs-CZ"/>
              </w:rPr>
              <w:t>Mechanismus koordinace je zajištěn prostřednictvím institucionálního propojení v rámci zprostředkujícího subjektu TA ČR, který bude zajišťovat implementaci této intervenční oblasti OP PIK a který zároveň implementuje uvedené národní programy VaVaI. V rámci TA ČR probíhá ve spolupráci s </w:t>
            </w:r>
            <w:r w:rsidR="00A0251A" w:rsidRPr="008B53A9">
              <w:rPr>
                <w:rFonts w:cs="Calibri"/>
                <w:lang w:val="cs-CZ" w:eastAsia="cs-CZ"/>
              </w:rPr>
              <w:t>Ř</w:t>
            </w:r>
            <w:r w:rsidRPr="008B53A9">
              <w:rPr>
                <w:rFonts w:cs="Calibri"/>
                <w:lang w:val="cs-CZ" w:eastAsia="cs-CZ"/>
              </w:rPr>
              <w:t xml:space="preserve">ídícím orgánem OP PIK koordinace při přípravě věcného zaměření příslušných oblastí intervencí. Ve fázi realizace bude v rámci TA ČR koordinováno vyhlašování výzev (časové hledisko, věcný obsah, technické parametry). Dalším koordinačním mechanismem bude informace pro potenciální žadatele na webových stránkách </w:t>
            </w:r>
            <w:r w:rsidR="00A0251A" w:rsidRPr="008B53A9">
              <w:rPr>
                <w:rFonts w:cs="Calibri"/>
                <w:lang w:val="cs-CZ" w:eastAsia="cs-CZ"/>
              </w:rPr>
              <w:t>Ř</w:t>
            </w:r>
            <w:r w:rsidRPr="008B53A9">
              <w:rPr>
                <w:rFonts w:cs="Calibri"/>
                <w:lang w:val="cs-CZ" w:eastAsia="cs-CZ"/>
              </w:rPr>
              <w:t>ídícího orgánu OP PIK ve formě odkazu na příslušné národní programy TA ČR, což usnadní orientaci případných žadatelů v možnostech získání podpory pro svůj projekt.</w:t>
            </w:r>
          </w:p>
        </w:tc>
      </w:tr>
    </w:tbl>
    <w:p w:rsidR="00D51A7B" w:rsidRPr="008B53A9" w:rsidRDefault="00D51A7B" w:rsidP="00D51A7B">
      <w:pPr>
        <w:pStyle w:val="Standardntext"/>
      </w:pPr>
    </w:p>
    <w:p w:rsidR="004D7D09" w:rsidRPr="008B53A9" w:rsidRDefault="004D7D09" w:rsidP="005D178C">
      <w:pPr>
        <w:pStyle w:val="Standardntext"/>
        <w:numPr>
          <w:ilvl w:val="0"/>
          <w:numId w:val="97"/>
        </w:numPr>
        <w:rPr>
          <w:b/>
        </w:rPr>
      </w:pPr>
      <w:r w:rsidRPr="008B53A9">
        <w:rPr>
          <w:b/>
        </w:rPr>
        <w:t>Proof – of – concept</w:t>
      </w:r>
    </w:p>
    <w:p w:rsidR="004D7D09" w:rsidRPr="008B53A9" w:rsidRDefault="004D7D09" w:rsidP="004D7D09">
      <w:pPr>
        <w:pStyle w:val="Standardntext"/>
      </w:pPr>
      <w:r w:rsidRPr="008B53A9">
        <w:t xml:space="preserve">OP PIK se zaměřuje výhradně na aktivitu proof of concept, tj. ověření komerčního potenciálu a dotažení výrobku/služby do finálního stádia a jeho uvedení na trh. Zatímco program </w:t>
      </w:r>
      <w:r w:rsidRPr="008B53A9">
        <w:rPr>
          <w:b/>
        </w:rPr>
        <w:t>Gama TA ČR</w:t>
      </w:r>
      <w:r w:rsidRPr="008B53A9">
        <w:t xml:space="preserve"> se zaměřuje v podprogramu 1 na nastavení systému proof of concept ve výzkumných organizacích a v podprogramu 2 na další vývoj a uvedení na trh výsledků, které jsou výstupem jiných projektů a vyžadují ještě doplňující aktivity pro uvedení výrobku/služby na trh.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6212"/>
        <w:gridCol w:w="273"/>
        <w:gridCol w:w="4472"/>
      </w:tblGrid>
      <w:tr w:rsidR="00D51A7B" w:rsidRPr="008B53A9">
        <w:trPr>
          <w:trHeight w:val="233"/>
        </w:trPr>
        <w:tc>
          <w:tcPr>
            <w:tcW w:w="1185" w:type="pct"/>
            <w:shd w:val="clear" w:color="auto" w:fill="5D7430"/>
            <w:vAlign w:val="center"/>
          </w:tcPr>
          <w:p w:rsidR="00D51A7B" w:rsidRPr="008B53A9" w:rsidRDefault="0097199C" w:rsidP="0097199C">
            <w:pPr>
              <w:pStyle w:val="Tabulka"/>
              <w:keepNext/>
              <w:keepLines/>
              <w:jc w:val="left"/>
              <w:rPr>
                <w:rFonts w:cs="Calibri"/>
                <w:b/>
                <w:lang w:val="cs-CZ" w:eastAsia="cs-CZ"/>
              </w:rPr>
            </w:pPr>
            <w:r w:rsidRPr="008B53A9">
              <w:rPr>
                <w:rFonts w:cs="Calibri"/>
                <w:b/>
                <w:color w:val="FFFFFF"/>
                <w:lang w:val="cs-CZ" w:eastAsia="cs-CZ"/>
              </w:rPr>
              <w:t>Proof – of – concept</w:t>
            </w:r>
          </w:p>
        </w:tc>
        <w:tc>
          <w:tcPr>
            <w:tcW w:w="2163" w:type="pct"/>
            <w:tcBorders>
              <w:bottom w:val="single" w:sz="4" w:space="0" w:color="000000"/>
            </w:tcBorders>
            <w:shd w:val="clear" w:color="auto" w:fill="76923C"/>
            <w:vAlign w:val="center"/>
          </w:tcPr>
          <w:p w:rsidR="00D51A7B" w:rsidRPr="008B53A9" w:rsidRDefault="00D51A7B" w:rsidP="00267430">
            <w:pPr>
              <w:pStyle w:val="Tabulka"/>
              <w:keepNext/>
              <w:keepLines/>
              <w:rPr>
                <w:rFonts w:cs="Calibri"/>
                <w:b/>
                <w:lang w:val="cs-CZ" w:eastAsia="cs-CZ"/>
              </w:rPr>
            </w:pPr>
            <w:r w:rsidRPr="008B53A9">
              <w:rPr>
                <w:rFonts w:cs="Calibri"/>
                <w:b/>
                <w:lang w:val="cs-CZ" w:eastAsia="cs-CZ"/>
              </w:rPr>
              <w:t>OP PIK</w:t>
            </w:r>
          </w:p>
        </w:tc>
        <w:tc>
          <w:tcPr>
            <w:tcW w:w="95"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keepNext/>
              <w:keepLines/>
              <w:rPr>
                <w:rFonts w:cs="Calibri"/>
                <w:b/>
                <w:lang w:val="cs-CZ" w:eastAsia="cs-CZ"/>
              </w:rPr>
            </w:pPr>
          </w:p>
        </w:tc>
        <w:tc>
          <w:tcPr>
            <w:tcW w:w="1557" w:type="pct"/>
            <w:tcBorders>
              <w:left w:val="single" w:sz="4" w:space="0" w:color="auto"/>
              <w:bottom w:val="single" w:sz="4" w:space="0" w:color="000000"/>
            </w:tcBorders>
            <w:shd w:val="clear" w:color="auto" w:fill="76923C"/>
          </w:tcPr>
          <w:p w:rsidR="00D51A7B" w:rsidRPr="008B53A9" w:rsidRDefault="00D51A7B" w:rsidP="00267430">
            <w:pPr>
              <w:pStyle w:val="Tabulka"/>
              <w:keepNext/>
              <w:keepLines/>
              <w:rPr>
                <w:rFonts w:cs="Calibri"/>
                <w:b/>
                <w:lang w:val="cs-CZ" w:eastAsia="cs-CZ"/>
              </w:rPr>
            </w:pPr>
            <w:r w:rsidRPr="008B53A9">
              <w:rPr>
                <w:rFonts w:cs="Calibri"/>
                <w:b/>
                <w:lang w:val="cs-CZ" w:eastAsia="cs-CZ"/>
              </w:rPr>
              <w:t>Národní programy TA ČR</w:t>
            </w:r>
          </w:p>
        </w:tc>
      </w:tr>
      <w:tr w:rsidR="00D51A7B" w:rsidRPr="008B53A9">
        <w:trPr>
          <w:trHeight w:val="300"/>
        </w:trPr>
        <w:tc>
          <w:tcPr>
            <w:tcW w:w="1185" w:type="pct"/>
            <w:vMerge w:val="restart"/>
            <w:shd w:val="clear" w:color="auto" w:fill="D6E3BC"/>
            <w:vAlign w:val="center"/>
          </w:tcPr>
          <w:p w:rsidR="00D51A7B" w:rsidRPr="008B53A9" w:rsidRDefault="002E0DC8" w:rsidP="00267430">
            <w:pPr>
              <w:pStyle w:val="Tabulka"/>
              <w:jc w:val="left"/>
              <w:rPr>
                <w:rFonts w:cs="Calibri"/>
                <w:b/>
                <w:lang w:val="cs-CZ" w:eastAsia="cs-CZ"/>
              </w:rPr>
            </w:pPr>
            <w:r w:rsidRPr="008B53A9">
              <w:rPr>
                <w:rFonts w:cs="Calibri"/>
                <w:b/>
                <w:lang w:val="cs-CZ" w:eastAsia="cs-CZ"/>
              </w:rPr>
              <w:t>Tematický cíl / investiční priorita</w:t>
            </w:r>
          </w:p>
        </w:tc>
        <w:tc>
          <w:tcPr>
            <w:tcW w:w="2163" w:type="pct"/>
            <w:vMerge w:val="restart"/>
            <w:tcBorders>
              <w:right w:val="single" w:sz="4" w:space="0" w:color="auto"/>
            </w:tcBorders>
            <w:shd w:val="clear" w:color="auto" w:fill="auto"/>
            <w:vAlign w:val="center"/>
          </w:tcPr>
          <w:p w:rsidR="00D51A7B" w:rsidRPr="008B53A9" w:rsidRDefault="008022FA" w:rsidP="008022FA">
            <w:pPr>
              <w:pStyle w:val="Tabulka"/>
              <w:jc w:val="left"/>
              <w:rPr>
                <w:rFonts w:cs="Calibri"/>
                <w:lang w:val="cs-CZ" w:eastAsia="cs-CZ"/>
              </w:rPr>
            </w:pPr>
            <w:r w:rsidRPr="008B53A9">
              <w:rPr>
                <w:rFonts w:cs="Calibri"/>
                <w:lang w:val="cs-CZ" w:eastAsia="cs-CZ"/>
              </w:rPr>
              <w:t xml:space="preserve">TC </w:t>
            </w:r>
            <w:r w:rsidR="00D51A7B" w:rsidRPr="008B53A9">
              <w:rPr>
                <w:rFonts w:cs="Calibri"/>
                <w:lang w:val="cs-CZ" w:eastAsia="cs-CZ"/>
              </w:rPr>
              <w:t>1</w:t>
            </w:r>
            <w:r w:rsidR="005E6F75" w:rsidRPr="008B53A9">
              <w:rPr>
                <w:rFonts w:cs="Calibri"/>
                <w:lang w:val="cs-CZ" w:eastAsia="cs-CZ"/>
              </w:rPr>
              <w:t xml:space="preserve"> / </w:t>
            </w:r>
            <w:r w:rsidRPr="008B53A9">
              <w:rPr>
                <w:rFonts w:cs="Calibri"/>
                <w:lang w:val="cs-CZ" w:eastAsia="cs-CZ"/>
              </w:rPr>
              <w:t>1 b)</w:t>
            </w:r>
          </w:p>
        </w:tc>
        <w:tc>
          <w:tcPr>
            <w:tcW w:w="95"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557" w:type="pct"/>
            <w:vMerge w:val="restart"/>
            <w:tcBorders>
              <w:top w:val="single" w:sz="4" w:space="0" w:color="000000"/>
              <w:left w:val="single" w:sz="4" w:space="0" w:color="auto"/>
              <w:tr2bl w:val="single" w:sz="4" w:space="0" w:color="auto"/>
            </w:tcBorders>
            <w:shd w:val="clear" w:color="auto" w:fill="auto"/>
            <w:vAlign w:val="center"/>
          </w:tcPr>
          <w:p w:rsidR="00D51A7B" w:rsidRPr="008B53A9" w:rsidRDefault="00D51A7B" w:rsidP="00267430">
            <w:pPr>
              <w:pStyle w:val="Tabulka"/>
              <w:jc w:val="left"/>
              <w:rPr>
                <w:rFonts w:cs="Calibri"/>
                <w:i/>
                <w:lang w:val="cs-CZ" w:eastAsia="cs-CZ"/>
              </w:rPr>
            </w:pPr>
          </w:p>
        </w:tc>
      </w:tr>
      <w:tr w:rsidR="00D51A7B" w:rsidRPr="008B53A9">
        <w:trPr>
          <w:trHeight w:val="212"/>
        </w:trPr>
        <w:tc>
          <w:tcPr>
            <w:tcW w:w="1185" w:type="pct"/>
            <w:vMerge/>
            <w:tcBorders>
              <w:bottom w:val="dotted" w:sz="4" w:space="0" w:color="auto"/>
            </w:tcBorders>
            <w:shd w:val="clear" w:color="auto" w:fill="D6E3BC"/>
            <w:vAlign w:val="center"/>
          </w:tcPr>
          <w:p w:rsidR="00D51A7B" w:rsidRPr="008B53A9" w:rsidRDefault="00D51A7B" w:rsidP="00267430">
            <w:pPr>
              <w:pStyle w:val="Tabulka"/>
              <w:jc w:val="left"/>
              <w:rPr>
                <w:rFonts w:cs="Calibri"/>
                <w:b/>
                <w:lang w:val="cs-CZ" w:eastAsia="cs-CZ"/>
              </w:rPr>
            </w:pPr>
          </w:p>
        </w:tc>
        <w:tc>
          <w:tcPr>
            <w:tcW w:w="2163" w:type="pct"/>
            <w:vMerge/>
            <w:tcBorders>
              <w:bottom w:val="dotted" w:sz="4" w:space="0" w:color="auto"/>
              <w:righ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p>
        </w:tc>
        <w:tc>
          <w:tcPr>
            <w:tcW w:w="95"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557" w:type="pct"/>
            <w:vMerge/>
            <w:tcBorders>
              <w:left w:val="single" w:sz="4" w:space="0" w:color="auto"/>
              <w:bottom w:val="dotted" w:sz="4" w:space="0" w:color="auto"/>
              <w:tr2bl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p>
        </w:tc>
      </w:tr>
      <w:tr w:rsidR="00D51A7B" w:rsidRPr="008B53A9">
        <w:trPr>
          <w:trHeight w:val="212"/>
        </w:trPr>
        <w:tc>
          <w:tcPr>
            <w:tcW w:w="1185" w:type="pct"/>
            <w:tcBorders>
              <w:top w:val="dotted" w:sz="4" w:space="0" w:color="auto"/>
              <w:bottom w:val="dotted" w:sz="4" w:space="0" w:color="auto"/>
            </w:tcBorders>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lastRenderedPageBreak/>
              <w:t>Prioritní osa</w:t>
            </w:r>
          </w:p>
        </w:tc>
        <w:tc>
          <w:tcPr>
            <w:tcW w:w="2163" w:type="pct"/>
            <w:tcBorders>
              <w:top w:val="dotted" w:sz="4" w:space="0" w:color="auto"/>
              <w:bottom w:val="dotted" w:sz="4" w:space="0" w:color="auto"/>
              <w:righ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1: Rozvoj výzkumu a vývoje pro inovace</w:t>
            </w:r>
          </w:p>
        </w:tc>
        <w:tc>
          <w:tcPr>
            <w:tcW w:w="95"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557" w:type="pct"/>
            <w:tcBorders>
              <w:top w:val="dotted" w:sz="4" w:space="0" w:color="auto"/>
              <w:left w:val="single" w:sz="4" w:space="0" w:color="auto"/>
              <w:bottom w:val="dotted" w:sz="4" w:space="0" w:color="auto"/>
              <w:tr2bl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p>
        </w:tc>
      </w:tr>
      <w:tr w:rsidR="00D51A7B" w:rsidRPr="008B53A9">
        <w:tc>
          <w:tcPr>
            <w:tcW w:w="1185" w:type="pct"/>
            <w:tcBorders>
              <w:top w:val="dotted" w:sz="4" w:space="0" w:color="auto"/>
            </w:tcBorders>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Specifický cíl</w:t>
            </w:r>
          </w:p>
        </w:tc>
        <w:tc>
          <w:tcPr>
            <w:tcW w:w="2163"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SC 1.2: Zvýšit intenzitu a účinnost spolupráce ve výzkumu, vývoji a inovacích</w:t>
            </w:r>
          </w:p>
        </w:tc>
        <w:tc>
          <w:tcPr>
            <w:tcW w:w="95"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557" w:type="pct"/>
            <w:tcBorders>
              <w:top w:val="dotted" w:sz="4" w:space="0" w:color="auto"/>
              <w:lef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Gama</w:t>
            </w:r>
          </w:p>
        </w:tc>
      </w:tr>
      <w:tr w:rsidR="00D51A7B" w:rsidRPr="008B53A9">
        <w:tc>
          <w:tcPr>
            <w:tcW w:w="1185" w:type="pct"/>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Věcná specifikace (zaměření, aktivity)</w:t>
            </w:r>
          </w:p>
        </w:tc>
        <w:tc>
          <w:tcPr>
            <w:tcW w:w="2163" w:type="pct"/>
            <w:shd w:val="clear" w:color="auto" w:fill="auto"/>
            <w:vAlign w:val="center"/>
          </w:tcPr>
          <w:p w:rsidR="00D51A7B" w:rsidRPr="008B53A9" w:rsidRDefault="00187282" w:rsidP="00187282">
            <w:pPr>
              <w:pStyle w:val="Tabulka"/>
              <w:jc w:val="left"/>
              <w:rPr>
                <w:rFonts w:cs="Calibri"/>
                <w:lang w:val="cs-CZ" w:eastAsia="cs-CZ"/>
              </w:rPr>
            </w:pPr>
            <w:r w:rsidRPr="008B53A9">
              <w:rPr>
                <w:rFonts w:cs="Calibri"/>
                <w:lang w:val="cs-CZ" w:eastAsia="cs-CZ"/>
              </w:rPr>
              <w:t>proof – of – concept</w:t>
            </w:r>
          </w:p>
        </w:tc>
        <w:tc>
          <w:tcPr>
            <w:tcW w:w="95"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557" w:type="pct"/>
            <w:tcBorders>
              <w:left w:val="single" w:sz="4" w:space="0" w:color="auto"/>
            </w:tcBorders>
            <w:shd w:val="clear" w:color="auto" w:fill="auto"/>
            <w:vAlign w:val="center"/>
          </w:tcPr>
          <w:p w:rsidR="00D51A7B" w:rsidRPr="008B53A9" w:rsidRDefault="00187282" w:rsidP="00267430">
            <w:pPr>
              <w:pStyle w:val="Tabulka"/>
              <w:jc w:val="left"/>
              <w:rPr>
                <w:rFonts w:cs="Calibri"/>
                <w:lang w:val="cs-CZ" w:eastAsia="cs-CZ"/>
              </w:rPr>
            </w:pPr>
            <w:r w:rsidRPr="008B53A9">
              <w:rPr>
                <w:rFonts w:cs="Calibri"/>
                <w:lang w:val="cs-CZ" w:eastAsia="cs-CZ"/>
              </w:rPr>
              <w:t>podpora ověření výsledků aplikovaného výzkumu a experimentálního vývoje z hlediska jejich praktického uplatnění a příprava jejich následného komerčního využití</w:t>
            </w:r>
          </w:p>
        </w:tc>
      </w:tr>
      <w:tr w:rsidR="00D51A7B" w:rsidRPr="008B53A9">
        <w:tc>
          <w:tcPr>
            <w:tcW w:w="1185" w:type="pct"/>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Implementační prvky</w:t>
            </w:r>
          </w:p>
        </w:tc>
        <w:tc>
          <w:tcPr>
            <w:tcW w:w="2163" w:type="pct"/>
            <w:tcBorders>
              <w:bottom w:val="single" w:sz="4" w:space="0" w:color="auto"/>
            </w:tcBorders>
            <w:shd w:val="clear" w:color="auto" w:fill="auto"/>
            <w:vAlign w:val="center"/>
          </w:tcPr>
          <w:p w:rsidR="00187282" w:rsidRPr="008B53A9" w:rsidRDefault="00187282" w:rsidP="00187282">
            <w:pPr>
              <w:pStyle w:val="Tabulka"/>
              <w:jc w:val="left"/>
              <w:rPr>
                <w:rFonts w:cs="Calibri"/>
                <w:lang w:val="cs-CZ" w:eastAsia="cs-CZ"/>
              </w:rPr>
            </w:pPr>
            <w:r w:rsidRPr="008B53A9">
              <w:rPr>
                <w:rFonts w:cs="Calibri"/>
                <w:lang w:val="cs-CZ" w:eastAsia="cs-CZ"/>
              </w:rPr>
              <w:t xml:space="preserve">Typy příjemců: Podnikatelské subjekty, </w:t>
            </w:r>
            <w:r w:rsidR="005B730F" w:rsidRPr="008B53A9">
              <w:rPr>
                <w:rFonts w:cs="Calibri"/>
                <w:lang w:val="cs-CZ" w:eastAsia="cs-CZ"/>
              </w:rPr>
              <w:t xml:space="preserve">sdružení podnikatelů, zájmová sdružení právnických osob, </w:t>
            </w:r>
            <w:r w:rsidRPr="008B53A9">
              <w:rPr>
                <w:rFonts w:cs="Calibri"/>
                <w:lang w:val="cs-CZ" w:eastAsia="cs-CZ"/>
              </w:rPr>
              <w:t>podnikatelská seskupení, územní samosprávné celky a jejich svazky, veřejné výzkumné instituce, vysoké školy a ostatní vzdělávací instituce, neziskové organizace, obecně prospěšné společnosti.</w:t>
            </w:r>
          </w:p>
          <w:p w:rsidR="00187282" w:rsidRPr="008B53A9" w:rsidRDefault="00187282" w:rsidP="008D522A">
            <w:pPr>
              <w:pStyle w:val="Tabulka"/>
              <w:jc w:val="left"/>
              <w:rPr>
                <w:rFonts w:cs="Calibri"/>
                <w:lang w:val="cs-CZ" w:eastAsia="cs-CZ"/>
              </w:rPr>
            </w:pPr>
            <w:r w:rsidRPr="008B53A9">
              <w:rPr>
                <w:rFonts w:cs="Calibri"/>
                <w:lang w:val="cs-CZ" w:eastAsia="cs-CZ"/>
              </w:rPr>
              <w:t xml:space="preserve">Cílové území: Území České republiky, mimo území hl. m. Prahy, v případě aktivit „rozvoj sítí spolupráce (klastrů)“ i Praha za využití </w:t>
            </w:r>
            <w:r w:rsidR="00804219" w:rsidRPr="008B53A9">
              <w:rPr>
                <w:rFonts w:cs="Calibri"/>
                <w:lang w:val="cs-CZ" w:eastAsia="cs-CZ"/>
              </w:rPr>
              <w:t>čl. 7</w:t>
            </w:r>
            <w:r w:rsidRPr="008B53A9">
              <w:rPr>
                <w:rFonts w:cs="Calibri"/>
                <w:lang w:val="cs-CZ" w:eastAsia="cs-CZ"/>
              </w:rPr>
              <w:t>0 obecného nařízení.</w:t>
            </w:r>
          </w:p>
        </w:tc>
        <w:tc>
          <w:tcPr>
            <w:tcW w:w="95"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557" w:type="pct"/>
            <w:tcBorders>
              <w:left w:val="single" w:sz="4" w:space="0" w:color="auto"/>
            </w:tcBorders>
            <w:shd w:val="clear" w:color="auto" w:fill="auto"/>
            <w:vAlign w:val="center"/>
          </w:tcPr>
          <w:p w:rsidR="00590B07" w:rsidRPr="008B53A9" w:rsidRDefault="00590B07" w:rsidP="00590B07">
            <w:pPr>
              <w:pStyle w:val="Tabulka"/>
              <w:jc w:val="left"/>
              <w:rPr>
                <w:rFonts w:cs="Calibri"/>
                <w:lang w:val="cs-CZ" w:eastAsia="cs-CZ"/>
              </w:rPr>
            </w:pPr>
            <w:r w:rsidRPr="008B53A9">
              <w:rPr>
                <w:rFonts w:cs="Calibri"/>
                <w:lang w:val="cs-CZ" w:eastAsia="cs-CZ"/>
              </w:rPr>
              <w:t xml:space="preserve">Program Gama je rozdělen do dvou podprogramů, které jsou velmi odlišné a které se liší i typem příjemců a implementací. </w:t>
            </w:r>
          </w:p>
          <w:p w:rsidR="00590B07" w:rsidRPr="008B53A9" w:rsidRDefault="00590B07" w:rsidP="00590B07">
            <w:pPr>
              <w:pStyle w:val="Tabulka"/>
              <w:jc w:val="left"/>
              <w:rPr>
                <w:rFonts w:cs="Calibri"/>
                <w:lang w:val="cs-CZ" w:eastAsia="cs-CZ"/>
              </w:rPr>
            </w:pPr>
            <w:r w:rsidRPr="008B53A9">
              <w:rPr>
                <w:rFonts w:cs="Calibri"/>
                <w:lang w:val="cs-CZ" w:eastAsia="cs-CZ"/>
              </w:rPr>
              <w:t>Příjemci podprogramu 1 jsou pouze výzkumné organizace, které budou samy poskytovat podporu uvnitř organizace na konkrétní dílčí projekty, tj. na konkrétní jedno ověření komerčního potenciál.</w:t>
            </w:r>
          </w:p>
          <w:p w:rsidR="00D51A7B" w:rsidRPr="008B53A9" w:rsidRDefault="00590B07" w:rsidP="00590B07">
            <w:pPr>
              <w:pStyle w:val="Tabulka"/>
              <w:jc w:val="left"/>
              <w:rPr>
                <w:rFonts w:cs="Calibri"/>
                <w:lang w:val="cs-CZ" w:eastAsia="cs-CZ"/>
              </w:rPr>
            </w:pPr>
            <w:r w:rsidRPr="008B53A9">
              <w:rPr>
                <w:rFonts w:cs="Calibri"/>
                <w:lang w:val="cs-CZ" w:eastAsia="cs-CZ"/>
              </w:rPr>
              <w:t>Příjemci podprogramu 2 jsou pouze podniky, výzkumné organizace se mohou účastnit jako další partneři projekt. Předmětem projektu je dokončení vývoje u výsledku předchozího aplikovaného výzkumu či experimentálního vývoje ve VO a jeho dotažení na trh.</w:t>
            </w:r>
          </w:p>
        </w:tc>
      </w:tr>
      <w:tr w:rsidR="00530742" w:rsidRPr="008B53A9">
        <w:tc>
          <w:tcPr>
            <w:tcW w:w="1185" w:type="pct"/>
            <w:shd w:val="clear" w:color="auto" w:fill="D6E3BC"/>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t>Synergie/komplementarita</w:t>
            </w:r>
          </w:p>
        </w:tc>
        <w:tc>
          <w:tcPr>
            <w:tcW w:w="2163" w:type="pct"/>
            <w:tcBorders>
              <w:tr2bl w:val="single" w:sz="4" w:space="0" w:color="auto"/>
            </w:tcBorders>
            <w:shd w:val="clear" w:color="auto" w:fill="auto"/>
            <w:vAlign w:val="center"/>
          </w:tcPr>
          <w:p w:rsidR="00530742" w:rsidRPr="008B53A9" w:rsidRDefault="00530742" w:rsidP="00187282">
            <w:pPr>
              <w:pStyle w:val="Tabulka"/>
              <w:jc w:val="left"/>
              <w:rPr>
                <w:rFonts w:cs="Calibri"/>
                <w:lang w:val="cs-CZ" w:eastAsia="cs-CZ"/>
              </w:rPr>
            </w:pPr>
          </w:p>
        </w:tc>
        <w:tc>
          <w:tcPr>
            <w:tcW w:w="95" w:type="pct"/>
            <w:tcBorders>
              <w:top w:val="nil"/>
              <w:left w:val="single" w:sz="4" w:space="0" w:color="auto"/>
              <w:bottom w:val="nil"/>
              <w:right w:val="single" w:sz="4" w:space="0" w:color="auto"/>
            </w:tcBorders>
            <w:shd w:val="clear" w:color="auto" w:fill="auto"/>
          </w:tcPr>
          <w:p w:rsidR="00530742" w:rsidRPr="008B53A9" w:rsidRDefault="00530742" w:rsidP="00267430">
            <w:pPr>
              <w:pStyle w:val="Tabulka"/>
              <w:jc w:val="left"/>
              <w:rPr>
                <w:rFonts w:cs="Calibri"/>
                <w:lang w:val="cs-CZ" w:eastAsia="cs-CZ"/>
              </w:rPr>
            </w:pPr>
          </w:p>
        </w:tc>
        <w:tc>
          <w:tcPr>
            <w:tcW w:w="1557" w:type="pct"/>
            <w:tcBorders>
              <w:left w:val="single" w:sz="4" w:space="0" w:color="auto"/>
            </w:tcBorders>
            <w:shd w:val="clear" w:color="auto" w:fill="auto"/>
            <w:vAlign w:val="center"/>
          </w:tcPr>
          <w:p w:rsidR="00530742" w:rsidRPr="008B53A9" w:rsidRDefault="00407D0C" w:rsidP="00590B07">
            <w:pPr>
              <w:pStyle w:val="Tabulka"/>
              <w:jc w:val="left"/>
              <w:rPr>
                <w:rFonts w:cs="Calibri"/>
                <w:lang w:val="cs-CZ" w:eastAsia="cs-CZ"/>
              </w:rPr>
            </w:pPr>
            <w:r w:rsidRPr="008B53A9">
              <w:rPr>
                <w:rFonts w:cs="Calibri"/>
                <w:lang w:val="cs-CZ" w:eastAsia="cs-CZ"/>
              </w:rPr>
              <w:t>komplementarita</w:t>
            </w:r>
          </w:p>
        </w:tc>
      </w:tr>
      <w:tr w:rsidR="00363809" w:rsidRPr="008B53A9">
        <w:tc>
          <w:tcPr>
            <w:tcW w:w="1185" w:type="pct"/>
            <w:shd w:val="clear" w:color="auto" w:fill="D6E3BC"/>
            <w:vAlign w:val="center"/>
          </w:tcPr>
          <w:p w:rsidR="00363809" w:rsidRPr="008B53A9" w:rsidRDefault="00363809" w:rsidP="00267430">
            <w:pPr>
              <w:pStyle w:val="Tabulka"/>
              <w:jc w:val="left"/>
              <w:rPr>
                <w:rFonts w:cs="Calibri"/>
                <w:b/>
                <w:lang w:val="cs-CZ" w:eastAsia="cs-CZ"/>
              </w:rPr>
            </w:pPr>
            <w:r w:rsidRPr="008B53A9">
              <w:rPr>
                <w:rFonts w:cs="Calibri"/>
                <w:b/>
                <w:lang w:val="cs-CZ" w:eastAsia="cs-CZ"/>
              </w:rPr>
              <w:t>Mechanismus koordinace</w:t>
            </w:r>
          </w:p>
        </w:tc>
        <w:tc>
          <w:tcPr>
            <w:tcW w:w="3815" w:type="pct"/>
            <w:gridSpan w:val="3"/>
            <w:shd w:val="clear" w:color="auto" w:fill="auto"/>
            <w:vAlign w:val="center"/>
          </w:tcPr>
          <w:p w:rsidR="00363809" w:rsidRPr="008B53A9" w:rsidRDefault="00363809" w:rsidP="00A0251A">
            <w:pPr>
              <w:pStyle w:val="Tabulka"/>
              <w:jc w:val="left"/>
              <w:rPr>
                <w:rFonts w:cs="Calibri"/>
                <w:lang w:val="cs-CZ" w:eastAsia="cs-CZ"/>
              </w:rPr>
            </w:pPr>
            <w:r w:rsidRPr="008B53A9">
              <w:rPr>
                <w:rFonts w:cs="Calibri"/>
                <w:lang w:val="cs-CZ" w:eastAsia="cs-CZ"/>
              </w:rPr>
              <w:t>Mechanismus koordinace je zajištěn prostřednictvím institucionálního propojení v rámci zprostředkujícího subjektu TA ČR, který bude zajišťovat implementaci této intervenční oblasti OP PIK a který zároveň implementuje uvedené národní programy VaVaI. V rámci TA ČR probíhá ve spolupráci s </w:t>
            </w:r>
            <w:r w:rsidR="00A0251A" w:rsidRPr="008B53A9">
              <w:rPr>
                <w:rFonts w:cs="Calibri"/>
                <w:lang w:val="cs-CZ" w:eastAsia="cs-CZ"/>
              </w:rPr>
              <w:t>Ř</w:t>
            </w:r>
            <w:r w:rsidRPr="008B53A9">
              <w:rPr>
                <w:rFonts w:cs="Calibri"/>
                <w:lang w:val="cs-CZ" w:eastAsia="cs-CZ"/>
              </w:rPr>
              <w:t xml:space="preserve">ídícím orgánem OP PIK koordinace při přípravě věcného zaměření příslušných oblastí intervencí. Ve fázi realizace bude v rámci TA ČR koordinováno vyhlašování výzev (časové hledisko, věcný obsah, technické parametry). Dalším koordinačním mechanismem bude informace pro potenciální žadatele na webových stránkách </w:t>
            </w:r>
            <w:r w:rsidR="00A0251A" w:rsidRPr="008B53A9">
              <w:rPr>
                <w:rFonts w:cs="Calibri"/>
                <w:lang w:val="cs-CZ" w:eastAsia="cs-CZ"/>
              </w:rPr>
              <w:t>Ř</w:t>
            </w:r>
            <w:r w:rsidRPr="008B53A9">
              <w:rPr>
                <w:rFonts w:cs="Calibri"/>
                <w:lang w:val="cs-CZ" w:eastAsia="cs-CZ"/>
              </w:rPr>
              <w:t>ídícího orgánu OP PIK ve formě odkazu na příslušné národní programy TA ČR, což usnadní orientaci případných žadatelů v možnostech získání podpory pro svůj projekt.</w:t>
            </w:r>
          </w:p>
        </w:tc>
      </w:tr>
    </w:tbl>
    <w:p w:rsidR="00D51A7B" w:rsidRPr="008B53A9" w:rsidRDefault="00D51A7B" w:rsidP="00D51A7B">
      <w:pPr>
        <w:pStyle w:val="Standardntext"/>
      </w:pPr>
    </w:p>
    <w:p w:rsidR="004D7D09" w:rsidRPr="008B53A9" w:rsidRDefault="004D7D09" w:rsidP="005D178C">
      <w:pPr>
        <w:pStyle w:val="Standardntext"/>
        <w:numPr>
          <w:ilvl w:val="0"/>
          <w:numId w:val="97"/>
        </w:numPr>
        <w:rPr>
          <w:b/>
        </w:rPr>
      </w:pPr>
      <w:r w:rsidRPr="008B53A9">
        <w:rPr>
          <w:b/>
        </w:rPr>
        <w:t>Zvýšení konkurenceschopnosti MSP</w:t>
      </w:r>
    </w:p>
    <w:p w:rsidR="004D7D09" w:rsidRPr="008B53A9" w:rsidRDefault="004D7D09" w:rsidP="004D7D09">
      <w:pPr>
        <w:pStyle w:val="Standardntext"/>
      </w:pPr>
      <w:r w:rsidRPr="008B53A9">
        <w:t xml:space="preserve">Mezi národní programy v této oblasti patří program záruk pro malé a střední podnikatele </w:t>
      </w:r>
      <w:r w:rsidRPr="008B53A9">
        <w:rPr>
          <w:b/>
        </w:rPr>
        <w:t>ZÁRUKA</w:t>
      </w:r>
      <w:r w:rsidRPr="008B53A9">
        <w:t xml:space="preserve">, program záruk za úvěry začínajícím podnikatelům v Olomouckém a Moravskoslezském kraji </w:t>
      </w:r>
      <w:r w:rsidRPr="008B53A9">
        <w:rPr>
          <w:b/>
        </w:rPr>
        <w:t>INOSTART</w:t>
      </w:r>
      <w:r w:rsidRPr="008B53A9">
        <w:t xml:space="preserve"> a program </w:t>
      </w:r>
      <w:r w:rsidRPr="008B53A9">
        <w:rPr>
          <w:b/>
        </w:rPr>
        <w:t>REVIT</w:t>
      </w:r>
      <w:r w:rsidRPr="008B53A9">
        <w:t xml:space="preserve"> na léta 2014 - 2020. Jedná se o doplňkové programy k OP PIK; u všech těchto programů se předpokládají komplementarity v oblasti finančních nástrojů.</w:t>
      </w:r>
    </w:p>
    <w:tbl>
      <w:tblPr>
        <w:tblW w:w="14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9"/>
        <w:gridCol w:w="3420"/>
        <w:gridCol w:w="285"/>
        <w:gridCol w:w="2564"/>
        <w:gridCol w:w="2578"/>
        <w:gridCol w:w="2578"/>
      </w:tblGrid>
      <w:tr w:rsidR="00295566" w:rsidRPr="008B53A9">
        <w:trPr>
          <w:trHeight w:val="233"/>
        </w:trPr>
        <w:tc>
          <w:tcPr>
            <w:tcW w:w="0" w:type="auto"/>
            <w:shd w:val="clear" w:color="auto" w:fill="5D7430"/>
            <w:vAlign w:val="center"/>
          </w:tcPr>
          <w:p w:rsidR="00295566" w:rsidRPr="008B53A9" w:rsidRDefault="00295566" w:rsidP="0097199C">
            <w:pPr>
              <w:pStyle w:val="Tabulka"/>
              <w:keepNext/>
              <w:keepLines/>
              <w:jc w:val="left"/>
              <w:rPr>
                <w:rFonts w:cs="Calibri"/>
                <w:b/>
                <w:lang w:val="cs-CZ" w:eastAsia="cs-CZ"/>
              </w:rPr>
            </w:pPr>
            <w:r w:rsidRPr="008B53A9">
              <w:rPr>
                <w:rFonts w:cs="Calibri"/>
                <w:b/>
                <w:color w:val="FFFFFF"/>
                <w:lang w:val="cs-CZ" w:eastAsia="cs-CZ"/>
              </w:rPr>
              <w:t>Zvýšení konkurence-schopnosti MSP</w:t>
            </w:r>
          </w:p>
        </w:tc>
        <w:tc>
          <w:tcPr>
            <w:tcW w:w="3420" w:type="dxa"/>
            <w:tcBorders>
              <w:bottom w:val="single" w:sz="4" w:space="0" w:color="000000"/>
            </w:tcBorders>
            <w:shd w:val="clear" w:color="auto" w:fill="76923C"/>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OP PIK</w:t>
            </w:r>
          </w:p>
        </w:tc>
        <w:tc>
          <w:tcPr>
            <w:tcW w:w="285" w:type="dxa"/>
            <w:tcBorders>
              <w:top w:val="nil"/>
              <w:bottom w:val="nil"/>
            </w:tcBorders>
            <w:shd w:val="clear" w:color="auto" w:fill="auto"/>
            <w:vAlign w:val="center"/>
          </w:tcPr>
          <w:p w:rsidR="00295566" w:rsidRPr="008B53A9" w:rsidRDefault="00295566" w:rsidP="00267430">
            <w:pPr>
              <w:pStyle w:val="Tabulka"/>
              <w:keepNext/>
              <w:keepLines/>
              <w:rPr>
                <w:rFonts w:cs="Calibri"/>
                <w:b/>
                <w:sz w:val="6"/>
                <w:szCs w:val="6"/>
                <w:lang w:val="cs-CZ" w:eastAsia="cs-CZ"/>
              </w:rPr>
            </w:pPr>
          </w:p>
        </w:tc>
        <w:tc>
          <w:tcPr>
            <w:tcW w:w="2564" w:type="dxa"/>
            <w:tcBorders>
              <w:bottom w:val="single" w:sz="4" w:space="0" w:color="000000"/>
              <w:right w:val="single" w:sz="4" w:space="0" w:color="auto"/>
            </w:tcBorders>
            <w:shd w:val="clear" w:color="auto" w:fill="76923C"/>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Záruka (ČMZRB)</w:t>
            </w:r>
          </w:p>
        </w:tc>
        <w:tc>
          <w:tcPr>
            <w:tcW w:w="2578" w:type="dxa"/>
            <w:tcBorders>
              <w:left w:val="single" w:sz="4" w:space="0" w:color="auto"/>
              <w:bottom w:val="single" w:sz="4" w:space="0" w:color="000000"/>
              <w:right w:val="single" w:sz="4" w:space="0" w:color="auto"/>
            </w:tcBorders>
            <w:shd w:val="clear" w:color="auto" w:fill="76923C"/>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Inostart (ČMZRB)</w:t>
            </w:r>
          </w:p>
        </w:tc>
        <w:tc>
          <w:tcPr>
            <w:tcW w:w="2578" w:type="dxa"/>
            <w:tcBorders>
              <w:left w:val="single" w:sz="4" w:space="0" w:color="auto"/>
              <w:bottom w:val="single" w:sz="4" w:space="0" w:color="000000"/>
              <w:right w:val="single" w:sz="4" w:space="0" w:color="auto"/>
            </w:tcBorders>
            <w:shd w:val="clear" w:color="auto" w:fill="76923C"/>
            <w:vAlign w:val="center"/>
          </w:tcPr>
          <w:p w:rsidR="00295566" w:rsidRPr="008B53A9" w:rsidRDefault="00295566" w:rsidP="00267430">
            <w:pPr>
              <w:pStyle w:val="Tabulka"/>
              <w:keepNext/>
              <w:keepLines/>
              <w:rPr>
                <w:rFonts w:cs="Calibri"/>
                <w:b/>
                <w:lang w:val="cs-CZ" w:eastAsia="cs-CZ"/>
              </w:rPr>
            </w:pPr>
            <w:r w:rsidRPr="008B53A9">
              <w:rPr>
                <w:rFonts w:cs="Calibri"/>
                <w:b/>
                <w:lang w:val="cs-CZ" w:eastAsia="cs-CZ"/>
              </w:rPr>
              <w:t>Revit (MPO)</w:t>
            </w:r>
          </w:p>
        </w:tc>
      </w:tr>
      <w:tr w:rsidR="00295566" w:rsidRPr="008B53A9">
        <w:trPr>
          <w:trHeight w:val="336"/>
        </w:trPr>
        <w:tc>
          <w:tcPr>
            <w:tcW w:w="0" w:type="auto"/>
            <w:vMerge w:val="restart"/>
            <w:shd w:val="clear" w:color="auto" w:fill="D6E3B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Tematický cíl / investiční priorita</w:t>
            </w:r>
          </w:p>
        </w:tc>
        <w:tc>
          <w:tcPr>
            <w:tcW w:w="3420" w:type="dxa"/>
            <w:vMerge w:val="restart"/>
            <w:tcBorders>
              <w:right w:val="single" w:sz="4" w:space="0" w:color="auto"/>
            </w:tcBorders>
            <w:shd w:val="clear" w:color="auto" w:fill="auto"/>
            <w:vAlign w:val="center"/>
          </w:tcPr>
          <w:p w:rsidR="00295566" w:rsidRPr="008B53A9" w:rsidRDefault="00295566" w:rsidP="008022FA">
            <w:pPr>
              <w:pStyle w:val="Tabulka"/>
              <w:jc w:val="left"/>
              <w:rPr>
                <w:rFonts w:cs="Calibri"/>
                <w:lang w:val="cs-CZ" w:eastAsia="cs-CZ"/>
              </w:rPr>
            </w:pPr>
            <w:r w:rsidRPr="008B53A9">
              <w:rPr>
                <w:rFonts w:cs="Calibri"/>
                <w:lang w:val="cs-CZ" w:eastAsia="cs-CZ"/>
              </w:rPr>
              <w:t>TC 3 / 3 a)</w:t>
            </w:r>
          </w:p>
        </w:tc>
        <w:tc>
          <w:tcPr>
            <w:tcW w:w="285" w:type="dxa"/>
            <w:vMerge w:val="restart"/>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564" w:type="dxa"/>
            <w:vMerge w:val="restart"/>
            <w:tcBorders>
              <w:top w:val="single" w:sz="4" w:space="0" w:color="000000"/>
              <w:left w:val="single"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578" w:type="dxa"/>
            <w:vMerge w:val="restart"/>
            <w:tcBorders>
              <w:top w:val="single" w:sz="4" w:space="0" w:color="000000"/>
              <w:left w:val="single"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c>
          <w:tcPr>
            <w:tcW w:w="2578" w:type="dxa"/>
            <w:vMerge w:val="restart"/>
            <w:tcBorders>
              <w:top w:val="single" w:sz="4" w:space="0" w:color="000000"/>
              <w:left w:val="single"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r>
      <w:tr w:rsidR="00295566" w:rsidRPr="008B53A9">
        <w:trPr>
          <w:trHeight w:val="396"/>
        </w:trPr>
        <w:tc>
          <w:tcPr>
            <w:tcW w:w="0" w:type="auto"/>
            <w:vMerge/>
            <w:tcBorders>
              <w:bottom w:val="dotted" w:sz="4" w:space="0" w:color="auto"/>
            </w:tcBorders>
            <w:shd w:val="clear" w:color="auto" w:fill="D6E3BC"/>
            <w:vAlign w:val="center"/>
          </w:tcPr>
          <w:p w:rsidR="00295566" w:rsidRPr="008B53A9" w:rsidRDefault="00295566" w:rsidP="00267430">
            <w:pPr>
              <w:pStyle w:val="Tabulka"/>
              <w:jc w:val="left"/>
              <w:rPr>
                <w:rFonts w:cs="Calibri"/>
                <w:lang w:val="cs-CZ" w:eastAsia="cs-CZ"/>
              </w:rPr>
            </w:pPr>
          </w:p>
        </w:tc>
        <w:tc>
          <w:tcPr>
            <w:tcW w:w="3420" w:type="dxa"/>
            <w:vMerge/>
            <w:tcBorders>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85" w:type="dxa"/>
            <w:vMerge/>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564" w:type="dxa"/>
            <w:vMerge/>
            <w:tcBorders>
              <w:left w:val="single" w:sz="4" w:space="0" w:color="auto"/>
              <w:bottom w:val="dotted"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578" w:type="dxa"/>
            <w:vMerge/>
            <w:tcBorders>
              <w:left w:val="single" w:sz="4" w:space="0" w:color="auto"/>
              <w:bottom w:val="dotted"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c>
          <w:tcPr>
            <w:tcW w:w="2578" w:type="dxa"/>
            <w:vMerge/>
            <w:tcBorders>
              <w:left w:val="single" w:sz="4" w:space="0" w:color="auto"/>
              <w:bottom w:val="dotted"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r>
      <w:tr w:rsidR="00295566" w:rsidRPr="008B53A9">
        <w:trPr>
          <w:trHeight w:val="212"/>
        </w:trPr>
        <w:tc>
          <w:tcPr>
            <w:tcW w:w="0" w:type="auto"/>
            <w:tcBorders>
              <w:top w:val="dotted" w:sz="4" w:space="0" w:color="auto"/>
              <w:bottom w:val="dotted" w:sz="4" w:space="0" w:color="auto"/>
            </w:tcBorders>
            <w:shd w:val="clear" w:color="auto" w:fill="D6E3B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Prioritní osa</w:t>
            </w:r>
          </w:p>
        </w:tc>
        <w:tc>
          <w:tcPr>
            <w:tcW w:w="3420" w:type="dxa"/>
            <w:tcBorders>
              <w:top w:val="dotted" w:sz="4" w:space="0" w:color="auto"/>
              <w:bottom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PO 2: Rozvoj podnikání a konkurenceschopnosti malých a středních podniků</w:t>
            </w:r>
          </w:p>
        </w:tc>
        <w:tc>
          <w:tcPr>
            <w:tcW w:w="285" w:type="dxa"/>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564" w:type="dxa"/>
            <w:tcBorders>
              <w:top w:val="dotted" w:sz="4" w:space="0" w:color="auto"/>
              <w:left w:val="single" w:sz="4" w:space="0" w:color="auto"/>
              <w:bottom w:val="dotted"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578" w:type="dxa"/>
            <w:tcBorders>
              <w:top w:val="dotted" w:sz="4" w:space="0" w:color="auto"/>
              <w:left w:val="single" w:sz="4" w:space="0" w:color="auto"/>
              <w:bottom w:val="dotted"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c>
          <w:tcPr>
            <w:tcW w:w="2578" w:type="dxa"/>
            <w:tcBorders>
              <w:top w:val="dotted" w:sz="4" w:space="0" w:color="auto"/>
              <w:left w:val="single" w:sz="4" w:space="0" w:color="auto"/>
              <w:bottom w:val="dotted"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r>
      <w:tr w:rsidR="00295566" w:rsidRPr="008B53A9">
        <w:trPr>
          <w:trHeight w:val="2355"/>
        </w:trPr>
        <w:tc>
          <w:tcPr>
            <w:tcW w:w="0" w:type="auto"/>
            <w:tcBorders>
              <w:top w:val="dotted" w:sz="4" w:space="0" w:color="auto"/>
            </w:tcBorders>
            <w:shd w:val="clear" w:color="auto" w:fill="D6E3B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Specifický cíl</w:t>
            </w:r>
          </w:p>
        </w:tc>
        <w:tc>
          <w:tcPr>
            <w:tcW w:w="3420" w:type="dxa"/>
            <w:tcBorders>
              <w:top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 xml:space="preserve">SC 2.1: </w:t>
            </w:r>
            <w:r w:rsidR="00CE3F25" w:rsidRPr="008B53A9">
              <w:rPr>
                <w:rFonts w:cs="Calibri"/>
                <w:lang w:val="cs-CZ" w:eastAsia="cs-CZ"/>
              </w:rPr>
              <w:t>Zvýšit konkurenceschopnost začínajících a rozvojových MSP</w:t>
            </w:r>
          </w:p>
        </w:tc>
        <w:tc>
          <w:tcPr>
            <w:tcW w:w="285" w:type="dxa"/>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564" w:type="dxa"/>
            <w:tcBorders>
              <w:top w:val="dotted" w:sz="4" w:space="0" w:color="auto"/>
              <w:left w:val="single" w:sz="4" w:space="0" w:color="auto"/>
              <w:right w:val="single" w:sz="4" w:space="0" w:color="auto"/>
              <w:tr2bl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p>
        </w:tc>
        <w:tc>
          <w:tcPr>
            <w:tcW w:w="2578" w:type="dxa"/>
            <w:tcBorders>
              <w:top w:val="dotted" w:sz="4" w:space="0" w:color="auto"/>
              <w:left w:val="single"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c>
          <w:tcPr>
            <w:tcW w:w="2578" w:type="dxa"/>
            <w:tcBorders>
              <w:top w:val="dotted" w:sz="4" w:space="0" w:color="auto"/>
              <w:left w:val="single" w:sz="4" w:space="0" w:color="auto"/>
              <w:right w:val="single" w:sz="4" w:space="0" w:color="auto"/>
              <w:tr2bl w:val="single" w:sz="4" w:space="0" w:color="auto"/>
            </w:tcBorders>
            <w:vAlign w:val="center"/>
          </w:tcPr>
          <w:p w:rsidR="00295566" w:rsidRPr="008B53A9" w:rsidRDefault="00295566" w:rsidP="00267430">
            <w:pPr>
              <w:pStyle w:val="Tabulka"/>
              <w:jc w:val="left"/>
              <w:rPr>
                <w:rFonts w:cs="Calibri"/>
                <w:lang w:val="cs-CZ" w:eastAsia="cs-CZ"/>
              </w:rPr>
            </w:pPr>
          </w:p>
        </w:tc>
      </w:tr>
      <w:tr w:rsidR="00295566" w:rsidRPr="008B53A9">
        <w:tc>
          <w:tcPr>
            <w:tcW w:w="0" w:type="auto"/>
            <w:tcBorders>
              <w:top w:val="dotted" w:sz="4" w:space="0" w:color="auto"/>
            </w:tcBorders>
            <w:shd w:val="clear" w:color="auto" w:fill="D6E3B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t>Věcná specifikace (zaměření, aktivity)</w:t>
            </w:r>
          </w:p>
        </w:tc>
        <w:tc>
          <w:tcPr>
            <w:tcW w:w="3420" w:type="dxa"/>
            <w:tcBorders>
              <w:top w:val="dotted"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realizace podnikatelských záměrů nových a rozvinutých MSP</w:t>
            </w:r>
          </w:p>
        </w:tc>
        <w:tc>
          <w:tcPr>
            <w:tcW w:w="285" w:type="dxa"/>
            <w:tcBorders>
              <w:top w:val="nil"/>
              <w:left w:val="single" w:sz="4" w:space="0" w:color="auto"/>
              <w:bottom w:val="nil"/>
              <w:right w:val="single" w:sz="4" w:space="0" w:color="auto"/>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564" w:type="dxa"/>
            <w:tcBorders>
              <w:top w:val="dotted" w:sz="4" w:space="0" w:color="auto"/>
              <w:left w:val="single" w:sz="4" w:space="0" w:color="auto"/>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realizace podnikatelských záměrů malých podnikatelů</w:t>
            </w:r>
          </w:p>
        </w:tc>
        <w:tc>
          <w:tcPr>
            <w:tcW w:w="2578" w:type="dxa"/>
            <w:tcBorders>
              <w:top w:val="dotted" w:sz="4" w:space="0" w:color="auto"/>
              <w:left w:val="single" w:sz="4" w:space="0" w:color="auto"/>
              <w:right w:val="single" w:sz="4" w:space="0" w:color="auto"/>
            </w:tcBorders>
            <w:vAlign w:val="center"/>
          </w:tcPr>
          <w:p w:rsidR="00295566" w:rsidRPr="008B53A9" w:rsidRDefault="00295566" w:rsidP="00267430">
            <w:pPr>
              <w:pStyle w:val="Tabulka"/>
              <w:jc w:val="left"/>
              <w:rPr>
                <w:rFonts w:cs="Calibri"/>
                <w:lang w:val="cs-CZ" w:eastAsia="cs-CZ"/>
              </w:rPr>
            </w:pPr>
            <w:r w:rsidRPr="008B53A9">
              <w:rPr>
                <w:rFonts w:cs="Calibri"/>
                <w:lang w:val="cs-CZ" w:eastAsia="cs-CZ"/>
              </w:rPr>
              <w:t>program usnadňuje začínajícím inovativním podnikatelům (do 3 let existence firmy) získat přístup k úvěrům</w:t>
            </w:r>
          </w:p>
        </w:tc>
        <w:tc>
          <w:tcPr>
            <w:tcW w:w="2578" w:type="dxa"/>
            <w:tcBorders>
              <w:top w:val="dotted" w:sz="4" w:space="0" w:color="auto"/>
              <w:left w:val="single" w:sz="4" w:space="0" w:color="auto"/>
              <w:right w:val="single" w:sz="4" w:space="0" w:color="auto"/>
            </w:tcBorders>
            <w:vAlign w:val="center"/>
          </w:tcPr>
          <w:p w:rsidR="00295566" w:rsidRPr="008B53A9" w:rsidRDefault="00295566" w:rsidP="00BB6979">
            <w:pPr>
              <w:pStyle w:val="Tabulka"/>
              <w:jc w:val="left"/>
              <w:rPr>
                <w:rFonts w:cs="Calibri"/>
                <w:lang w:val="cs-CZ" w:eastAsia="cs-CZ"/>
              </w:rPr>
            </w:pPr>
            <w:r w:rsidRPr="008B53A9">
              <w:rPr>
                <w:rFonts w:cs="Calibri"/>
                <w:lang w:val="cs-CZ" w:eastAsia="cs-CZ"/>
              </w:rPr>
              <w:t xml:space="preserve">zvýhodněné investiční úvěry na pořízení a rekonstrukci dlouhodobého hmotného a nehmotného majetku a zvýhodněné provozní úvěry na pořízení zásob, </w:t>
            </w:r>
            <w:r w:rsidRPr="008B53A9">
              <w:rPr>
                <w:rFonts w:cs="Calibri"/>
                <w:lang w:val="cs-CZ" w:eastAsia="cs-CZ"/>
              </w:rPr>
              <w:lastRenderedPageBreak/>
              <w:t>drobného hmotného a nehmotného majetku</w:t>
            </w:r>
          </w:p>
        </w:tc>
      </w:tr>
      <w:tr w:rsidR="00295566" w:rsidRPr="008B53A9">
        <w:tc>
          <w:tcPr>
            <w:tcW w:w="0" w:type="auto"/>
            <w:shd w:val="clear" w:color="auto" w:fill="D6E3BC"/>
            <w:vAlign w:val="center"/>
          </w:tcPr>
          <w:p w:rsidR="00295566" w:rsidRPr="008B53A9" w:rsidRDefault="00295566" w:rsidP="00267430">
            <w:pPr>
              <w:pStyle w:val="Tabulka"/>
              <w:jc w:val="left"/>
              <w:rPr>
                <w:rFonts w:cs="Calibri"/>
                <w:b/>
                <w:lang w:val="cs-CZ" w:eastAsia="cs-CZ"/>
              </w:rPr>
            </w:pPr>
            <w:r w:rsidRPr="008B53A9">
              <w:rPr>
                <w:rFonts w:cs="Calibri"/>
                <w:b/>
                <w:lang w:val="cs-CZ" w:eastAsia="cs-CZ"/>
              </w:rPr>
              <w:lastRenderedPageBreak/>
              <w:t>Implementační prvky</w:t>
            </w:r>
          </w:p>
        </w:tc>
        <w:tc>
          <w:tcPr>
            <w:tcW w:w="3420" w:type="dxa"/>
            <w:tcBorders>
              <w:bottom w:val="single" w:sz="4" w:space="0" w:color="auto"/>
            </w:tcBorders>
            <w:shd w:val="clear" w:color="auto" w:fill="auto"/>
            <w:vAlign w:val="center"/>
          </w:tcPr>
          <w:p w:rsidR="00295566" w:rsidRPr="008B53A9" w:rsidRDefault="00295566" w:rsidP="00B91106">
            <w:pPr>
              <w:pStyle w:val="Tabulka"/>
              <w:jc w:val="left"/>
              <w:rPr>
                <w:rFonts w:cs="Calibri"/>
                <w:lang w:val="cs-CZ" w:eastAsia="cs-CZ"/>
              </w:rPr>
            </w:pPr>
            <w:r w:rsidRPr="008B53A9">
              <w:rPr>
                <w:rFonts w:cs="Calibri"/>
                <w:lang w:val="cs-CZ" w:eastAsia="cs-CZ"/>
              </w:rPr>
              <w:t>Typy příjemců: podnikatelské subjekty (malé a střední podniky</w:t>
            </w:r>
          </w:p>
          <w:p w:rsidR="00295566" w:rsidRPr="008B53A9" w:rsidRDefault="00295566" w:rsidP="00B91106">
            <w:pPr>
              <w:pStyle w:val="Tabulka"/>
              <w:jc w:val="left"/>
              <w:rPr>
                <w:rFonts w:cs="Calibri"/>
                <w:lang w:val="cs-CZ" w:eastAsia="cs-CZ"/>
              </w:rPr>
            </w:pPr>
            <w:r w:rsidRPr="008B53A9">
              <w:rPr>
                <w:rFonts w:cs="Calibri"/>
                <w:lang w:val="cs-CZ" w:eastAsia="cs-CZ"/>
              </w:rPr>
              <w:t>Cílové území: Území České republiky, mimo území hl. města Prahy</w:t>
            </w:r>
          </w:p>
        </w:tc>
        <w:tc>
          <w:tcPr>
            <w:tcW w:w="285" w:type="dxa"/>
            <w:tcBorders>
              <w:top w:val="nil"/>
              <w:bottom w:val="nil"/>
            </w:tcBorders>
            <w:shd w:val="clear" w:color="auto" w:fill="auto"/>
            <w:vAlign w:val="center"/>
          </w:tcPr>
          <w:p w:rsidR="00295566" w:rsidRPr="008B53A9" w:rsidRDefault="00295566" w:rsidP="00267430">
            <w:pPr>
              <w:pStyle w:val="Tabulka"/>
              <w:jc w:val="left"/>
              <w:rPr>
                <w:rFonts w:cs="Calibri"/>
                <w:sz w:val="6"/>
                <w:szCs w:val="6"/>
                <w:lang w:val="cs-CZ" w:eastAsia="cs-CZ"/>
              </w:rPr>
            </w:pPr>
          </w:p>
        </w:tc>
        <w:tc>
          <w:tcPr>
            <w:tcW w:w="2564" w:type="dxa"/>
            <w:tcBorders>
              <w:right w:val="single" w:sz="4" w:space="0" w:color="auto"/>
            </w:tcBorders>
            <w:shd w:val="clear" w:color="auto" w:fill="auto"/>
            <w:vAlign w:val="center"/>
          </w:tcPr>
          <w:p w:rsidR="00295566" w:rsidRPr="008B53A9" w:rsidRDefault="00295566" w:rsidP="00267430">
            <w:pPr>
              <w:pStyle w:val="Tabulka"/>
              <w:jc w:val="left"/>
              <w:rPr>
                <w:rFonts w:cs="Calibri"/>
                <w:lang w:val="cs-CZ" w:eastAsia="cs-CZ"/>
              </w:rPr>
            </w:pPr>
            <w:r w:rsidRPr="008B53A9">
              <w:rPr>
                <w:rFonts w:cs="Calibri"/>
                <w:lang w:val="cs-CZ" w:eastAsia="cs-CZ"/>
              </w:rPr>
              <w:t>Typy příjemců: Malý podnikatel, v případě podnikatelů postižených povodní v roce 2013 malý a střední podnikatel</w:t>
            </w:r>
          </w:p>
          <w:p w:rsidR="00295566" w:rsidRPr="008B53A9" w:rsidRDefault="00295566" w:rsidP="00267430">
            <w:pPr>
              <w:pStyle w:val="Tabulka"/>
              <w:jc w:val="left"/>
              <w:rPr>
                <w:rFonts w:cs="Calibri"/>
                <w:lang w:val="cs-CZ" w:eastAsia="cs-CZ"/>
              </w:rPr>
            </w:pPr>
            <w:r w:rsidRPr="008B53A9">
              <w:rPr>
                <w:rFonts w:cs="Calibri"/>
                <w:lang w:val="cs-CZ" w:eastAsia="cs-CZ"/>
              </w:rPr>
              <w:t>Cílové území: Území České republiky</w:t>
            </w:r>
          </w:p>
        </w:tc>
        <w:tc>
          <w:tcPr>
            <w:tcW w:w="2578" w:type="dxa"/>
            <w:tcBorders>
              <w:left w:val="single" w:sz="4" w:space="0" w:color="auto"/>
              <w:right w:val="single" w:sz="4" w:space="0" w:color="auto"/>
            </w:tcBorders>
            <w:vAlign w:val="center"/>
          </w:tcPr>
          <w:p w:rsidR="00295566" w:rsidRPr="008B53A9" w:rsidRDefault="00295566" w:rsidP="00267430">
            <w:pPr>
              <w:pStyle w:val="Tabulka"/>
              <w:jc w:val="left"/>
              <w:rPr>
                <w:rFonts w:cs="Calibri"/>
                <w:lang w:val="cs-CZ" w:eastAsia="cs-CZ"/>
              </w:rPr>
            </w:pPr>
            <w:r w:rsidRPr="008B53A9">
              <w:rPr>
                <w:rFonts w:cs="Calibri"/>
                <w:lang w:val="cs-CZ" w:eastAsia="cs-CZ"/>
              </w:rPr>
              <w:t>Typy příjemců: Malý podnikatel</w:t>
            </w:r>
          </w:p>
          <w:p w:rsidR="00295566" w:rsidRPr="008B53A9" w:rsidRDefault="00295566" w:rsidP="00502C2B">
            <w:pPr>
              <w:pStyle w:val="Tabulka"/>
              <w:jc w:val="left"/>
              <w:rPr>
                <w:rFonts w:cs="Calibri"/>
                <w:lang w:val="cs-CZ" w:eastAsia="cs-CZ"/>
              </w:rPr>
            </w:pPr>
            <w:r w:rsidRPr="008B53A9">
              <w:rPr>
                <w:rFonts w:cs="Calibri"/>
                <w:lang w:val="cs-CZ" w:eastAsia="cs-CZ"/>
              </w:rPr>
              <w:t>Cílové území: Olomoucký a Moravskoslezský kraj</w:t>
            </w:r>
          </w:p>
        </w:tc>
        <w:tc>
          <w:tcPr>
            <w:tcW w:w="2578" w:type="dxa"/>
            <w:tcBorders>
              <w:left w:val="single" w:sz="4" w:space="0" w:color="auto"/>
              <w:right w:val="single" w:sz="4" w:space="0" w:color="auto"/>
            </w:tcBorders>
            <w:vAlign w:val="center"/>
          </w:tcPr>
          <w:p w:rsidR="00295566" w:rsidRPr="008B53A9" w:rsidRDefault="00295566" w:rsidP="00B91106">
            <w:pPr>
              <w:pStyle w:val="Tabulka"/>
              <w:jc w:val="left"/>
              <w:rPr>
                <w:rFonts w:cs="Calibri"/>
                <w:lang w:val="cs-CZ" w:eastAsia="cs-CZ"/>
              </w:rPr>
            </w:pPr>
            <w:r w:rsidRPr="008B53A9">
              <w:rPr>
                <w:rFonts w:cs="Calibri"/>
                <w:lang w:val="cs-CZ" w:eastAsia="cs-CZ"/>
              </w:rPr>
              <w:t>Typy příjemců: malé a střední podniky, drobné podniky s krátkou historií</w:t>
            </w:r>
          </w:p>
          <w:p w:rsidR="00295566" w:rsidRPr="008B53A9" w:rsidRDefault="00295566" w:rsidP="00B91106">
            <w:pPr>
              <w:pStyle w:val="Tabulka"/>
              <w:jc w:val="left"/>
              <w:rPr>
                <w:rFonts w:cs="Calibri"/>
                <w:lang w:val="cs-CZ" w:eastAsia="cs-CZ"/>
              </w:rPr>
            </w:pPr>
            <w:r w:rsidRPr="008B53A9">
              <w:rPr>
                <w:rFonts w:cs="Calibri"/>
                <w:lang w:val="cs-CZ" w:eastAsia="cs-CZ"/>
              </w:rPr>
              <w:t>Cílové území: regiony s nižší či klesající ekonomickou aktivitou a vysokou nezaměstnaností nebo regiony postižené živelními pohromami (např. první výzva programu bude vyhlášena pro Moravskoslezský kraj)</w:t>
            </w:r>
          </w:p>
        </w:tc>
      </w:tr>
      <w:tr w:rsidR="00530742" w:rsidRPr="008B53A9">
        <w:tc>
          <w:tcPr>
            <w:tcW w:w="0" w:type="auto"/>
            <w:shd w:val="clear" w:color="auto" w:fill="D6E3BC"/>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t>Synergie/komplementarita</w:t>
            </w:r>
          </w:p>
        </w:tc>
        <w:tc>
          <w:tcPr>
            <w:tcW w:w="3420" w:type="dxa"/>
            <w:tcBorders>
              <w:bottom w:val="single" w:sz="4" w:space="0" w:color="auto"/>
              <w:tr2bl w:val="single" w:sz="4" w:space="0" w:color="auto"/>
            </w:tcBorders>
            <w:shd w:val="clear" w:color="auto" w:fill="auto"/>
            <w:vAlign w:val="center"/>
          </w:tcPr>
          <w:p w:rsidR="00530742" w:rsidRPr="008B53A9" w:rsidRDefault="00530742" w:rsidP="00B91106">
            <w:pPr>
              <w:pStyle w:val="Tabulka"/>
              <w:jc w:val="left"/>
              <w:rPr>
                <w:rFonts w:cs="Calibri"/>
                <w:lang w:val="cs-CZ" w:eastAsia="cs-CZ"/>
              </w:rPr>
            </w:pPr>
          </w:p>
        </w:tc>
        <w:tc>
          <w:tcPr>
            <w:tcW w:w="285" w:type="dxa"/>
            <w:tcBorders>
              <w:top w:val="nil"/>
              <w:bottom w:val="nil"/>
            </w:tcBorders>
            <w:shd w:val="clear" w:color="auto" w:fill="auto"/>
            <w:vAlign w:val="center"/>
          </w:tcPr>
          <w:p w:rsidR="00530742" w:rsidRPr="008B53A9" w:rsidRDefault="00530742" w:rsidP="00267430">
            <w:pPr>
              <w:pStyle w:val="Tabulka"/>
              <w:jc w:val="left"/>
              <w:rPr>
                <w:rFonts w:cs="Calibri"/>
                <w:sz w:val="6"/>
                <w:szCs w:val="6"/>
                <w:lang w:val="cs-CZ" w:eastAsia="cs-CZ"/>
              </w:rPr>
            </w:pPr>
          </w:p>
        </w:tc>
        <w:tc>
          <w:tcPr>
            <w:tcW w:w="2564" w:type="dxa"/>
            <w:tcBorders>
              <w:right w:val="single" w:sz="4" w:space="0" w:color="auto"/>
            </w:tcBorders>
            <w:shd w:val="clear" w:color="auto" w:fill="auto"/>
            <w:vAlign w:val="center"/>
          </w:tcPr>
          <w:p w:rsidR="00530742" w:rsidRPr="008B53A9" w:rsidRDefault="00530742" w:rsidP="00267430">
            <w:pPr>
              <w:pStyle w:val="Tabulka"/>
              <w:jc w:val="left"/>
              <w:rPr>
                <w:rFonts w:cs="Calibri"/>
                <w:lang w:val="cs-CZ" w:eastAsia="cs-CZ"/>
              </w:rPr>
            </w:pPr>
            <w:r w:rsidRPr="008B53A9">
              <w:rPr>
                <w:rFonts w:cs="Calibri"/>
                <w:lang w:val="cs-CZ" w:eastAsia="cs-CZ"/>
              </w:rPr>
              <w:t>komplementarita</w:t>
            </w:r>
          </w:p>
        </w:tc>
        <w:tc>
          <w:tcPr>
            <w:tcW w:w="2578" w:type="dxa"/>
            <w:tcBorders>
              <w:left w:val="single" w:sz="4" w:space="0" w:color="auto"/>
              <w:right w:val="single" w:sz="4" w:space="0" w:color="auto"/>
            </w:tcBorders>
            <w:vAlign w:val="center"/>
          </w:tcPr>
          <w:p w:rsidR="00530742" w:rsidRPr="008B53A9" w:rsidRDefault="00530742" w:rsidP="00267430">
            <w:pPr>
              <w:pStyle w:val="Tabulka"/>
              <w:jc w:val="left"/>
              <w:rPr>
                <w:rFonts w:cs="Calibri"/>
                <w:lang w:val="cs-CZ" w:eastAsia="cs-CZ"/>
              </w:rPr>
            </w:pPr>
            <w:r w:rsidRPr="008B53A9">
              <w:rPr>
                <w:rFonts w:cs="Calibri"/>
                <w:lang w:val="cs-CZ" w:eastAsia="cs-CZ"/>
              </w:rPr>
              <w:t>komplementarita</w:t>
            </w:r>
          </w:p>
        </w:tc>
        <w:tc>
          <w:tcPr>
            <w:tcW w:w="2578" w:type="dxa"/>
            <w:tcBorders>
              <w:left w:val="single" w:sz="4" w:space="0" w:color="auto"/>
              <w:right w:val="single" w:sz="4" w:space="0" w:color="auto"/>
            </w:tcBorders>
            <w:vAlign w:val="center"/>
          </w:tcPr>
          <w:p w:rsidR="00530742" w:rsidRPr="008B53A9" w:rsidRDefault="00530742" w:rsidP="00B91106">
            <w:pPr>
              <w:pStyle w:val="Tabulka"/>
              <w:jc w:val="left"/>
              <w:rPr>
                <w:rFonts w:cs="Calibri"/>
                <w:lang w:val="cs-CZ" w:eastAsia="cs-CZ"/>
              </w:rPr>
            </w:pPr>
            <w:r w:rsidRPr="008B53A9">
              <w:rPr>
                <w:rFonts w:cs="Calibri"/>
                <w:lang w:val="cs-CZ" w:eastAsia="cs-CZ"/>
              </w:rPr>
              <w:t>komplementarita</w:t>
            </w:r>
          </w:p>
        </w:tc>
      </w:tr>
      <w:tr w:rsidR="00407D0C" w:rsidRPr="008B53A9">
        <w:tc>
          <w:tcPr>
            <w:tcW w:w="0" w:type="auto"/>
            <w:shd w:val="clear" w:color="auto" w:fill="D6E3BC"/>
            <w:vAlign w:val="center"/>
          </w:tcPr>
          <w:p w:rsidR="00407D0C" w:rsidRPr="008B53A9" w:rsidRDefault="00407D0C" w:rsidP="00267430">
            <w:pPr>
              <w:pStyle w:val="Tabulka"/>
              <w:jc w:val="left"/>
              <w:rPr>
                <w:rFonts w:cs="Calibri"/>
                <w:b/>
                <w:lang w:val="cs-CZ" w:eastAsia="cs-CZ"/>
              </w:rPr>
            </w:pPr>
            <w:r w:rsidRPr="008B53A9">
              <w:rPr>
                <w:rFonts w:cs="Calibri"/>
                <w:b/>
                <w:lang w:val="cs-CZ" w:eastAsia="cs-CZ"/>
              </w:rPr>
              <w:t>Mechanismus koordinace</w:t>
            </w:r>
          </w:p>
        </w:tc>
        <w:tc>
          <w:tcPr>
            <w:tcW w:w="11425" w:type="dxa"/>
            <w:gridSpan w:val="5"/>
            <w:tcBorders>
              <w:right w:val="single" w:sz="4" w:space="0" w:color="auto"/>
              <w:tr2bl w:val="nil"/>
            </w:tcBorders>
            <w:shd w:val="clear" w:color="auto" w:fill="auto"/>
            <w:vAlign w:val="center"/>
          </w:tcPr>
          <w:p w:rsidR="00407D0C" w:rsidRPr="008B53A9" w:rsidRDefault="00407D0C" w:rsidP="00407D0C">
            <w:pPr>
              <w:pStyle w:val="Tabulka"/>
              <w:jc w:val="left"/>
              <w:rPr>
                <w:rFonts w:cs="Calibri"/>
                <w:lang w:val="cs-CZ" w:eastAsia="cs-CZ"/>
              </w:rPr>
            </w:pPr>
            <w:r w:rsidRPr="008B53A9">
              <w:rPr>
                <w:rFonts w:cs="Calibri"/>
                <w:lang w:val="cs-CZ" w:eastAsia="cs-CZ"/>
              </w:rPr>
              <w:t>Mechanismus koordinace bude institucionálně zajištěn uvnitř Řídícího orgánu, neboť příprava a správa uvedených národních programů a problematika zapojení finančních nástrojů v rámci OP PIK je v gesci stejného útvaru MPO.</w:t>
            </w:r>
          </w:p>
          <w:p w:rsidR="00407D0C" w:rsidRPr="008B53A9" w:rsidRDefault="00407D0C" w:rsidP="00407D0C">
            <w:pPr>
              <w:pStyle w:val="Tabulka"/>
              <w:jc w:val="left"/>
              <w:rPr>
                <w:rFonts w:cs="Calibri"/>
                <w:lang w:val="cs-CZ" w:eastAsia="cs-CZ"/>
              </w:rPr>
            </w:pPr>
            <w:r w:rsidRPr="008B53A9">
              <w:rPr>
                <w:rFonts w:cs="Calibri"/>
                <w:lang w:val="cs-CZ" w:eastAsia="cs-CZ"/>
              </w:rPr>
              <w:t>V rámci tohoto útvaru MPO probíhá koordinace při přípravě věcného zaměření příslušných oblastí intervencí OP PIK. Ve fázi realizace bude koordinováno vyhlašování výzev (časové hledisko, věcný obsah, technické parametry).</w:t>
            </w:r>
          </w:p>
        </w:tc>
      </w:tr>
    </w:tbl>
    <w:p w:rsidR="00D51A7B" w:rsidRPr="008B53A9" w:rsidRDefault="00D51A7B" w:rsidP="00D51A7B">
      <w:pPr>
        <w:pStyle w:val="Standardntext"/>
      </w:pPr>
    </w:p>
    <w:p w:rsidR="004D7D09" w:rsidRPr="008B53A9" w:rsidRDefault="004D7D09" w:rsidP="005D178C">
      <w:pPr>
        <w:pStyle w:val="Standardntext"/>
        <w:numPr>
          <w:ilvl w:val="0"/>
          <w:numId w:val="97"/>
        </w:numPr>
        <w:rPr>
          <w:b/>
        </w:rPr>
      </w:pPr>
      <w:r w:rsidRPr="008B53A9">
        <w:rPr>
          <w:b/>
        </w:rPr>
        <w:t>Podnikatelské nemovitosti</w:t>
      </w:r>
    </w:p>
    <w:p w:rsidR="004D7D09" w:rsidRPr="008B53A9" w:rsidRDefault="004D7D09" w:rsidP="004D7D09">
      <w:pPr>
        <w:pStyle w:val="Standardntext"/>
      </w:pPr>
      <w:r w:rsidRPr="008B53A9">
        <w:t xml:space="preserve">MPO je správcem národního </w:t>
      </w:r>
      <w:r w:rsidRPr="008B53A9">
        <w:rPr>
          <w:b/>
        </w:rPr>
        <w:t>Programu na podporu podnikatelských nemovitostí a infrastruktury</w:t>
      </w:r>
      <w:r w:rsidRPr="008B53A9">
        <w:t>, jehož cílem je zajistit nutné předpoklady a podmínky pro realizaci především strategických projektů v oblasti zpracovatelského průmyslu, strategických služeb, technologických center a výzkumu a regenerace nevyužívaných nemovitostí. Program je doplňkový vůči OP PIK, neboť obdobné aktivity obsahuje prioritní osa 2 Operačního programu. Odlišná je cílová skupina potenciálních příjemců, kdy se OP PIK orientuje na podnikatelské subjekty a národní program pouze na obce a kraje.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770"/>
        <w:gridCol w:w="290"/>
        <w:gridCol w:w="4897"/>
      </w:tblGrid>
      <w:tr w:rsidR="00625632" w:rsidRPr="008B53A9">
        <w:trPr>
          <w:trHeight w:val="233"/>
        </w:trPr>
        <w:tc>
          <w:tcPr>
            <w:tcW w:w="1185" w:type="pct"/>
            <w:shd w:val="clear" w:color="auto" w:fill="5D7430"/>
            <w:vAlign w:val="center"/>
          </w:tcPr>
          <w:p w:rsidR="00625632" w:rsidRPr="008B53A9" w:rsidRDefault="000561F7" w:rsidP="00625632">
            <w:pPr>
              <w:pStyle w:val="Tabulka"/>
              <w:keepNext/>
              <w:keepLines/>
              <w:jc w:val="left"/>
              <w:rPr>
                <w:rFonts w:cs="Calibri"/>
                <w:b/>
                <w:color w:val="FFFFFF"/>
                <w:lang w:val="cs-CZ" w:eastAsia="cs-CZ"/>
              </w:rPr>
            </w:pPr>
            <w:r w:rsidRPr="008B53A9">
              <w:rPr>
                <w:rFonts w:cs="Calibri"/>
                <w:b/>
                <w:color w:val="FFFFFF"/>
                <w:lang w:val="cs-CZ" w:eastAsia="cs-CZ"/>
              </w:rPr>
              <w:lastRenderedPageBreak/>
              <w:t>Podnikatelské nemovitosti</w:t>
            </w:r>
          </w:p>
        </w:tc>
        <w:tc>
          <w:tcPr>
            <w:tcW w:w="2009" w:type="pct"/>
            <w:tcBorders>
              <w:bottom w:val="single" w:sz="4" w:space="0" w:color="000000"/>
            </w:tcBorders>
            <w:shd w:val="clear" w:color="auto" w:fill="76923C"/>
            <w:vAlign w:val="center"/>
          </w:tcPr>
          <w:p w:rsidR="00625632" w:rsidRPr="008B53A9" w:rsidRDefault="00625632" w:rsidP="00625632">
            <w:pPr>
              <w:pStyle w:val="Tabulka"/>
              <w:keepNext/>
              <w:keepLines/>
              <w:rPr>
                <w:rFonts w:cs="Calibri"/>
                <w:b/>
                <w:lang w:val="cs-CZ" w:eastAsia="cs-CZ"/>
              </w:rPr>
            </w:pPr>
            <w:r w:rsidRPr="008B53A9">
              <w:rPr>
                <w:rFonts w:cs="Calibri"/>
                <w:b/>
                <w:lang w:val="cs-CZ" w:eastAsia="cs-CZ"/>
              </w:rPr>
              <w:t>OP PIK</w:t>
            </w:r>
          </w:p>
        </w:tc>
        <w:tc>
          <w:tcPr>
            <w:tcW w:w="101" w:type="pct"/>
            <w:tcBorders>
              <w:top w:val="nil"/>
              <w:left w:val="single" w:sz="4" w:space="0" w:color="auto"/>
              <w:bottom w:val="nil"/>
              <w:right w:val="single" w:sz="4" w:space="0" w:color="auto"/>
            </w:tcBorders>
            <w:shd w:val="clear" w:color="auto" w:fill="auto"/>
          </w:tcPr>
          <w:p w:rsidR="00625632" w:rsidRPr="008B53A9" w:rsidRDefault="00625632" w:rsidP="00625632">
            <w:pPr>
              <w:pStyle w:val="Tabulka"/>
              <w:keepNext/>
              <w:keepLines/>
              <w:rPr>
                <w:rFonts w:cs="Calibri"/>
                <w:b/>
                <w:lang w:val="cs-CZ" w:eastAsia="cs-CZ"/>
              </w:rPr>
            </w:pPr>
          </w:p>
        </w:tc>
        <w:tc>
          <w:tcPr>
            <w:tcW w:w="1705" w:type="pct"/>
            <w:tcBorders>
              <w:left w:val="single" w:sz="4" w:space="0" w:color="auto"/>
              <w:bottom w:val="single" w:sz="4" w:space="0" w:color="000000"/>
            </w:tcBorders>
            <w:shd w:val="clear" w:color="auto" w:fill="76923C"/>
          </w:tcPr>
          <w:p w:rsidR="00625632" w:rsidRPr="008B53A9" w:rsidRDefault="005D026E" w:rsidP="005D026E">
            <w:pPr>
              <w:pStyle w:val="Tabulka"/>
              <w:keepNext/>
              <w:keepLines/>
              <w:rPr>
                <w:rFonts w:cs="Calibri"/>
                <w:b/>
                <w:lang w:val="cs-CZ" w:eastAsia="cs-CZ"/>
              </w:rPr>
            </w:pPr>
            <w:r w:rsidRPr="008B53A9">
              <w:rPr>
                <w:rFonts w:cs="Calibri"/>
                <w:b/>
                <w:lang w:val="cs-CZ" w:eastAsia="cs-CZ"/>
              </w:rPr>
              <w:t>Program na podporu podnikatelských nemovitostí a infrastruktury</w:t>
            </w:r>
          </w:p>
        </w:tc>
      </w:tr>
      <w:tr w:rsidR="00625632" w:rsidRPr="008B53A9">
        <w:trPr>
          <w:trHeight w:val="300"/>
        </w:trPr>
        <w:tc>
          <w:tcPr>
            <w:tcW w:w="1185" w:type="pct"/>
            <w:vMerge w:val="restart"/>
            <w:tcBorders>
              <w:tr2bl w:val="nil"/>
            </w:tcBorders>
            <w:shd w:val="clear" w:color="auto" w:fill="D6E3BC"/>
            <w:vAlign w:val="center"/>
          </w:tcPr>
          <w:p w:rsidR="00625632" w:rsidRPr="008B53A9" w:rsidRDefault="002E0DC8" w:rsidP="00625632">
            <w:pPr>
              <w:pStyle w:val="Tabulka"/>
              <w:jc w:val="left"/>
              <w:rPr>
                <w:rFonts w:cs="Calibri"/>
                <w:b/>
                <w:lang w:val="cs-CZ" w:eastAsia="cs-CZ"/>
              </w:rPr>
            </w:pPr>
            <w:r w:rsidRPr="008B53A9">
              <w:rPr>
                <w:rFonts w:cs="Calibri"/>
                <w:b/>
                <w:lang w:val="cs-CZ" w:eastAsia="cs-CZ"/>
              </w:rPr>
              <w:t>Tematický cíl / investiční priorita</w:t>
            </w:r>
          </w:p>
        </w:tc>
        <w:tc>
          <w:tcPr>
            <w:tcW w:w="2009" w:type="pct"/>
            <w:vMerge w:val="restart"/>
            <w:tcBorders>
              <w:tr2bl w:val="nil"/>
            </w:tcBorders>
            <w:shd w:val="clear" w:color="auto" w:fill="auto"/>
            <w:vAlign w:val="center"/>
          </w:tcPr>
          <w:p w:rsidR="00625632" w:rsidRPr="008B53A9" w:rsidRDefault="008022FA" w:rsidP="008022FA">
            <w:pPr>
              <w:pStyle w:val="Tabulka"/>
              <w:jc w:val="left"/>
              <w:rPr>
                <w:rFonts w:cs="Calibri"/>
                <w:lang w:val="cs-CZ" w:eastAsia="cs-CZ"/>
              </w:rPr>
            </w:pPr>
            <w:r w:rsidRPr="008B53A9">
              <w:rPr>
                <w:rFonts w:cs="Calibri"/>
                <w:lang w:val="cs-CZ" w:eastAsia="cs-CZ"/>
              </w:rPr>
              <w:t xml:space="preserve">TC </w:t>
            </w:r>
            <w:r w:rsidR="00625632" w:rsidRPr="008B53A9">
              <w:rPr>
                <w:rFonts w:cs="Calibri"/>
                <w:lang w:val="cs-CZ" w:eastAsia="cs-CZ"/>
              </w:rPr>
              <w:t>3</w:t>
            </w:r>
            <w:r w:rsidR="005E6F75" w:rsidRPr="008B53A9">
              <w:rPr>
                <w:rFonts w:cs="Calibri"/>
                <w:lang w:val="cs-CZ" w:eastAsia="cs-CZ"/>
              </w:rPr>
              <w:t xml:space="preserve"> / </w:t>
            </w:r>
            <w:r w:rsidRPr="008B53A9">
              <w:rPr>
                <w:rFonts w:cs="Calibri"/>
                <w:lang w:val="cs-CZ" w:eastAsia="cs-CZ"/>
              </w:rPr>
              <w:t>3 c)</w:t>
            </w:r>
          </w:p>
        </w:tc>
        <w:tc>
          <w:tcPr>
            <w:tcW w:w="101" w:type="pct"/>
            <w:tcBorders>
              <w:top w:val="nil"/>
              <w:left w:val="single" w:sz="4" w:space="0" w:color="auto"/>
              <w:bottom w:val="nil"/>
              <w:right w:val="single" w:sz="4" w:space="0" w:color="auto"/>
              <w:tr2bl w:val="nil"/>
            </w:tcBorders>
            <w:shd w:val="clear" w:color="auto" w:fill="auto"/>
          </w:tcPr>
          <w:p w:rsidR="00625632" w:rsidRPr="008B53A9" w:rsidRDefault="00625632" w:rsidP="00625632">
            <w:pPr>
              <w:pStyle w:val="Tabulka"/>
              <w:jc w:val="left"/>
              <w:rPr>
                <w:rFonts w:cs="Calibri"/>
                <w:lang w:val="cs-CZ" w:eastAsia="cs-CZ"/>
              </w:rPr>
            </w:pPr>
          </w:p>
        </w:tc>
        <w:tc>
          <w:tcPr>
            <w:tcW w:w="1705" w:type="pct"/>
            <w:vMerge w:val="restart"/>
            <w:tcBorders>
              <w:top w:val="single" w:sz="4" w:space="0" w:color="000000"/>
              <w:left w:val="single" w:sz="4" w:space="0" w:color="auto"/>
              <w:bottom w:val="dotted" w:sz="4" w:space="0" w:color="auto"/>
              <w:tr2bl w:val="single" w:sz="4" w:space="0" w:color="auto"/>
            </w:tcBorders>
            <w:shd w:val="clear" w:color="auto" w:fill="auto"/>
            <w:vAlign w:val="center"/>
          </w:tcPr>
          <w:p w:rsidR="00625632" w:rsidRPr="008B53A9" w:rsidRDefault="00625632" w:rsidP="00625632">
            <w:pPr>
              <w:pStyle w:val="Tabulka"/>
              <w:jc w:val="left"/>
              <w:rPr>
                <w:rFonts w:cs="Calibri"/>
                <w:i/>
                <w:lang w:val="cs-CZ" w:eastAsia="cs-CZ"/>
              </w:rPr>
            </w:pPr>
          </w:p>
        </w:tc>
      </w:tr>
      <w:tr w:rsidR="00625632" w:rsidRPr="008B53A9">
        <w:trPr>
          <w:trHeight w:val="212"/>
        </w:trPr>
        <w:tc>
          <w:tcPr>
            <w:tcW w:w="1185" w:type="pct"/>
            <w:vMerge/>
            <w:tcBorders>
              <w:bottom w:val="dotted" w:sz="4" w:space="0" w:color="auto"/>
              <w:tr2bl w:val="nil"/>
            </w:tcBorders>
            <w:shd w:val="clear" w:color="auto" w:fill="D6E3BC"/>
            <w:vAlign w:val="center"/>
          </w:tcPr>
          <w:p w:rsidR="00625632" w:rsidRPr="008B53A9" w:rsidRDefault="00625632" w:rsidP="00625632">
            <w:pPr>
              <w:pStyle w:val="Tabulka"/>
              <w:jc w:val="left"/>
              <w:rPr>
                <w:rFonts w:cs="Calibri"/>
                <w:lang w:val="cs-CZ" w:eastAsia="cs-CZ"/>
              </w:rPr>
            </w:pPr>
          </w:p>
        </w:tc>
        <w:tc>
          <w:tcPr>
            <w:tcW w:w="2009" w:type="pct"/>
            <w:vMerge/>
            <w:tcBorders>
              <w:bottom w:val="dotted" w:sz="4" w:space="0" w:color="auto"/>
              <w:tr2bl w:val="nil"/>
            </w:tcBorders>
            <w:shd w:val="clear" w:color="auto" w:fill="auto"/>
            <w:vAlign w:val="center"/>
          </w:tcPr>
          <w:p w:rsidR="00625632" w:rsidRPr="008B53A9" w:rsidRDefault="00625632" w:rsidP="00625632">
            <w:pPr>
              <w:pStyle w:val="Tabulka"/>
              <w:jc w:val="left"/>
              <w:rPr>
                <w:rFonts w:cs="Calibri"/>
                <w:lang w:val="cs-CZ" w:eastAsia="cs-CZ"/>
              </w:rPr>
            </w:pPr>
          </w:p>
        </w:tc>
        <w:tc>
          <w:tcPr>
            <w:tcW w:w="101" w:type="pct"/>
            <w:tcBorders>
              <w:top w:val="nil"/>
              <w:left w:val="single" w:sz="4" w:space="0" w:color="auto"/>
              <w:bottom w:val="nil"/>
              <w:right w:val="single" w:sz="4" w:space="0" w:color="auto"/>
              <w:tr2bl w:val="nil"/>
            </w:tcBorders>
            <w:shd w:val="clear" w:color="auto" w:fill="auto"/>
          </w:tcPr>
          <w:p w:rsidR="00625632" w:rsidRPr="008B53A9" w:rsidRDefault="00625632" w:rsidP="00625632">
            <w:pPr>
              <w:pStyle w:val="Tabulka"/>
              <w:jc w:val="left"/>
              <w:rPr>
                <w:rFonts w:cs="Calibri"/>
                <w:lang w:val="cs-CZ" w:eastAsia="cs-CZ"/>
              </w:rPr>
            </w:pPr>
          </w:p>
        </w:tc>
        <w:tc>
          <w:tcPr>
            <w:tcW w:w="1705" w:type="pct"/>
            <w:vMerge/>
            <w:tcBorders>
              <w:left w:val="single" w:sz="4" w:space="0" w:color="auto"/>
              <w:bottom w:val="dotted" w:sz="4" w:space="0" w:color="auto"/>
              <w:tr2bl w:val="single" w:sz="4" w:space="0" w:color="auto"/>
            </w:tcBorders>
            <w:shd w:val="clear" w:color="auto" w:fill="auto"/>
            <w:vAlign w:val="center"/>
          </w:tcPr>
          <w:p w:rsidR="00625632" w:rsidRPr="008B53A9" w:rsidRDefault="00625632" w:rsidP="00625632">
            <w:pPr>
              <w:pStyle w:val="Tabulka"/>
              <w:jc w:val="left"/>
              <w:rPr>
                <w:rFonts w:cs="Calibri"/>
                <w:lang w:val="cs-CZ" w:eastAsia="cs-CZ"/>
              </w:rPr>
            </w:pPr>
          </w:p>
        </w:tc>
      </w:tr>
      <w:tr w:rsidR="00625632" w:rsidRPr="008B53A9">
        <w:trPr>
          <w:trHeight w:val="212"/>
        </w:trPr>
        <w:tc>
          <w:tcPr>
            <w:tcW w:w="1185" w:type="pct"/>
            <w:tcBorders>
              <w:top w:val="dotted" w:sz="4" w:space="0" w:color="auto"/>
              <w:bottom w:val="dotted" w:sz="4" w:space="0" w:color="auto"/>
              <w:tr2bl w:val="nil"/>
            </w:tcBorders>
            <w:shd w:val="clear" w:color="auto" w:fill="D6E3BC"/>
            <w:vAlign w:val="center"/>
          </w:tcPr>
          <w:p w:rsidR="00625632" w:rsidRPr="008B53A9" w:rsidRDefault="00625632" w:rsidP="00625632">
            <w:pPr>
              <w:pStyle w:val="Tabulka"/>
              <w:jc w:val="left"/>
              <w:rPr>
                <w:rFonts w:cs="Calibri"/>
                <w:b/>
                <w:lang w:val="cs-CZ" w:eastAsia="cs-CZ"/>
              </w:rPr>
            </w:pPr>
            <w:r w:rsidRPr="008B53A9">
              <w:rPr>
                <w:rFonts w:cs="Calibri"/>
                <w:b/>
                <w:lang w:val="cs-CZ" w:eastAsia="cs-CZ"/>
              </w:rPr>
              <w:t>Prioritní osa</w:t>
            </w:r>
          </w:p>
        </w:tc>
        <w:tc>
          <w:tcPr>
            <w:tcW w:w="2009" w:type="pct"/>
            <w:tcBorders>
              <w:top w:val="dotted" w:sz="4" w:space="0" w:color="auto"/>
              <w:bottom w:val="dotted" w:sz="4" w:space="0" w:color="auto"/>
              <w:tr2bl w:val="nil"/>
            </w:tcBorders>
            <w:shd w:val="clear" w:color="auto" w:fill="auto"/>
            <w:vAlign w:val="center"/>
          </w:tcPr>
          <w:p w:rsidR="00625632" w:rsidRPr="008B53A9" w:rsidRDefault="00625632" w:rsidP="00625632">
            <w:pPr>
              <w:pStyle w:val="Tabulka"/>
              <w:jc w:val="left"/>
              <w:rPr>
                <w:rFonts w:cs="Calibri"/>
                <w:lang w:val="cs-CZ" w:eastAsia="cs-CZ"/>
              </w:rPr>
            </w:pPr>
            <w:r w:rsidRPr="008B53A9">
              <w:rPr>
                <w:rFonts w:cs="Calibri"/>
                <w:lang w:val="cs-CZ" w:eastAsia="cs-CZ"/>
              </w:rPr>
              <w:t xml:space="preserve">PO 2: </w:t>
            </w:r>
            <w:r w:rsidR="005821F5" w:rsidRPr="008B53A9">
              <w:rPr>
                <w:rFonts w:cs="Calibri"/>
                <w:lang w:val="cs-CZ" w:eastAsia="cs-CZ"/>
              </w:rPr>
              <w:t>Rozvoj podnikání a konkurenceschopnosti malých a středních podniků</w:t>
            </w:r>
          </w:p>
        </w:tc>
        <w:tc>
          <w:tcPr>
            <w:tcW w:w="101" w:type="pct"/>
            <w:tcBorders>
              <w:top w:val="nil"/>
              <w:left w:val="single" w:sz="4" w:space="0" w:color="auto"/>
              <w:bottom w:val="nil"/>
              <w:right w:val="single" w:sz="4" w:space="0" w:color="auto"/>
              <w:tr2bl w:val="nil"/>
            </w:tcBorders>
            <w:shd w:val="clear" w:color="auto" w:fill="auto"/>
          </w:tcPr>
          <w:p w:rsidR="00625632" w:rsidRPr="008B53A9" w:rsidRDefault="00625632" w:rsidP="00625632">
            <w:pPr>
              <w:pStyle w:val="Tabulka"/>
              <w:jc w:val="left"/>
              <w:rPr>
                <w:rFonts w:cs="Calibri"/>
                <w:lang w:val="cs-CZ" w:eastAsia="cs-CZ"/>
              </w:rPr>
            </w:pPr>
          </w:p>
        </w:tc>
        <w:tc>
          <w:tcPr>
            <w:tcW w:w="1705" w:type="pct"/>
            <w:tcBorders>
              <w:top w:val="dotted" w:sz="4" w:space="0" w:color="auto"/>
              <w:left w:val="single" w:sz="4" w:space="0" w:color="auto"/>
              <w:bottom w:val="dotted" w:sz="4" w:space="0" w:color="auto"/>
              <w:tr2bl w:val="single" w:sz="4" w:space="0" w:color="auto"/>
            </w:tcBorders>
            <w:shd w:val="clear" w:color="auto" w:fill="auto"/>
            <w:vAlign w:val="center"/>
          </w:tcPr>
          <w:p w:rsidR="00625632" w:rsidRPr="008B53A9" w:rsidRDefault="00625632" w:rsidP="00625632">
            <w:pPr>
              <w:pStyle w:val="Tabulka"/>
              <w:jc w:val="left"/>
              <w:rPr>
                <w:rFonts w:cs="Calibri"/>
                <w:lang w:val="cs-CZ" w:eastAsia="cs-CZ"/>
              </w:rPr>
            </w:pPr>
          </w:p>
        </w:tc>
      </w:tr>
      <w:tr w:rsidR="00625632" w:rsidRPr="008B53A9">
        <w:tc>
          <w:tcPr>
            <w:tcW w:w="1185" w:type="pct"/>
            <w:tcBorders>
              <w:top w:val="dotted" w:sz="4" w:space="0" w:color="auto"/>
            </w:tcBorders>
            <w:shd w:val="clear" w:color="auto" w:fill="D6E3BC"/>
            <w:vAlign w:val="center"/>
          </w:tcPr>
          <w:p w:rsidR="00625632" w:rsidRPr="008B53A9" w:rsidRDefault="00625632" w:rsidP="00625632">
            <w:pPr>
              <w:pStyle w:val="Tabulka"/>
              <w:jc w:val="left"/>
              <w:rPr>
                <w:rFonts w:cs="Calibri"/>
                <w:b/>
                <w:lang w:val="cs-CZ" w:eastAsia="cs-CZ"/>
              </w:rPr>
            </w:pPr>
            <w:r w:rsidRPr="008B53A9">
              <w:rPr>
                <w:rFonts w:cs="Calibri"/>
                <w:b/>
                <w:lang w:val="cs-CZ" w:eastAsia="cs-CZ"/>
              </w:rPr>
              <w:t>Specifický cíl</w:t>
            </w:r>
          </w:p>
        </w:tc>
        <w:tc>
          <w:tcPr>
            <w:tcW w:w="2009" w:type="pct"/>
            <w:tcBorders>
              <w:top w:val="dotted" w:sz="4" w:space="0" w:color="auto"/>
            </w:tcBorders>
            <w:shd w:val="clear" w:color="auto" w:fill="auto"/>
            <w:vAlign w:val="center"/>
          </w:tcPr>
          <w:p w:rsidR="00625632" w:rsidRPr="008B53A9" w:rsidRDefault="00625632" w:rsidP="00625632">
            <w:pPr>
              <w:pStyle w:val="Tabulka"/>
              <w:jc w:val="left"/>
              <w:rPr>
                <w:rFonts w:cs="Calibri"/>
                <w:lang w:val="cs-CZ" w:eastAsia="cs-CZ"/>
              </w:rPr>
            </w:pPr>
            <w:r w:rsidRPr="008B53A9">
              <w:rPr>
                <w:rFonts w:cs="Calibri"/>
                <w:lang w:val="cs-CZ" w:eastAsia="cs-CZ"/>
              </w:rPr>
              <w:t>SC 2.3:</w:t>
            </w:r>
            <w:r w:rsidR="005D026E" w:rsidRPr="008B53A9">
              <w:rPr>
                <w:rFonts w:cs="Calibri"/>
                <w:lang w:val="cs-CZ" w:eastAsia="cs-CZ"/>
              </w:rPr>
              <w:t xml:space="preserve"> Zvýšit využitelnost infrastruktury pro podnikání</w:t>
            </w:r>
          </w:p>
        </w:tc>
        <w:tc>
          <w:tcPr>
            <w:tcW w:w="101" w:type="pct"/>
            <w:tcBorders>
              <w:top w:val="nil"/>
              <w:left w:val="single" w:sz="4" w:space="0" w:color="auto"/>
              <w:bottom w:val="nil"/>
              <w:right w:val="single" w:sz="4" w:space="0" w:color="auto"/>
            </w:tcBorders>
            <w:shd w:val="clear" w:color="auto" w:fill="auto"/>
          </w:tcPr>
          <w:p w:rsidR="00625632" w:rsidRPr="008B53A9" w:rsidRDefault="00625632" w:rsidP="00625632">
            <w:pPr>
              <w:pStyle w:val="Tabulka"/>
              <w:jc w:val="left"/>
              <w:rPr>
                <w:rFonts w:cs="Calibri"/>
                <w:lang w:val="cs-CZ" w:eastAsia="cs-CZ"/>
              </w:rPr>
            </w:pPr>
          </w:p>
        </w:tc>
        <w:tc>
          <w:tcPr>
            <w:tcW w:w="1705" w:type="pct"/>
            <w:tcBorders>
              <w:top w:val="dotted" w:sz="4" w:space="0" w:color="auto"/>
              <w:left w:val="single" w:sz="4" w:space="0" w:color="auto"/>
            </w:tcBorders>
            <w:shd w:val="clear" w:color="auto" w:fill="auto"/>
            <w:vAlign w:val="center"/>
          </w:tcPr>
          <w:p w:rsidR="00625632" w:rsidRPr="008B53A9" w:rsidRDefault="005D026E" w:rsidP="00625632">
            <w:pPr>
              <w:pStyle w:val="Tabulka"/>
              <w:jc w:val="left"/>
              <w:rPr>
                <w:rFonts w:cs="Calibri"/>
                <w:lang w:val="cs-CZ" w:eastAsia="cs-CZ"/>
              </w:rPr>
            </w:pPr>
            <w:r w:rsidRPr="008B53A9">
              <w:rPr>
                <w:rFonts w:cs="Calibri"/>
                <w:lang w:val="cs-CZ" w:eastAsia="cs-CZ"/>
              </w:rPr>
              <w:t>Podprogram Příprava a rozvoj průmyslových zón</w:t>
            </w:r>
          </w:p>
        </w:tc>
      </w:tr>
      <w:tr w:rsidR="00625632" w:rsidRPr="008B53A9">
        <w:tc>
          <w:tcPr>
            <w:tcW w:w="1185" w:type="pct"/>
            <w:shd w:val="clear" w:color="auto" w:fill="D6E3BC"/>
            <w:vAlign w:val="center"/>
          </w:tcPr>
          <w:p w:rsidR="00625632" w:rsidRPr="008B53A9" w:rsidRDefault="00625632" w:rsidP="00625632">
            <w:pPr>
              <w:pStyle w:val="Tabulka"/>
              <w:jc w:val="left"/>
              <w:rPr>
                <w:rFonts w:cs="Calibri"/>
                <w:b/>
                <w:lang w:val="cs-CZ" w:eastAsia="cs-CZ"/>
              </w:rPr>
            </w:pPr>
            <w:r w:rsidRPr="008B53A9">
              <w:rPr>
                <w:rFonts w:cs="Calibri"/>
                <w:b/>
                <w:lang w:val="cs-CZ" w:eastAsia="cs-CZ"/>
              </w:rPr>
              <w:t>Věcná specifikace (zaměření, aktivity)</w:t>
            </w:r>
          </w:p>
        </w:tc>
        <w:tc>
          <w:tcPr>
            <w:tcW w:w="2009" w:type="pct"/>
            <w:shd w:val="clear" w:color="auto" w:fill="auto"/>
            <w:vAlign w:val="center"/>
          </w:tcPr>
          <w:p w:rsidR="000C19F4" w:rsidRPr="008B53A9" w:rsidRDefault="000C19F4" w:rsidP="000C19F4">
            <w:pPr>
              <w:pStyle w:val="Tabulka"/>
              <w:jc w:val="left"/>
              <w:rPr>
                <w:rFonts w:cs="Calibri"/>
                <w:lang w:val="cs-CZ" w:eastAsia="cs-CZ"/>
              </w:rPr>
            </w:pPr>
            <w:r w:rsidRPr="008B53A9">
              <w:rPr>
                <w:rFonts w:cs="Calibri"/>
                <w:lang w:val="cs-CZ" w:eastAsia="cs-CZ"/>
              </w:rPr>
              <w:t>• Modernizace výrobních provozů a rekonstrukce stávající zastaralé infrastruktury,</w:t>
            </w:r>
          </w:p>
          <w:p w:rsidR="00625632" w:rsidRPr="008B53A9" w:rsidRDefault="000C19F4" w:rsidP="00BF7E1C">
            <w:pPr>
              <w:pStyle w:val="Tabulka"/>
              <w:jc w:val="left"/>
              <w:rPr>
                <w:rFonts w:cs="Calibri"/>
                <w:lang w:val="cs-CZ" w:eastAsia="cs-CZ"/>
              </w:rPr>
            </w:pPr>
            <w:r w:rsidRPr="008B53A9">
              <w:rPr>
                <w:rFonts w:cs="Calibri"/>
                <w:lang w:val="cs-CZ" w:eastAsia="cs-CZ"/>
              </w:rPr>
              <w:t>• rekonstrukce brownfield</w:t>
            </w:r>
            <w:r w:rsidR="00BF7E1C" w:rsidRPr="008B53A9">
              <w:rPr>
                <w:rFonts w:cs="Calibri"/>
                <w:lang w:val="cs-CZ" w:eastAsia="cs-CZ"/>
              </w:rPr>
              <w:t>ů</w:t>
            </w:r>
            <w:r w:rsidRPr="008B53A9">
              <w:rPr>
                <w:rFonts w:cs="Calibri"/>
                <w:lang w:val="cs-CZ" w:eastAsia="cs-CZ"/>
              </w:rPr>
              <w:t xml:space="preserve"> (bez výdajů na odstranění ekologických zátěží) a jejich přeměna na moderní výrobní objekty.</w:t>
            </w:r>
          </w:p>
        </w:tc>
        <w:tc>
          <w:tcPr>
            <w:tcW w:w="101" w:type="pct"/>
            <w:tcBorders>
              <w:top w:val="nil"/>
              <w:left w:val="single" w:sz="4" w:space="0" w:color="auto"/>
              <w:bottom w:val="nil"/>
              <w:right w:val="single" w:sz="4" w:space="0" w:color="auto"/>
            </w:tcBorders>
            <w:shd w:val="clear" w:color="auto" w:fill="auto"/>
          </w:tcPr>
          <w:p w:rsidR="00625632" w:rsidRPr="008B53A9" w:rsidRDefault="00625632" w:rsidP="00625632">
            <w:pPr>
              <w:pStyle w:val="Tabulka"/>
              <w:jc w:val="left"/>
              <w:rPr>
                <w:rFonts w:cs="Calibri"/>
                <w:lang w:val="cs-CZ" w:eastAsia="cs-CZ"/>
              </w:rPr>
            </w:pPr>
          </w:p>
        </w:tc>
        <w:tc>
          <w:tcPr>
            <w:tcW w:w="1705" w:type="pct"/>
            <w:tcBorders>
              <w:left w:val="single" w:sz="4" w:space="0" w:color="auto"/>
            </w:tcBorders>
            <w:shd w:val="clear" w:color="auto" w:fill="auto"/>
            <w:vAlign w:val="center"/>
          </w:tcPr>
          <w:p w:rsidR="00625632" w:rsidRPr="008B53A9" w:rsidRDefault="0081146A" w:rsidP="00EC7425">
            <w:pPr>
              <w:pStyle w:val="Tabulka"/>
              <w:jc w:val="left"/>
              <w:rPr>
                <w:rFonts w:cs="Calibri"/>
                <w:lang w:val="cs-CZ" w:eastAsia="cs-CZ"/>
              </w:rPr>
            </w:pPr>
            <w:r w:rsidRPr="008B53A9">
              <w:rPr>
                <w:rFonts w:cs="Calibri"/>
                <w:lang w:val="cs-CZ" w:eastAsia="cs-CZ"/>
              </w:rPr>
              <w:t xml:space="preserve">příprava, rozvoj, nebo regenerace průmyslové zóny </w:t>
            </w:r>
            <w:r w:rsidR="00EC7425" w:rsidRPr="008B53A9">
              <w:rPr>
                <w:rFonts w:cs="Calibri"/>
                <w:lang w:val="cs-CZ" w:eastAsia="cs-CZ"/>
              </w:rPr>
              <w:t xml:space="preserve">či průmyslového objektu </w:t>
            </w:r>
            <w:r w:rsidRPr="008B53A9">
              <w:rPr>
                <w:rFonts w:cs="Calibri"/>
                <w:lang w:val="cs-CZ" w:eastAsia="cs-CZ"/>
              </w:rPr>
              <w:t>(nákup nemovitosti, projektová příprava, příprava území, technická a doprav</w:t>
            </w:r>
            <w:r w:rsidR="00CD24D4" w:rsidRPr="008B53A9">
              <w:rPr>
                <w:rFonts w:cs="Calibri"/>
                <w:lang w:val="cs-CZ" w:eastAsia="cs-CZ"/>
              </w:rPr>
              <w:t>n</w:t>
            </w:r>
            <w:r w:rsidRPr="008B53A9">
              <w:rPr>
                <w:rFonts w:cs="Calibri"/>
                <w:lang w:val="cs-CZ" w:eastAsia="cs-CZ"/>
              </w:rPr>
              <w:t>í infrastruktura)</w:t>
            </w:r>
          </w:p>
        </w:tc>
      </w:tr>
      <w:tr w:rsidR="00625632" w:rsidRPr="008B53A9">
        <w:tc>
          <w:tcPr>
            <w:tcW w:w="1185" w:type="pct"/>
            <w:shd w:val="clear" w:color="auto" w:fill="D6E3BC"/>
            <w:vAlign w:val="center"/>
          </w:tcPr>
          <w:p w:rsidR="00625632" w:rsidRPr="008B53A9" w:rsidRDefault="00625632" w:rsidP="00625632">
            <w:pPr>
              <w:pStyle w:val="Tabulka"/>
              <w:jc w:val="left"/>
              <w:rPr>
                <w:rFonts w:cs="Calibri"/>
                <w:b/>
                <w:lang w:val="cs-CZ" w:eastAsia="cs-CZ"/>
              </w:rPr>
            </w:pPr>
            <w:r w:rsidRPr="008B53A9">
              <w:rPr>
                <w:rFonts w:cs="Calibri"/>
                <w:b/>
                <w:lang w:val="cs-CZ" w:eastAsia="cs-CZ"/>
              </w:rPr>
              <w:t>Implementační prvky</w:t>
            </w:r>
          </w:p>
        </w:tc>
        <w:tc>
          <w:tcPr>
            <w:tcW w:w="2009" w:type="pct"/>
            <w:tcBorders>
              <w:bottom w:val="single" w:sz="4" w:space="0" w:color="auto"/>
            </w:tcBorders>
            <w:shd w:val="clear" w:color="auto" w:fill="auto"/>
            <w:vAlign w:val="center"/>
          </w:tcPr>
          <w:p w:rsidR="00625632" w:rsidRPr="008B53A9" w:rsidRDefault="00625632" w:rsidP="00625632">
            <w:pPr>
              <w:pStyle w:val="Tabulka"/>
              <w:jc w:val="left"/>
              <w:rPr>
                <w:rFonts w:cs="Calibri"/>
                <w:lang w:val="cs-CZ" w:eastAsia="cs-CZ"/>
              </w:rPr>
            </w:pPr>
            <w:r w:rsidRPr="008B53A9">
              <w:rPr>
                <w:rFonts w:cs="Calibri"/>
                <w:lang w:val="cs-CZ" w:eastAsia="cs-CZ"/>
              </w:rPr>
              <w:t xml:space="preserve">Typy příjemců: </w:t>
            </w:r>
            <w:r w:rsidR="005D026E" w:rsidRPr="008B53A9">
              <w:rPr>
                <w:rFonts w:cs="Calibri"/>
                <w:lang w:val="cs-CZ" w:eastAsia="cs-CZ"/>
              </w:rPr>
              <w:t>Podnikatelské subjekty (malé a střední podniky)</w:t>
            </w:r>
          </w:p>
          <w:p w:rsidR="00625632" w:rsidRPr="008B53A9" w:rsidRDefault="00625632" w:rsidP="00625632">
            <w:pPr>
              <w:pStyle w:val="Tabulka"/>
              <w:jc w:val="left"/>
              <w:rPr>
                <w:rFonts w:cs="Calibri"/>
                <w:lang w:val="cs-CZ" w:eastAsia="cs-CZ"/>
              </w:rPr>
            </w:pPr>
            <w:r w:rsidRPr="008B53A9">
              <w:rPr>
                <w:rFonts w:cs="Calibri"/>
                <w:lang w:val="cs-CZ" w:eastAsia="cs-CZ"/>
              </w:rPr>
              <w:t xml:space="preserve">Cílové území: </w:t>
            </w:r>
            <w:r w:rsidR="005D026E" w:rsidRPr="008B53A9">
              <w:rPr>
                <w:rFonts w:cs="Calibri"/>
                <w:lang w:val="cs-CZ" w:eastAsia="cs-CZ"/>
              </w:rPr>
              <w:t>Území České republiky, mimo území hl. m. Prahy</w:t>
            </w:r>
          </w:p>
        </w:tc>
        <w:tc>
          <w:tcPr>
            <w:tcW w:w="101" w:type="pct"/>
            <w:tcBorders>
              <w:top w:val="nil"/>
              <w:left w:val="single" w:sz="4" w:space="0" w:color="auto"/>
              <w:bottom w:val="nil"/>
              <w:right w:val="single" w:sz="4" w:space="0" w:color="auto"/>
            </w:tcBorders>
            <w:shd w:val="clear" w:color="auto" w:fill="auto"/>
          </w:tcPr>
          <w:p w:rsidR="00625632" w:rsidRPr="008B53A9" w:rsidRDefault="00625632" w:rsidP="00625632">
            <w:pPr>
              <w:pStyle w:val="Tabulka"/>
              <w:jc w:val="left"/>
              <w:rPr>
                <w:rFonts w:cs="Calibri"/>
                <w:lang w:val="cs-CZ" w:eastAsia="cs-CZ"/>
              </w:rPr>
            </w:pPr>
          </w:p>
        </w:tc>
        <w:tc>
          <w:tcPr>
            <w:tcW w:w="1705" w:type="pct"/>
            <w:tcBorders>
              <w:left w:val="single" w:sz="4" w:space="0" w:color="auto"/>
            </w:tcBorders>
            <w:shd w:val="clear" w:color="auto" w:fill="auto"/>
            <w:vAlign w:val="center"/>
          </w:tcPr>
          <w:p w:rsidR="00625632" w:rsidRPr="008B53A9" w:rsidRDefault="00625632" w:rsidP="00625632">
            <w:pPr>
              <w:pStyle w:val="Tabulka"/>
              <w:jc w:val="left"/>
              <w:rPr>
                <w:rFonts w:cs="Calibri"/>
                <w:lang w:val="cs-CZ" w:eastAsia="cs-CZ"/>
              </w:rPr>
            </w:pPr>
            <w:r w:rsidRPr="008B53A9">
              <w:rPr>
                <w:rFonts w:cs="Calibri"/>
                <w:lang w:val="cs-CZ" w:eastAsia="cs-CZ"/>
              </w:rPr>
              <w:t xml:space="preserve">Typy příjemců:  </w:t>
            </w:r>
            <w:r w:rsidR="005D026E" w:rsidRPr="008B53A9">
              <w:rPr>
                <w:rFonts w:cs="Calibri"/>
                <w:lang w:val="cs-CZ" w:eastAsia="cs-CZ"/>
              </w:rPr>
              <w:t>Obec, kraj</w:t>
            </w:r>
          </w:p>
          <w:p w:rsidR="00625632" w:rsidRPr="008B53A9" w:rsidRDefault="00625632" w:rsidP="0081146A">
            <w:pPr>
              <w:pStyle w:val="Tabulka"/>
              <w:jc w:val="left"/>
              <w:rPr>
                <w:rFonts w:cs="Calibri"/>
                <w:i/>
                <w:lang w:val="cs-CZ" w:eastAsia="cs-CZ"/>
              </w:rPr>
            </w:pPr>
            <w:r w:rsidRPr="008B53A9">
              <w:rPr>
                <w:rFonts w:cs="Calibri"/>
                <w:lang w:val="cs-CZ" w:eastAsia="cs-CZ"/>
              </w:rPr>
              <w:t xml:space="preserve">Cílové území: </w:t>
            </w:r>
            <w:r w:rsidR="0081146A" w:rsidRPr="008B53A9">
              <w:rPr>
                <w:rFonts w:cs="Calibri"/>
                <w:lang w:val="cs-CZ" w:eastAsia="cs-CZ"/>
              </w:rPr>
              <w:t xml:space="preserve">Především </w:t>
            </w:r>
            <w:r w:rsidR="0081146A" w:rsidRPr="008B53A9">
              <w:rPr>
                <w:rFonts w:cs="Arial"/>
                <w:lang w:val="cs-CZ" w:eastAsia="cs-CZ"/>
              </w:rPr>
              <w:t>hospodářsky slabé či strukturálně postižené regiony</w:t>
            </w:r>
          </w:p>
        </w:tc>
      </w:tr>
      <w:tr w:rsidR="00530742" w:rsidRPr="008B53A9">
        <w:tc>
          <w:tcPr>
            <w:tcW w:w="1185" w:type="pct"/>
            <w:shd w:val="clear" w:color="auto" w:fill="D6E3BC"/>
            <w:vAlign w:val="center"/>
          </w:tcPr>
          <w:p w:rsidR="00530742" w:rsidRPr="008B53A9" w:rsidRDefault="00530742" w:rsidP="00625632">
            <w:pPr>
              <w:pStyle w:val="Tabulka"/>
              <w:jc w:val="left"/>
              <w:rPr>
                <w:rFonts w:cs="Calibri"/>
                <w:b/>
                <w:lang w:val="cs-CZ" w:eastAsia="cs-CZ"/>
              </w:rPr>
            </w:pPr>
            <w:r w:rsidRPr="008B53A9">
              <w:rPr>
                <w:rFonts w:cs="Calibri"/>
                <w:b/>
                <w:lang w:val="cs-CZ" w:eastAsia="cs-CZ"/>
              </w:rPr>
              <w:t>Synergie/komplementarita</w:t>
            </w:r>
          </w:p>
        </w:tc>
        <w:tc>
          <w:tcPr>
            <w:tcW w:w="2009" w:type="pct"/>
            <w:tcBorders>
              <w:tr2bl w:val="single" w:sz="4" w:space="0" w:color="auto"/>
            </w:tcBorders>
            <w:shd w:val="clear" w:color="auto" w:fill="auto"/>
            <w:vAlign w:val="center"/>
          </w:tcPr>
          <w:p w:rsidR="00530742" w:rsidRPr="008B53A9" w:rsidRDefault="00530742" w:rsidP="00625632">
            <w:pPr>
              <w:pStyle w:val="Tabulka"/>
              <w:jc w:val="left"/>
              <w:rPr>
                <w:rFonts w:cs="Calibri"/>
                <w:lang w:val="cs-CZ" w:eastAsia="cs-CZ"/>
              </w:rPr>
            </w:pPr>
          </w:p>
        </w:tc>
        <w:tc>
          <w:tcPr>
            <w:tcW w:w="101" w:type="pct"/>
            <w:tcBorders>
              <w:top w:val="nil"/>
              <w:left w:val="single" w:sz="4" w:space="0" w:color="auto"/>
              <w:bottom w:val="nil"/>
              <w:right w:val="single" w:sz="4" w:space="0" w:color="auto"/>
            </w:tcBorders>
            <w:shd w:val="clear" w:color="auto" w:fill="auto"/>
          </w:tcPr>
          <w:p w:rsidR="00530742" w:rsidRPr="008B53A9" w:rsidRDefault="00530742" w:rsidP="00625632">
            <w:pPr>
              <w:pStyle w:val="Tabulka"/>
              <w:jc w:val="left"/>
              <w:rPr>
                <w:rFonts w:cs="Calibri"/>
                <w:lang w:val="cs-CZ" w:eastAsia="cs-CZ"/>
              </w:rPr>
            </w:pPr>
          </w:p>
        </w:tc>
        <w:tc>
          <w:tcPr>
            <w:tcW w:w="1705" w:type="pct"/>
            <w:tcBorders>
              <w:left w:val="single" w:sz="4" w:space="0" w:color="auto"/>
            </w:tcBorders>
            <w:shd w:val="clear" w:color="auto" w:fill="auto"/>
            <w:vAlign w:val="center"/>
          </w:tcPr>
          <w:p w:rsidR="00530742" w:rsidRPr="008B53A9" w:rsidRDefault="00530742" w:rsidP="00625632">
            <w:pPr>
              <w:pStyle w:val="Tabulka"/>
              <w:jc w:val="left"/>
              <w:rPr>
                <w:rFonts w:cs="Calibri"/>
                <w:lang w:val="cs-CZ" w:eastAsia="cs-CZ"/>
              </w:rPr>
            </w:pPr>
            <w:r w:rsidRPr="008B53A9">
              <w:rPr>
                <w:rFonts w:cs="Calibri"/>
                <w:lang w:val="cs-CZ" w:eastAsia="cs-CZ"/>
              </w:rPr>
              <w:t>komplementarita</w:t>
            </w:r>
          </w:p>
        </w:tc>
      </w:tr>
      <w:tr w:rsidR="00625632" w:rsidRPr="008B53A9">
        <w:tc>
          <w:tcPr>
            <w:tcW w:w="1185" w:type="pct"/>
            <w:shd w:val="clear" w:color="auto" w:fill="D6E3BC"/>
            <w:vAlign w:val="center"/>
          </w:tcPr>
          <w:p w:rsidR="00625632" w:rsidRPr="008B53A9" w:rsidRDefault="00625632" w:rsidP="00625632">
            <w:pPr>
              <w:pStyle w:val="Tabulka"/>
              <w:jc w:val="left"/>
              <w:rPr>
                <w:rFonts w:cs="Calibri"/>
                <w:b/>
                <w:lang w:val="cs-CZ" w:eastAsia="cs-CZ"/>
              </w:rPr>
            </w:pPr>
            <w:r w:rsidRPr="008B53A9">
              <w:rPr>
                <w:rFonts w:cs="Calibri"/>
                <w:b/>
                <w:lang w:val="cs-CZ" w:eastAsia="cs-CZ"/>
              </w:rPr>
              <w:t>Mechanismus koordinace</w:t>
            </w:r>
          </w:p>
        </w:tc>
        <w:tc>
          <w:tcPr>
            <w:tcW w:w="3815" w:type="pct"/>
            <w:gridSpan w:val="3"/>
            <w:shd w:val="clear" w:color="auto" w:fill="auto"/>
            <w:vAlign w:val="center"/>
          </w:tcPr>
          <w:p w:rsidR="00EC7425" w:rsidRPr="008B53A9" w:rsidRDefault="00EC7425" w:rsidP="00CD24D4">
            <w:pPr>
              <w:pStyle w:val="Tabulka"/>
              <w:jc w:val="left"/>
              <w:rPr>
                <w:rFonts w:cs="Calibri"/>
                <w:lang w:val="cs-CZ" w:eastAsia="cs-CZ"/>
              </w:rPr>
            </w:pPr>
            <w:r w:rsidRPr="008B53A9">
              <w:rPr>
                <w:rFonts w:cs="Arial"/>
                <w:lang w:val="cs-CZ" w:eastAsia="cs-CZ"/>
              </w:rPr>
              <w:t xml:space="preserve">Mechanismem koordinace je spolupráce na přípravě národního programu v rámci MPO. Součástí způsobu výběru projektů do národního programu je mj. podmínka, že projekt </w:t>
            </w:r>
            <w:r w:rsidR="00CD24D4" w:rsidRPr="008B53A9">
              <w:rPr>
                <w:rFonts w:cs="Arial"/>
                <w:lang w:val="cs-CZ" w:eastAsia="cs-CZ"/>
              </w:rPr>
              <w:t>nesmí být podpořen z jiných veřejných zdrojů</w:t>
            </w:r>
            <w:r w:rsidR="005C7153" w:rsidRPr="008B53A9">
              <w:rPr>
                <w:rFonts w:cs="Arial"/>
                <w:lang w:val="cs-CZ" w:eastAsia="cs-CZ"/>
              </w:rPr>
              <w:t xml:space="preserve"> (</w:t>
            </w:r>
            <w:r w:rsidR="00CD24D4" w:rsidRPr="008B53A9">
              <w:rPr>
                <w:rFonts w:cs="Arial"/>
                <w:lang w:val="cs-CZ" w:eastAsia="cs-CZ"/>
              </w:rPr>
              <w:t xml:space="preserve">v případě OP PIK jde navíc o </w:t>
            </w:r>
            <w:r w:rsidR="005C7153" w:rsidRPr="008B53A9">
              <w:rPr>
                <w:rFonts w:cs="Arial"/>
                <w:lang w:val="cs-CZ" w:eastAsia="cs-CZ"/>
              </w:rPr>
              <w:t>rozdíln</w:t>
            </w:r>
            <w:r w:rsidR="00CD24D4" w:rsidRPr="008B53A9">
              <w:rPr>
                <w:rFonts w:cs="Arial"/>
                <w:lang w:val="cs-CZ" w:eastAsia="cs-CZ"/>
              </w:rPr>
              <w:t>ý</w:t>
            </w:r>
            <w:r w:rsidR="005C7153" w:rsidRPr="008B53A9">
              <w:rPr>
                <w:rFonts w:cs="Arial"/>
                <w:lang w:val="cs-CZ" w:eastAsia="cs-CZ"/>
              </w:rPr>
              <w:t xml:space="preserve"> typ</w:t>
            </w:r>
            <w:r w:rsidR="00CD24D4" w:rsidRPr="008B53A9">
              <w:rPr>
                <w:rFonts w:cs="Arial"/>
                <w:lang w:val="cs-CZ" w:eastAsia="cs-CZ"/>
              </w:rPr>
              <w:t xml:space="preserve"> příjemců)</w:t>
            </w:r>
            <w:r w:rsidR="005C7153" w:rsidRPr="008B53A9">
              <w:rPr>
                <w:rFonts w:cs="Arial"/>
                <w:lang w:val="cs-CZ" w:eastAsia="cs-CZ"/>
              </w:rPr>
              <w:t>.</w:t>
            </w:r>
            <w:r w:rsidR="00CD24D4" w:rsidRPr="008B53A9">
              <w:rPr>
                <w:rFonts w:cs="Calibri"/>
                <w:lang w:val="cs-CZ" w:eastAsia="cs-CZ"/>
              </w:rPr>
              <w:t xml:space="preserve"> Ve fázi realizace bude koordinováno vyhlašování výzev.</w:t>
            </w:r>
          </w:p>
        </w:tc>
      </w:tr>
    </w:tbl>
    <w:p w:rsidR="00625632" w:rsidRPr="008B53A9" w:rsidRDefault="00625632" w:rsidP="00D51A7B">
      <w:pPr>
        <w:pStyle w:val="Standardntext"/>
      </w:pPr>
    </w:p>
    <w:p w:rsidR="0089275D" w:rsidRPr="008B53A9" w:rsidRDefault="0089275D" w:rsidP="005D178C">
      <w:pPr>
        <w:pStyle w:val="Standardntext"/>
        <w:numPr>
          <w:ilvl w:val="0"/>
          <w:numId w:val="97"/>
        </w:numPr>
        <w:rPr>
          <w:b/>
        </w:rPr>
      </w:pPr>
      <w:r w:rsidRPr="008B53A9">
        <w:rPr>
          <w:b/>
        </w:rPr>
        <w:t>Úspory energie</w:t>
      </w:r>
    </w:p>
    <w:p w:rsidR="0089275D" w:rsidRPr="008B53A9" w:rsidRDefault="0089275D" w:rsidP="0089275D">
      <w:pPr>
        <w:pStyle w:val="Standardntext"/>
      </w:pPr>
      <w:r w:rsidRPr="008B53A9">
        <w:t xml:space="preserve">Národním programem v oblasti úspor energie je program Efekt vyhlašovaný každoročně Ministerstvem průmyslu a obchodu. Jeho cílem je – stejně jako v případě prioritní osy 3 OP PIK – přispět k naplňování směrnice 2012/27/EU o energetické účinnosti. Program je zaměřen především na osvětovou a informační činnost a investiční akce menšího rozsahu. Je doplňkovým programem k energetickým programům podporovaným z </w:t>
      </w:r>
      <w:r w:rsidRPr="008B53A9">
        <w:lastRenderedPageBreak/>
        <w:t>ESIF. Program Efekt se v případě investiční projektů orientuje výhradně na rekonstrukce otopné soustavy pro různé typy žadatelů, kdežto OP PIK se zaměřuje mj. na komplexní opatření vedoucí ke snižování energetické náročnosti budov v podnikatelském sektoru.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770"/>
        <w:gridCol w:w="290"/>
        <w:gridCol w:w="4897"/>
      </w:tblGrid>
      <w:tr w:rsidR="00D51A7B" w:rsidRPr="008B53A9">
        <w:trPr>
          <w:trHeight w:val="233"/>
        </w:trPr>
        <w:tc>
          <w:tcPr>
            <w:tcW w:w="1185" w:type="pct"/>
            <w:shd w:val="clear" w:color="auto" w:fill="5D7430"/>
            <w:vAlign w:val="center"/>
          </w:tcPr>
          <w:p w:rsidR="00D51A7B" w:rsidRPr="008B53A9" w:rsidRDefault="001E1351" w:rsidP="001E1351">
            <w:pPr>
              <w:pStyle w:val="Tabulka"/>
              <w:keepNext/>
              <w:keepLines/>
              <w:jc w:val="left"/>
              <w:rPr>
                <w:rFonts w:cs="Calibri"/>
                <w:b/>
                <w:color w:val="FFFFFF"/>
                <w:lang w:val="cs-CZ" w:eastAsia="cs-CZ"/>
              </w:rPr>
            </w:pPr>
            <w:r w:rsidRPr="008B53A9">
              <w:rPr>
                <w:rFonts w:cs="Calibri"/>
                <w:b/>
                <w:color w:val="FFFFFF"/>
                <w:lang w:val="cs-CZ" w:eastAsia="cs-CZ"/>
              </w:rPr>
              <w:t>Úspory energie</w:t>
            </w:r>
          </w:p>
        </w:tc>
        <w:tc>
          <w:tcPr>
            <w:tcW w:w="2009" w:type="pct"/>
            <w:tcBorders>
              <w:bottom w:val="single" w:sz="4" w:space="0" w:color="000000"/>
            </w:tcBorders>
            <w:shd w:val="clear" w:color="auto" w:fill="76923C"/>
            <w:vAlign w:val="center"/>
          </w:tcPr>
          <w:p w:rsidR="00D51A7B" w:rsidRPr="008B53A9" w:rsidRDefault="00D51A7B" w:rsidP="00267430">
            <w:pPr>
              <w:pStyle w:val="Tabulka"/>
              <w:keepNext/>
              <w:keepLines/>
              <w:rPr>
                <w:rFonts w:cs="Calibri"/>
                <w:b/>
                <w:lang w:val="cs-CZ" w:eastAsia="cs-CZ"/>
              </w:rPr>
            </w:pPr>
            <w:r w:rsidRPr="008B53A9">
              <w:rPr>
                <w:rFonts w:cs="Calibri"/>
                <w:b/>
                <w:lang w:val="cs-CZ" w:eastAsia="cs-CZ"/>
              </w:rPr>
              <w:t>OP PIK</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keepNext/>
              <w:keepLines/>
              <w:rPr>
                <w:rFonts w:cs="Calibri"/>
                <w:b/>
                <w:lang w:val="cs-CZ" w:eastAsia="cs-CZ"/>
              </w:rPr>
            </w:pPr>
          </w:p>
        </w:tc>
        <w:tc>
          <w:tcPr>
            <w:tcW w:w="1705" w:type="pct"/>
            <w:tcBorders>
              <w:left w:val="single" w:sz="4" w:space="0" w:color="auto"/>
              <w:bottom w:val="single" w:sz="4" w:space="0" w:color="000000"/>
            </w:tcBorders>
            <w:shd w:val="clear" w:color="auto" w:fill="76923C"/>
          </w:tcPr>
          <w:p w:rsidR="00D51A7B" w:rsidRPr="008B53A9" w:rsidRDefault="00D51A7B" w:rsidP="00267430">
            <w:pPr>
              <w:pStyle w:val="Tabulka"/>
              <w:keepNext/>
              <w:keepLines/>
              <w:rPr>
                <w:rFonts w:cs="Calibri"/>
                <w:b/>
                <w:lang w:val="cs-CZ" w:eastAsia="cs-CZ"/>
              </w:rPr>
            </w:pPr>
            <w:r w:rsidRPr="008B53A9">
              <w:rPr>
                <w:rFonts w:cs="Calibri"/>
                <w:b/>
                <w:lang w:val="cs-CZ" w:eastAsia="cs-CZ"/>
              </w:rPr>
              <w:t>Efekt 2014</w:t>
            </w:r>
          </w:p>
        </w:tc>
      </w:tr>
      <w:tr w:rsidR="00D51A7B" w:rsidRPr="008B53A9">
        <w:trPr>
          <w:trHeight w:val="300"/>
        </w:trPr>
        <w:tc>
          <w:tcPr>
            <w:tcW w:w="1185" w:type="pct"/>
            <w:vMerge w:val="restart"/>
            <w:tcBorders>
              <w:tr2bl w:val="nil"/>
            </w:tcBorders>
            <w:shd w:val="clear" w:color="auto" w:fill="D6E3BC"/>
            <w:vAlign w:val="center"/>
          </w:tcPr>
          <w:p w:rsidR="00D51A7B" w:rsidRPr="008B53A9" w:rsidRDefault="002E0DC8" w:rsidP="00267430">
            <w:pPr>
              <w:pStyle w:val="Tabulka"/>
              <w:jc w:val="left"/>
              <w:rPr>
                <w:rFonts w:cs="Calibri"/>
                <w:b/>
                <w:lang w:val="cs-CZ" w:eastAsia="cs-CZ"/>
              </w:rPr>
            </w:pPr>
            <w:r w:rsidRPr="008B53A9">
              <w:rPr>
                <w:rFonts w:cs="Calibri"/>
                <w:b/>
                <w:lang w:val="cs-CZ" w:eastAsia="cs-CZ"/>
              </w:rPr>
              <w:t>Tematický cíl / investiční priorita</w:t>
            </w:r>
          </w:p>
        </w:tc>
        <w:tc>
          <w:tcPr>
            <w:tcW w:w="2009" w:type="pct"/>
            <w:vMerge w:val="restart"/>
            <w:tcBorders>
              <w:tr2bl w:val="nil"/>
            </w:tcBorders>
            <w:shd w:val="clear" w:color="auto" w:fill="auto"/>
            <w:vAlign w:val="center"/>
          </w:tcPr>
          <w:p w:rsidR="00D51A7B" w:rsidRPr="008B53A9" w:rsidRDefault="008022FA" w:rsidP="008022FA">
            <w:pPr>
              <w:pStyle w:val="Tabulka"/>
              <w:jc w:val="left"/>
              <w:rPr>
                <w:rFonts w:cs="Calibri"/>
                <w:lang w:val="cs-CZ" w:eastAsia="cs-CZ"/>
              </w:rPr>
            </w:pPr>
            <w:r w:rsidRPr="008B53A9">
              <w:rPr>
                <w:rFonts w:cs="Calibri"/>
                <w:lang w:val="cs-CZ" w:eastAsia="cs-CZ"/>
              </w:rPr>
              <w:t xml:space="preserve">TC </w:t>
            </w:r>
            <w:r w:rsidR="00D51A7B" w:rsidRPr="008B53A9">
              <w:rPr>
                <w:rFonts w:cs="Calibri"/>
                <w:lang w:val="cs-CZ" w:eastAsia="cs-CZ"/>
              </w:rPr>
              <w:t>4</w:t>
            </w:r>
            <w:r w:rsidR="005E6F75" w:rsidRPr="008B53A9">
              <w:rPr>
                <w:rFonts w:cs="Calibri"/>
                <w:lang w:val="cs-CZ" w:eastAsia="cs-CZ"/>
              </w:rPr>
              <w:t xml:space="preserve"> / </w:t>
            </w:r>
            <w:r w:rsidRPr="008B53A9">
              <w:rPr>
                <w:rFonts w:cs="Calibri"/>
                <w:lang w:val="cs-CZ" w:eastAsia="cs-CZ"/>
              </w:rPr>
              <w:t>4 b)</w:t>
            </w:r>
          </w:p>
        </w:tc>
        <w:tc>
          <w:tcPr>
            <w:tcW w:w="101" w:type="pct"/>
            <w:tcBorders>
              <w:top w:val="nil"/>
              <w:left w:val="single" w:sz="4" w:space="0" w:color="auto"/>
              <w:bottom w:val="nil"/>
              <w:right w:val="single" w:sz="4" w:space="0" w:color="auto"/>
              <w:tr2bl w:val="nil"/>
            </w:tcBorders>
            <w:shd w:val="clear" w:color="auto" w:fill="auto"/>
          </w:tcPr>
          <w:p w:rsidR="00D51A7B" w:rsidRPr="008B53A9" w:rsidRDefault="00D51A7B" w:rsidP="00267430">
            <w:pPr>
              <w:pStyle w:val="Tabulka"/>
              <w:jc w:val="left"/>
              <w:rPr>
                <w:rFonts w:cs="Calibri"/>
                <w:lang w:val="cs-CZ" w:eastAsia="cs-CZ"/>
              </w:rPr>
            </w:pPr>
          </w:p>
        </w:tc>
        <w:tc>
          <w:tcPr>
            <w:tcW w:w="1705" w:type="pct"/>
            <w:vMerge w:val="restart"/>
            <w:tcBorders>
              <w:top w:val="single" w:sz="4" w:space="0" w:color="000000"/>
              <w:left w:val="single" w:sz="4" w:space="0" w:color="auto"/>
              <w:bottom w:val="dotted" w:sz="4" w:space="0" w:color="auto"/>
            </w:tcBorders>
            <w:shd w:val="clear" w:color="auto" w:fill="auto"/>
            <w:vAlign w:val="center"/>
          </w:tcPr>
          <w:p w:rsidR="00D51A7B" w:rsidRPr="008B53A9" w:rsidRDefault="005E6F75" w:rsidP="00267430">
            <w:pPr>
              <w:pStyle w:val="Tabulka"/>
              <w:jc w:val="left"/>
              <w:rPr>
                <w:rFonts w:cs="Calibri"/>
                <w:i/>
                <w:lang w:val="cs-CZ" w:eastAsia="cs-CZ"/>
              </w:rPr>
            </w:pPr>
            <w:r w:rsidRPr="008B53A9">
              <w:rPr>
                <w:rFonts w:cs="Calibri"/>
                <w:lang w:val="cs-CZ" w:eastAsia="cs-CZ"/>
              </w:rPr>
              <w:t>Úspory energie</w:t>
            </w:r>
          </w:p>
        </w:tc>
      </w:tr>
      <w:tr w:rsidR="00D51A7B" w:rsidRPr="008B53A9">
        <w:trPr>
          <w:trHeight w:val="212"/>
        </w:trPr>
        <w:tc>
          <w:tcPr>
            <w:tcW w:w="1185" w:type="pct"/>
            <w:vMerge/>
            <w:tcBorders>
              <w:bottom w:val="dotted" w:sz="4" w:space="0" w:color="auto"/>
              <w:tr2bl w:val="nil"/>
            </w:tcBorders>
            <w:shd w:val="clear" w:color="auto" w:fill="D6E3BC"/>
            <w:vAlign w:val="center"/>
          </w:tcPr>
          <w:p w:rsidR="00D51A7B" w:rsidRPr="008B53A9" w:rsidRDefault="00D51A7B" w:rsidP="00267430">
            <w:pPr>
              <w:pStyle w:val="Tabulka"/>
              <w:jc w:val="left"/>
              <w:rPr>
                <w:rFonts w:cs="Calibri"/>
                <w:lang w:val="cs-CZ" w:eastAsia="cs-CZ"/>
              </w:rPr>
            </w:pPr>
          </w:p>
        </w:tc>
        <w:tc>
          <w:tcPr>
            <w:tcW w:w="2009" w:type="pct"/>
            <w:vMerge/>
            <w:tcBorders>
              <w:bottom w:val="dotted" w:sz="4" w:space="0" w:color="auto"/>
              <w:tr2bl w:val="nil"/>
            </w:tcBorders>
            <w:shd w:val="clear" w:color="auto" w:fill="auto"/>
            <w:vAlign w:val="center"/>
          </w:tcPr>
          <w:p w:rsidR="00D51A7B" w:rsidRPr="008B53A9" w:rsidRDefault="00D51A7B" w:rsidP="00267430">
            <w:pPr>
              <w:pStyle w:val="Tabulka"/>
              <w:jc w:val="left"/>
              <w:rPr>
                <w:rFonts w:cs="Calibri"/>
                <w:lang w:val="cs-CZ" w:eastAsia="cs-CZ"/>
              </w:rPr>
            </w:pPr>
          </w:p>
        </w:tc>
        <w:tc>
          <w:tcPr>
            <w:tcW w:w="101" w:type="pct"/>
            <w:tcBorders>
              <w:top w:val="nil"/>
              <w:left w:val="single" w:sz="4" w:space="0" w:color="auto"/>
              <w:bottom w:val="nil"/>
              <w:right w:val="single" w:sz="4" w:space="0" w:color="auto"/>
              <w:tr2bl w:val="nil"/>
            </w:tcBorders>
            <w:shd w:val="clear" w:color="auto" w:fill="auto"/>
          </w:tcPr>
          <w:p w:rsidR="00D51A7B" w:rsidRPr="008B53A9" w:rsidRDefault="00D51A7B" w:rsidP="00267430">
            <w:pPr>
              <w:pStyle w:val="Tabulka"/>
              <w:jc w:val="left"/>
              <w:rPr>
                <w:rFonts w:cs="Calibri"/>
                <w:lang w:val="cs-CZ" w:eastAsia="cs-CZ"/>
              </w:rPr>
            </w:pPr>
          </w:p>
        </w:tc>
        <w:tc>
          <w:tcPr>
            <w:tcW w:w="1705" w:type="pct"/>
            <w:vMerge/>
            <w:tcBorders>
              <w:left w:val="single" w:sz="4" w:space="0" w:color="auto"/>
              <w:bottom w:val="dotted" w:sz="4" w:space="0" w:color="auto"/>
              <w:tr2bl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p>
        </w:tc>
      </w:tr>
      <w:tr w:rsidR="00D51A7B" w:rsidRPr="008B53A9">
        <w:trPr>
          <w:trHeight w:val="212"/>
        </w:trPr>
        <w:tc>
          <w:tcPr>
            <w:tcW w:w="1185" w:type="pct"/>
            <w:tcBorders>
              <w:top w:val="dotted" w:sz="4" w:space="0" w:color="auto"/>
              <w:bottom w:val="dotted" w:sz="4" w:space="0" w:color="auto"/>
              <w:tr2bl w:val="nil"/>
            </w:tcBorders>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Prioritní osa</w:t>
            </w:r>
          </w:p>
        </w:tc>
        <w:tc>
          <w:tcPr>
            <w:tcW w:w="2009" w:type="pct"/>
            <w:tcBorders>
              <w:top w:val="dotted" w:sz="4" w:space="0" w:color="auto"/>
              <w:bottom w:val="dotted" w:sz="4" w:space="0" w:color="auto"/>
              <w:tr2bl w:val="nil"/>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3: Účinné nakládání energií, rozvoj energetické infrastruktury a obnovitelných zdrojů energie, podpora zavádění nových technologií v oblasti nakládání energií a druhotných surovin</w:t>
            </w:r>
          </w:p>
        </w:tc>
        <w:tc>
          <w:tcPr>
            <w:tcW w:w="101" w:type="pct"/>
            <w:tcBorders>
              <w:top w:val="nil"/>
              <w:left w:val="single" w:sz="4" w:space="0" w:color="auto"/>
              <w:bottom w:val="nil"/>
              <w:right w:val="single" w:sz="4" w:space="0" w:color="auto"/>
              <w:tr2bl w:val="nil"/>
            </w:tcBorders>
            <w:shd w:val="clear" w:color="auto" w:fill="auto"/>
          </w:tcPr>
          <w:p w:rsidR="00D51A7B" w:rsidRPr="008B53A9" w:rsidRDefault="00D51A7B" w:rsidP="00267430">
            <w:pPr>
              <w:pStyle w:val="Tabulka"/>
              <w:jc w:val="left"/>
              <w:rPr>
                <w:rFonts w:cs="Calibri"/>
                <w:lang w:val="cs-CZ" w:eastAsia="cs-CZ"/>
              </w:rPr>
            </w:pPr>
          </w:p>
        </w:tc>
        <w:tc>
          <w:tcPr>
            <w:tcW w:w="1705" w:type="pct"/>
            <w:tcBorders>
              <w:top w:val="dotted" w:sz="4" w:space="0" w:color="auto"/>
              <w:left w:val="single" w:sz="4" w:space="0" w:color="auto"/>
              <w:bottom w:val="dotted" w:sz="4" w:space="0" w:color="auto"/>
              <w:tr2bl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p>
        </w:tc>
      </w:tr>
      <w:tr w:rsidR="00D51A7B" w:rsidRPr="008B53A9">
        <w:tc>
          <w:tcPr>
            <w:tcW w:w="1185" w:type="pct"/>
            <w:tcBorders>
              <w:top w:val="dotted" w:sz="4" w:space="0" w:color="auto"/>
            </w:tcBorders>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Specifický cíl</w:t>
            </w:r>
          </w:p>
        </w:tc>
        <w:tc>
          <w:tcPr>
            <w:tcW w:w="2009"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 xml:space="preserve">SC 3.2: </w:t>
            </w:r>
            <w:r w:rsidR="00A72338" w:rsidRPr="008B53A9">
              <w:rPr>
                <w:rFonts w:cs="Calibri"/>
                <w:lang w:val="cs-CZ" w:eastAsia="cs-CZ"/>
              </w:rPr>
              <w:t>Zvýšit energetickou účinnost podnikatelského sektoru</w:t>
            </w:r>
            <w:r w:rsidRPr="008B53A9">
              <w:rPr>
                <w:rFonts w:cs="Calibri"/>
                <w:lang w:val="cs-CZ" w:eastAsia="cs-CZ"/>
              </w:rPr>
              <w:t xml:space="preserve"> </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705" w:type="pct"/>
            <w:tcBorders>
              <w:top w:val="dotted" w:sz="4" w:space="0" w:color="auto"/>
              <w:lef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B. 2 Rekonstrukce otopné soustavy a zdroje tepla v budově</w:t>
            </w:r>
          </w:p>
        </w:tc>
      </w:tr>
      <w:tr w:rsidR="00D51A7B" w:rsidRPr="008B53A9">
        <w:tc>
          <w:tcPr>
            <w:tcW w:w="1185" w:type="pct"/>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Věcná specifikace (zaměření, aktivity)</w:t>
            </w:r>
          </w:p>
        </w:tc>
        <w:tc>
          <w:tcPr>
            <w:tcW w:w="2009" w:type="pct"/>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bCs/>
                <w:lang w:val="cs-CZ" w:eastAsia="cs-CZ"/>
              </w:rPr>
              <w:t>realizace opatření ke snižování energetické náročnosti budov v podnikatelském sektoru;</w:t>
            </w:r>
            <w:r w:rsidRPr="008B53A9">
              <w:rPr>
                <w:rFonts w:cs="Calibri"/>
                <w:lang w:val="cs-CZ" w:eastAsia="cs-CZ"/>
              </w:rPr>
              <w:t xml:space="preserve"> modernizace, rekonstrukce a snižování ztrát v rozvodech elektřiny a tepla </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705" w:type="pct"/>
            <w:tcBorders>
              <w:left w:val="single" w:sz="4" w:space="0" w:color="auto"/>
            </w:tcBorders>
            <w:shd w:val="clear" w:color="auto" w:fill="auto"/>
            <w:vAlign w:val="center"/>
          </w:tcPr>
          <w:p w:rsidR="00D51A7B" w:rsidRPr="008B53A9" w:rsidRDefault="00D51A7B" w:rsidP="003D7BAA">
            <w:pPr>
              <w:pStyle w:val="Tabulka"/>
              <w:jc w:val="left"/>
              <w:rPr>
                <w:rFonts w:cs="Calibri"/>
                <w:i/>
                <w:lang w:val="cs-CZ" w:eastAsia="cs-CZ"/>
              </w:rPr>
            </w:pPr>
            <w:r w:rsidRPr="008B53A9">
              <w:rPr>
                <w:rFonts w:cs="Calibri"/>
                <w:lang w:val="cs-CZ" w:eastAsia="cs-CZ"/>
              </w:rPr>
              <w:t>snížení energetické náročnosti energetického hospodářství budov rekonstrukcí otopné soustavy včetně rekonstrukce či výměny topného zdroje</w:t>
            </w:r>
          </w:p>
        </w:tc>
      </w:tr>
      <w:tr w:rsidR="00D51A7B" w:rsidRPr="008B53A9">
        <w:tc>
          <w:tcPr>
            <w:tcW w:w="1185" w:type="pct"/>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Implementační prvky</w:t>
            </w:r>
          </w:p>
        </w:tc>
        <w:tc>
          <w:tcPr>
            <w:tcW w:w="2009" w:type="pct"/>
            <w:tcBorders>
              <w:bottom w:val="single" w:sz="4" w:space="0" w:color="auto"/>
            </w:tcBorders>
            <w:shd w:val="clear" w:color="auto" w:fill="auto"/>
            <w:vAlign w:val="center"/>
          </w:tcPr>
          <w:p w:rsidR="001E7456" w:rsidRPr="008B53A9" w:rsidRDefault="001E7456" w:rsidP="001E7456">
            <w:pPr>
              <w:pStyle w:val="Tabulka"/>
              <w:jc w:val="left"/>
              <w:rPr>
                <w:rFonts w:cs="Calibri"/>
                <w:lang w:val="cs-CZ" w:eastAsia="cs-CZ"/>
              </w:rPr>
            </w:pPr>
            <w:r w:rsidRPr="008B53A9">
              <w:rPr>
                <w:rFonts w:cs="Calibri"/>
                <w:lang w:val="cs-CZ" w:eastAsia="cs-CZ"/>
              </w:rPr>
              <w:t>Typy příjemců: Podnikatelské subjekty (malé, střední a případně velké podniky); pro intervence v oblasti úspor energie (zateplování výrobních a podnikatelských objektů) rovněž zemědělští podnikatelé, podnikatelé v potravinářství a maloobchodní organizace.</w:t>
            </w:r>
          </w:p>
          <w:p w:rsidR="00D51A7B" w:rsidRPr="008B53A9" w:rsidRDefault="001E7456" w:rsidP="002B15A3">
            <w:pPr>
              <w:pStyle w:val="Tabulka"/>
              <w:jc w:val="left"/>
              <w:rPr>
                <w:rFonts w:cs="Calibri"/>
                <w:lang w:val="cs-CZ" w:eastAsia="cs-CZ"/>
              </w:rPr>
            </w:pPr>
            <w:r w:rsidRPr="008B53A9">
              <w:rPr>
                <w:rFonts w:cs="Calibri"/>
                <w:lang w:val="cs-CZ" w:eastAsia="cs-CZ"/>
              </w:rPr>
              <w:t>Cílové území: Snížení energetické náročnosti podnikatelského sektoru a větší uplatnění energetických služeb ve všech regionech České republiky.</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705" w:type="pct"/>
            <w:tcBorders>
              <w:left w:val="single" w:sz="4" w:space="0" w:color="auto"/>
            </w:tcBorders>
            <w:shd w:val="clear" w:color="auto" w:fill="auto"/>
            <w:vAlign w:val="center"/>
          </w:tcPr>
          <w:p w:rsidR="00D51A7B" w:rsidRPr="008B53A9" w:rsidRDefault="001E7456" w:rsidP="001E7456">
            <w:pPr>
              <w:pStyle w:val="Tabulka"/>
              <w:jc w:val="left"/>
              <w:rPr>
                <w:rFonts w:cs="Calibri"/>
                <w:lang w:val="cs-CZ" w:eastAsia="cs-CZ"/>
              </w:rPr>
            </w:pPr>
            <w:r w:rsidRPr="008B53A9">
              <w:rPr>
                <w:rFonts w:cs="Calibri"/>
                <w:lang w:val="cs-CZ" w:eastAsia="cs-CZ"/>
              </w:rPr>
              <w:t>Typy příjemců:  Kraje, obce, městské části, soc. a zdrav. zařízení, školy, BD, podnikatelé</w:t>
            </w:r>
          </w:p>
          <w:p w:rsidR="001E7456" w:rsidRPr="008B53A9" w:rsidRDefault="00502C2B" w:rsidP="001E7456">
            <w:pPr>
              <w:pStyle w:val="Tabulka"/>
              <w:jc w:val="left"/>
              <w:rPr>
                <w:rFonts w:cs="Calibri"/>
                <w:i/>
                <w:lang w:val="cs-CZ" w:eastAsia="cs-CZ"/>
              </w:rPr>
            </w:pPr>
            <w:r w:rsidRPr="008B53A9">
              <w:rPr>
                <w:rFonts w:cs="Calibri"/>
                <w:lang w:val="cs-CZ" w:eastAsia="cs-CZ"/>
              </w:rPr>
              <w:t>Cílové území: Území České republiky</w:t>
            </w:r>
          </w:p>
        </w:tc>
      </w:tr>
      <w:tr w:rsidR="00530742" w:rsidRPr="008B53A9">
        <w:tc>
          <w:tcPr>
            <w:tcW w:w="1185" w:type="pct"/>
            <w:shd w:val="clear" w:color="auto" w:fill="D6E3BC"/>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t>Synergie/komplementarita</w:t>
            </w:r>
          </w:p>
        </w:tc>
        <w:tc>
          <w:tcPr>
            <w:tcW w:w="2009" w:type="pct"/>
            <w:tcBorders>
              <w:tr2bl w:val="single" w:sz="4" w:space="0" w:color="auto"/>
            </w:tcBorders>
            <w:shd w:val="clear" w:color="auto" w:fill="auto"/>
            <w:vAlign w:val="center"/>
          </w:tcPr>
          <w:p w:rsidR="00530742" w:rsidRPr="008B53A9" w:rsidRDefault="00530742" w:rsidP="001E7456">
            <w:pPr>
              <w:pStyle w:val="Tabulka"/>
              <w:jc w:val="left"/>
              <w:rPr>
                <w:rFonts w:cs="Calibri"/>
                <w:lang w:val="cs-CZ" w:eastAsia="cs-CZ"/>
              </w:rPr>
            </w:pPr>
          </w:p>
        </w:tc>
        <w:tc>
          <w:tcPr>
            <w:tcW w:w="101" w:type="pct"/>
            <w:tcBorders>
              <w:top w:val="nil"/>
              <w:left w:val="single" w:sz="4" w:space="0" w:color="auto"/>
              <w:bottom w:val="nil"/>
              <w:right w:val="single" w:sz="4" w:space="0" w:color="auto"/>
            </w:tcBorders>
            <w:shd w:val="clear" w:color="auto" w:fill="auto"/>
          </w:tcPr>
          <w:p w:rsidR="00530742" w:rsidRPr="008B53A9" w:rsidRDefault="00530742" w:rsidP="00267430">
            <w:pPr>
              <w:pStyle w:val="Tabulka"/>
              <w:jc w:val="left"/>
              <w:rPr>
                <w:rFonts w:cs="Calibri"/>
                <w:lang w:val="cs-CZ" w:eastAsia="cs-CZ"/>
              </w:rPr>
            </w:pPr>
          </w:p>
        </w:tc>
        <w:tc>
          <w:tcPr>
            <w:tcW w:w="1705" w:type="pct"/>
            <w:tcBorders>
              <w:left w:val="single" w:sz="4" w:space="0" w:color="auto"/>
            </w:tcBorders>
            <w:shd w:val="clear" w:color="auto" w:fill="auto"/>
            <w:vAlign w:val="center"/>
          </w:tcPr>
          <w:p w:rsidR="00530742" w:rsidRPr="008B53A9" w:rsidRDefault="00530742" w:rsidP="001E7456">
            <w:pPr>
              <w:pStyle w:val="Tabulka"/>
              <w:jc w:val="left"/>
              <w:rPr>
                <w:rFonts w:cs="Calibri"/>
                <w:lang w:val="cs-CZ" w:eastAsia="cs-CZ"/>
              </w:rPr>
            </w:pPr>
            <w:r w:rsidRPr="008B53A9">
              <w:rPr>
                <w:rFonts w:cs="Calibri"/>
                <w:lang w:val="cs-CZ" w:eastAsia="cs-CZ"/>
              </w:rPr>
              <w:t>komplementarita</w:t>
            </w:r>
          </w:p>
        </w:tc>
      </w:tr>
      <w:tr w:rsidR="004104AA" w:rsidRPr="008B53A9">
        <w:tc>
          <w:tcPr>
            <w:tcW w:w="1185" w:type="pct"/>
            <w:shd w:val="clear" w:color="auto" w:fill="D6E3BC"/>
            <w:vAlign w:val="center"/>
          </w:tcPr>
          <w:p w:rsidR="004104AA" w:rsidRPr="008B53A9" w:rsidRDefault="004104AA" w:rsidP="00267430">
            <w:pPr>
              <w:pStyle w:val="Tabulka"/>
              <w:jc w:val="left"/>
              <w:rPr>
                <w:rFonts w:cs="Calibri"/>
                <w:b/>
                <w:lang w:val="cs-CZ" w:eastAsia="cs-CZ"/>
              </w:rPr>
            </w:pPr>
            <w:r w:rsidRPr="008B53A9">
              <w:rPr>
                <w:rFonts w:cs="Calibri"/>
                <w:b/>
                <w:lang w:val="cs-CZ" w:eastAsia="cs-CZ"/>
              </w:rPr>
              <w:t>Mechanismus koordinace</w:t>
            </w:r>
          </w:p>
        </w:tc>
        <w:tc>
          <w:tcPr>
            <w:tcW w:w="3815" w:type="pct"/>
            <w:gridSpan w:val="3"/>
            <w:shd w:val="clear" w:color="auto" w:fill="auto"/>
            <w:vAlign w:val="center"/>
          </w:tcPr>
          <w:p w:rsidR="00C61468" w:rsidRPr="008B53A9" w:rsidRDefault="00C61468" w:rsidP="003D7BAA">
            <w:pPr>
              <w:pStyle w:val="Tabulka"/>
              <w:jc w:val="left"/>
              <w:rPr>
                <w:rFonts w:cs="Calibri"/>
                <w:lang w:val="cs-CZ" w:eastAsia="cs-CZ"/>
              </w:rPr>
            </w:pPr>
            <w:r w:rsidRPr="008B53A9">
              <w:rPr>
                <w:rFonts w:cs="Calibri"/>
                <w:lang w:val="cs-CZ" w:eastAsia="cs-CZ"/>
              </w:rPr>
              <w:t>Mechanismus koordinace bude institucionálně zajištěn v rámci MPO,</w:t>
            </w:r>
            <w:r w:rsidR="00A3727C" w:rsidRPr="008B53A9">
              <w:rPr>
                <w:rFonts w:cs="Calibri"/>
                <w:lang w:val="cs-CZ" w:eastAsia="cs-CZ"/>
              </w:rPr>
              <w:t xml:space="preserve"> neboť na přípravě SC 3.2 OP PIK a přípravě programu </w:t>
            </w:r>
            <w:r w:rsidR="003D7BAA" w:rsidRPr="008B53A9">
              <w:rPr>
                <w:rFonts w:cs="Calibri"/>
                <w:lang w:val="cs-CZ" w:eastAsia="cs-CZ"/>
              </w:rPr>
              <w:t xml:space="preserve">Efekt </w:t>
            </w:r>
            <w:r w:rsidR="00A3727C" w:rsidRPr="008B53A9">
              <w:rPr>
                <w:rFonts w:cs="Calibri"/>
                <w:lang w:val="cs-CZ" w:eastAsia="cs-CZ"/>
              </w:rPr>
              <w:t>se podílí stejný útvar MPO.</w:t>
            </w:r>
            <w:r w:rsidR="003D7BAA" w:rsidRPr="008B53A9">
              <w:rPr>
                <w:rFonts w:cs="Calibri"/>
                <w:lang w:val="cs-CZ" w:eastAsia="cs-CZ"/>
              </w:rPr>
              <w:t xml:space="preserve"> V rámci tohoto útvaru MPO probíhá koordinace při přípravě věcného zaměření příslušných oblastí intervencí tak, aby nemohlo dojít k překryvům.</w:t>
            </w:r>
          </w:p>
        </w:tc>
      </w:tr>
    </w:tbl>
    <w:p w:rsidR="00D51A7B" w:rsidRPr="008B53A9" w:rsidRDefault="00D51A7B" w:rsidP="00D51A7B">
      <w:pPr>
        <w:pStyle w:val="Standardntext"/>
      </w:pPr>
    </w:p>
    <w:p w:rsidR="0089275D" w:rsidRPr="008B53A9" w:rsidRDefault="0089275D" w:rsidP="005D178C">
      <w:pPr>
        <w:pStyle w:val="Standardntext"/>
        <w:numPr>
          <w:ilvl w:val="0"/>
          <w:numId w:val="97"/>
        </w:numPr>
        <w:rPr>
          <w:b/>
        </w:rPr>
      </w:pPr>
      <w:r w:rsidRPr="008B53A9">
        <w:rPr>
          <w:b/>
        </w:rPr>
        <w:lastRenderedPageBreak/>
        <w:t>Vysokorychlostní přístup k internetu</w:t>
      </w:r>
    </w:p>
    <w:p w:rsidR="0089275D" w:rsidRPr="008B53A9" w:rsidRDefault="0089275D" w:rsidP="0089275D">
      <w:pPr>
        <w:pStyle w:val="Standardntext"/>
      </w:pPr>
      <w:r w:rsidRPr="008B53A9">
        <w:t>ČR v současné době připravuje návrh národního programu podpory projektů zaměřených na budování přístupových sítí nové generace. Národní program je však zatím v rané fázi přípravy a jeho konkrétní podoba není v tuto chvíli známa.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3"/>
        <w:gridCol w:w="5770"/>
        <w:gridCol w:w="290"/>
        <w:gridCol w:w="4897"/>
      </w:tblGrid>
      <w:tr w:rsidR="00D51A7B" w:rsidRPr="008B53A9">
        <w:trPr>
          <w:trHeight w:val="233"/>
        </w:trPr>
        <w:tc>
          <w:tcPr>
            <w:tcW w:w="1185" w:type="pct"/>
            <w:shd w:val="clear" w:color="auto" w:fill="5D7430"/>
            <w:vAlign w:val="center"/>
          </w:tcPr>
          <w:p w:rsidR="00D51A7B" w:rsidRPr="008B53A9" w:rsidRDefault="001E1351" w:rsidP="001E1351">
            <w:pPr>
              <w:pStyle w:val="Tabulka"/>
              <w:keepNext/>
              <w:keepLines/>
              <w:jc w:val="left"/>
              <w:rPr>
                <w:rFonts w:cs="Calibri"/>
                <w:b/>
                <w:color w:val="FFFFFF"/>
                <w:lang w:val="cs-CZ" w:eastAsia="cs-CZ"/>
              </w:rPr>
            </w:pPr>
            <w:r w:rsidRPr="008B53A9">
              <w:rPr>
                <w:rFonts w:cs="Calibri"/>
                <w:b/>
                <w:color w:val="FFFFFF"/>
                <w:lang w:val="cs-CZ" w:eastAsia="cs-CZ"/>
              </w:rPr>
              <w:t>Vysokorychlostní přístup k internetu</w:t>
            </w:r>
          </w:p>
        </w:tc>
        <w:tc>
          <w:tcPr>
            <w:tcW w:w="2009" w:type="pct"/>
            <w:tcBorders>
              <w:bottom w:val="single" w:sz="4" w:space="0" w:color="000000"/>
            </w:tcBorders>
            <w:shd w:val="clear" w:color="auto" w:fill="76923C"/>
            <w:vAlign w:val="center"/>
          </w:tcPr>
          <w:p w:rsidR="00D51A7B" w:rsidRPr="008B53A9" w:rsidRDefault="00D51A7B" w:rsidP="00267430">
            <w:pPr>
              <w:pStyle w:val="Tabulka"/>
              <w:keepNext/>
              <w:keepLines/>
              <w:rPr>
                <w:rFonts w:cs="Calibri"/>
                <w:b/>
                <w:lang w:val="cs-CZ" w:eastAsia="cs-CZ"/>
              </w:rPr>
            </w:pPr>
            <w:r w:rsidRPr="008B53A9">
              <w:rPr>
                <w:rFonts w:cs="Calibri"/>
                <w:b/>
                <w:lang w:val="cs-CZ" w:eastAsia="cs-CZ"/>
              </w:rPr>
              <w:t>OP PIK</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keepNext/>
              <w:keepLines/>
              <w:rPr>
                <w:rFonts w:cs="Calibri"/>
                <w:b/>
                <w:lang w:val="cs-CZ" w:eastAsia="cs-CZ"/>
              </w:rPr>
            </w:pPr>
          </w:p>
        </w:tc>
        <w:tc>
          <w:tcPr>
            <w:tcW w:w="1705" w:type="pct"/>
            <w:tcBorders>
              <w:left w:val="single" w:sz="4" w:space="0" w:color="auto"/>
              <w:bottom w:val="single" w:sz="4" w:space="0" w:color="000000"/>
            </w:tcBorders>
            <w:shd w:val="clear" w:color="auto" w:fill="76923C"/>
            <w:vAlign w:val="center"/>
          </w:tcPr>
          <w:p w:rsidR="00D51A7B" w:rsidRPr="008B53A9" w:rsidRDefault="00D51A7B" w:rsidP="001E1351">
            <w:pPr>
              <w:pStyle w:val="Tabulka"/>
              <w:keepNext/>
              <w:keepLines/>
              <w:rPr>
                <w:rFonts w:cs="Calibri"/>
                <w:b/>
                <w:lang w:val="cs-CZ" w:eastAsia="cs-CZ"/>
              </w:rPr>
            </w:pPr>
            <w:r w:rsidRPr="008B53A9">
              <w:rPr>
                <w:rFonts w:cs="Calibri"/>
                <w:b/>
                <w:lang w:val="cs-CZ" w:eastAsia="cs-CZ"/>
              </w:rPr>
              <w:t>Národní program</w:t>
            </w:r>
          </w:p>
        </w:tc>
      </w:tr>
      <w:tr w:rsidR="00D51A7B" w:rsidRPr="008B53A9">
        <w:trPr>
          <w:trHeight w:val="300"/>
        </w:trPr>
        <w:tc>
          <w:tcPr>
            <w:tcW w:w="1185" w:type="pct"/>
            <w:vMerge w:val="restart"/>
            <w:shd w:val="clear" w:color="auto" w:fill="D6E3BC"/>
            <w:vAlign w:val="center"/>
          </w:tcPr>
          <w:p w:rsidR="00D51A7B" w:rsidRPr="008B53A9" w:rsidRDefault="002E0DC8" w:rsidP="00267430">
            <w:pPr>
              <w:pStyle w:val="Tabulka"/>
              <w:jc w:val="left"/>
              <w:rPr>
                <w:rFonts w:cs="Calibri"/>
                <w:b/>
                <w:lang w:val="cs-CZ" w:eastAsia="cs-CZ"/>
              </w:rPr>
            </w:pPr>
            <w:r w:rsidRPr="008B53A9">
              <w:rPr>
                <w:rFonts w:cs="Calibri"/>
                <w:b/>
                <w:lang w:val="cs-CZ" w:eastAsia="cs-CZ"/>
              </w:rPr>
              <w:t>Tematický cíl / investiční priorita</w:t>
            </w:r>
          </w:p>
        </w:tc>
        <w:tc>
          <w:tcPr>
            <w:tcW w:w="2009" w:type="pct"/>
            <w:vMerge w:val="restart"/>
            <w:shd w:val="clear" w:color="auto" w:fill="auto"/>
            <w:vAlign w:val="center"/>
          </w:tcPr>
          <w:p w:rsidR="00D51A7B" w:rsidRPr="008B53A9" w:rsidRDefault="008022FA" w:rsidP="008022FA">
            <w:pPr>
              <w:pStyle w:val="Tabulka"/>
              <w:jc w:val="left"/>
              <w:rPr>
                <w:rFonts w:cs="Calibri"/>
                <w:lang w:val="cs-CZ" w:eastAsia="cs-CZ"/>
              </w:rPr>
            </w:pPr>
            <w:r w:rsidRPr="008B53A9">
              <w:rPr>
                <w:rFonts w:cs="Calibri"/>
                <w:lang w:val="cs-CZ" w:eastAsia="cs-CZ"/>
              </w:rPr>
              <w:t xml:space="preserve">TC </w:t>
            </w:r>
            <w:r w:rsidR="00D51A7B" w:rsidRPr="008B53A9">
              <w:rPr>
                <w:rFonts w:cs="Calibri"/>
                <w:lang w:val="cs-CZ" w:eastAsia="cs-CZ"/>
              </w:rPr>
              <w:t>2</w:t>
            </w:r>
            <w:r w:rsidR="005E6F75" w:rsidRPr="008B53A9">
              <w:rPr>
                <w:rFonts w:cs="Calibri"/>
                <w:lang w:val="cs-CZ" w:eastAsia="cs-CZ"/>
              </w:rPr>
              <w:t xml:space="preserve"> / </w:t>
            </w:r>
            <w:r w:rsidRPr="008B53A9">
              <w:rPr>
                <w:rFonts w:cs="Calibri"/>
                <w:lang w:val="cs-CZ" w:eastAsia="cs-CZ"/>
              </w:rPr>
              <w:t>2 a)</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705" w:type="pct"/>
            <w:vMerge w:val="restart"/>
            <w:tcBorders>
              <w:top w:val="single" w:sz="4" w:space="0" w:color="000000"/>
              <w:left w:val="single" w:sz="4" w:space="0" w:color="auto"/>
              <w:tr2bl w:val="single" w:sz="4" w:space="0" w:color="auto"/>
            </w:tcBorders>
            <w:shd w:val="clear" w:color="auto" w:fill="auto"/>
            <w:vAlign w:val="center"/>
          </w:tcPr>
          <w:p w:rsidR="00D51A7B" w:rsidRPr="008B53A9" w:rsidRDefault="00D51A7B" w:rsidP="00267430">
            <w:pPr>
              <w:pStyle w:val="Tabulka"/>
              <w:jc w:val="left"/>
              <w:rPr>
                <w:rFonts w:cs="Calibri"/>
                <w:i/>
                <w:lang w:val="cs-CZ" w:eastAsia="cs-CZ"/>
              </w:rPr>
            </w:pPr>
          </w:p>
        </w:tc>
      </w:tr>
      <w:tr w:rsidR="00D51A7B" w:rsidRPr="008B53A9">
        <w:trPr>
          <w:trHeight w:val="212"/>
        </w:trPr>
        <w:tc>
          <w:tcPr>
            <w:tcW w:w="1185" w:type="pct"/>
            <w:vMerge/>
            <w:tcBorders>
              <w:bottom w:val="dotted" w:sz="4" w:space="0" w:color="auto"/>
            </w:tcBorders>
            <w:shd w:val="clear" w:color="auto" w:fill="D6E3BC"/>
            <w:vAlign w:val="center"/>
          </w:tcPr>
          <w:p w:rsidR="00D51A7B" w:rsidRPr="008B53A9" w:rsidRDefault="00D51A7B" w:rsidP="00267430">
            <w:pPr>
              <w:pStyle w:val="Tabulka"/>
              <w:jc w:val="left"/>
              <w:rPr>
                <w:rFonts w:cs="Calibri"/>
                <w:lang w:val="cs-CZ" w:eastAsia="cs-CZ"/>
              </w:rPr>
            </w:pPr>
          </w:p>
        </w:tc>
        <w:tc>
          <w:tcPr>
            <w:tcW w:w="2009" w:type="pct"/>
            <w:vMerge/>
            <w:tcBorders>
              <w:bottom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705" w:type="pct"/>
            <w:vMerge/>
            <w:tcBorders>
              <w:left w:val="single" w:sz="4" w:space="0" w:color="auto"/>
              <w:bottom w:val="dotted" w:sz="4" w:space="0" w:color="auto"/>
              <w:tr2bl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p>
        </w:tc>
      </w:tr>
      <w:tr w:rsidR="00D51A7B" w:rsidRPr="008B53A9">
        <w:trPr>
          <w:trHeight w:val="212"/>
        </w:trPr>
        <w:tc>
          <w:tcPr>
            <w:tcW w:w="1185" w:type="pct"/>
            <w:tcBorders>
              <w:top w:val="dotted" w:sz="4" w:space="0" w:color="auto"/>
              <w:bottom w:val="dotted" w:sz="4" w:space="0" w:color="auto"/>
            </w:tcBorders>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Prioritní osa</w:t>
            </w:r>
          </w:p>
        </w:tc>
        <w:tc>
          <w:tcPr>
            <w:tcW w:w="2009" w:type="pct"/>
            <w:tcBorders>
              <w:top w:val="dotted" w:sz="4" w:space="0" w:color="auto"/>
              <w:bottom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PO 4: Rozvoj vysokorychlostních přístupových sítí k internetu a informačních a komunikačních technologií</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705" w:type="pct"/>
            <w:tcBorders>
              <w:top w:val="dotted" w:sz="4" w:space="0" w:color="auto"/>
              <w:left w:val="single" w:sz="4" w:space="0" w:color="auto"/>
              <w:bottom w:val="dotted" w:sz="4" w:space="0" w:color="auto"/>
              <w:tr2bl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p>
        </w:tc>
      </w:tr>
      <w:tr w:rsidR="00D51A7B" w:rsidRPr="008B53A9">
        <w:tc>
          <w:tcPr>
            <w:tcW w:w="1185" w:type="pct"/>
            <w:tcBorders>
              <w:top w:val="dotted" w:sz="4" w:space="0" w:color="auto"/>
            </w:tcBorders>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Specifický cíl</w:t>
            </w:r>
          </w:p>
        </w:tc>
        <w:tc>
          <w:tcPr>
            <w:tcW w:w="2009" w:type="pct"/>
            <w:tcBorders>
              <w:top w:val="dotted"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SC 4.1: Zvětšit pokrytí vysokorychlostním přístupem k internetu</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705" w:type="pct"/>
            <w:tcBorders>
              <w:top w:val="dotted" w:sz="4" w:space="0" w:color="auto"/>
              <w:lef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 xml:space="preserve">Vláda ČR usnesením ze dne 23. května 2012 č. 370 uložila ministru průmyslu a obchodu ve spolupráci s předsedou Rady Českého telekomunikačního úřadu zajistit zpracování </w:t>
            </w:r>
            <w:r w:rsidRPr="008B53A9">
              <w:rPr>
                <w:rFonts w:cs="Calibri"/>
                <w:b/>
                <w:lang w:val="cs-CZ" w:eastAsia="cs-CZ"/>
              </w:rPr>
              <w:t>návrhu programu podpory projektů zaměřených na budování přístupových sítí nové generace</w:t>
            </w:r>
            <w:r w:rsidRPr="008B53A9">
              <w:rPr>
                <w:rFonts w:cs="Calibri"/>
                <w:lang w:val="cs-CZ" w:eastAsia="cs-CZ"/>
              </w:rPr>
              <w:t xml:space="preserve">, podmínek jeho správy a financování (dále jen „národní program“). Dále vláda </w:t>
            </w:r>
            <w:r w:rsidR="003E56BD" w:rsidRPr="008B53A9">
              <w:rPr>
                <w:rFonts w:cs="Calibri"/>
                <w:lang w:val="cs-CZ" w:eastAsia="cs-CZ"/>
              </w:rPr>
              <w:t xml:space="preserve">ČR </w:t>
            </w:r>
            <w:r w:rsidRPr="008B53A9">
              <w:rPr>
                <w:rFonts w:cs="Calibri"/>
                <w:lang w:val="cs-CZ" w:eastAsia="cs-CZ"/>
              </w:rPr>
              <w:t>usnesením ze dne 12. června 2013 č. 450 uložila předložit návrh národního programu vládě k projednání do 31. prosince 2013.</w:t>
            </w:r>
          </w:p>
          <w:p w:rsidR="00D51A7B" w:rsidRPr="008B53A9" w:rsidRDefault="00D51A7B" w:rsidP="00267430">
            <w:pPr>
              <w:pStyle w:val="Tabulka"/>
              <w:jc w:val="left"/>
              <w:rPr>
                <w:rFonts w:cs="Calibri"/>
                <w:lang w:val="cs-CZ" w:eastAsia="cs-CZ"/>
              </w:rPr>
            </w:pPr>
          </w:p>
          <w:p w:rsidR="00D51A7B" w:rsidRPr="008B53A9" w:rsidRDefault="00D51A7B" w:rsidP="000B2F79">
            <w:pPr>
              <w:pStyle w:val="Tabulka"/>
              <w:jc w:val="left"/>
              <w:rPr>
                <w:rFonts w:cs="Calibri"/>
                <w:lang w:val="cs-CZ" w:eastAsia="cs-CZ"/>
              </w:rPr>
            </w:pPr>
            <w:r w:rsidRPr="008B53A9">
              <w:rPr>
                <w:rFonts w:cs="Calibri"/>
                <w:lang w:val="cs-CZ" w:eastAsia="cs-CZ"/>
              </w:rPr>
              <w:t>Zdrojem národního programu se má stát část výnosu z tzv. „aukce kmitočtů“, tj. výběrového řízení za účelem udělení práv k využívání rádiových kmitočtů v pásmech 800 MHz, 1800 MHz a 2600 MHz.</w:t>
            </w:r>
          </w:p>
        </w:tc>
      </w:tr>
      <w:tr w:rsidR="00D51A7B" w:rsidRPr="008B53A9">
        <w:tc>
          <w:tcPr>
            <w:tcW w:w="1185" w:type="pct"/>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Věcná specifikace (zaměření, aktivity)</w:t>
            </w:r>
          </w:p>
        </w:tc>
        <w:tc>
          <w:tcPr>
            <w:tcW w:w="2009" w:type="pct"/>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zřizování nových sítí pro vysokorychlostní přístup k internetu či modernizace resp. rozšiřování stávající infrastruktury pro vysokorychlostní přístup k internetu</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705" w:type="pct"/>
            <w:tcBorders>
              <w:lef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Program je zatím ve fázi přípravy, jeho konkrétní aktivity nejsou známy.</w:t>
            </w:r>
          </w:p>
        </w:tc>
      </w:tr>
      <w:tr w:rsidR="00D51A7B" w:rsidRPr="008B53A9">
        <w:tc>
          <w:tcPr>
            <w:tcW w:w="1185" w:type="pct"/>
            <w:shd w:val="clear" w:color="auto" w:fill="D6E3BC"/>
            <w:vAlign w:val="center"/>
          </w:tcPr>
          <w:p w:rsidR="00D51A7B" w:rsidRPr="008B53A9" w:rsidRDefault="00D51A7B" w:rsidP="00267430">
            <w:pPr>
              <w:pStyle w:val="Tabulka"/>
              <w:jc w:val="left"/>
              <w:rPr>
                <w:rFonts w:cs="Calibri"/>
                <w:b/>
                <w:lang w:val="cs-CZ" w:eastAsia="cs-CZ"/>
              </w:rPr>
            </w:pPr>
            <w:r w:rsidRPr="008B53A9">
              <w:rPr>
                <w:rFonts w:cs="Calibri"/>
                <w:b/>
                <w:lang w:val="cs-CZ" w:eastAsia="cs-CZ"/>
              </w:rPr>
              <w:t>Implementační prvky</w:t>
            </w:r>
          </w:p>
        </w:tc>
        <w:tc>
          <w:tcPr>
            <w:tcW w:w="2009" w:type="pct"/>
            <w:tcBorders>
              <w:bottom w:val="single" w:sz="4" w:space="0" w:color="auto"/>
            </w:tcBorders>
            <w:shd w:val="clear" w:color="auto" w:fill="auto"/>
            <w:vAlign w:val="center"/>
          </w:tcPr>
          <w:p w:rsidR="00B71DE7" w:rsidRPr="008B53A9" w:rsidRDefault="00B71DE7" w:rsidP="00B71DE7">
            <w:pPr>
              <w:pStyle w:val="Tabulka"/>
              <w:jc w:val="left"/>
              <w:rPr>
                <w:rFonts w:cs="Calibri"/>
                <w:lang w:val="cs-CZ" w:eastAsia="cs-CZ"/>
              </w:rPr>
            </w:pPr>
            <w:r w:rsidRPr="008B53A9">
              <w:rPr>
                <w:rFonts w:cs="Calibri"/>
                <w:lang w:val="cs-CZ" w:eastAsia="cs-CZ"/>
              </w:rPr>
              <w:t xml:space="preserve">Typy příjemců:  Fyzické nebo právnické osoby podnikající v </w:t>
            </w:r>
            <w:r w:rsidRPr="008B53A9">
              <w:rPr>
                <w:rFonts w:cs="Calibri"/>
                <w:lang w:val="cs-CZ" w:eastAsia="cs-CZ"/>
              </w:rPr>
              <w:lastRenderedPageBreak/>
              <w:t>oblasti elektronických komunikací</w:t>
            </w:r>
          </w:p>
          <w:p w:rsidR="00D51A7B" w:rsidRPr="008B53A9" w:rsidRDefault="00B71DE7" w:rsidP="00B71DE7">
            <w:pPr>
              <w:pStyle w:val="Tabulka"/>
              <w:jc w:val="left"/>
              <w:rPr>
                <w:rFonts w:cs="Calibri"/>
                <w:lang w:val="cs-CZ" w:eastAsia="cs-CZ"/>
              </w:rPr>
            </w:pPr>
            <w:r w:rsidRPr="008B53A9">
              <w:rPr>
                <w:rFonts w:cs="Calibri"/>
                <w:lang w:val="cs-CZ" w:eastAsia="cs-CZ"/>
              </w:rPr>
              <w:t>Cílové území: Tzv. bílé případně i šedé oblasti na území ČR (bez území hl. města Prahy)</w:t>
            </w:r>
          </w:p>
        </w:tc>
        <w:tc>
          <w:tcPr>
            <w:tcW w:w="101" w:type="pct"/>
            <w:tcBorders>
              <w:top w:val="nil"/>
              <w:left w:val="single" w:sz="4" w:space="0" w:color="auto"/>
              <w:bottom w:val="nil"/>
              <w:right w:val="single" w:sz="4" w:space="0" w:color="auto"/>
            </w:tcBorders>
            <w:shd w:val="clear" w:color="auto" w:fill="auto"/>
          </w:tcPr>
          <w:p w:rsidR="00D51A7B" w:rsidRPr="008B53A9" w:rsidRDefault="00D51A7B" w:rsidP="00267430">
            <w:pPr>
              <w:pStyle w:val="Tabulka"/>
              <w:jc w:val="left"/>
              <w:rPr>
                <w:rFonts w:cs="Calibri"/>
                <w:lang w:val="cs-CZ" w:eastAsia="cs-CZ"/>
              </w:rPr>
            </w:pPr>
          </w:p>
        </w:tc>
        <w:tc>
          <w:tcPr>
            <w:tcW w:w="1705" w:type="pct"/>
            <w:tcBorders>
              <w:left w:val="single" w:sz="4" w:space="0" w:color="auto"/>
            </w:tcBorders>
            <w:shd w:val="clear" w:color="auto" w:fill="auto"/>
            <w:vAlign w:val="center"/>
          </w:tcPr>
          <w:p w:rsidR="00D51A7B" w:rsidRPr="008B53A9" w:rsidRDefault="00D51A7B" w:rsidP="00267430">
            <w:pPr>
              <w:pStyle w:val="Tabulka"/>
              <w:jc w:val="left"/>
              <w:rPr>
                <w:rFonts w:cs="Calibri"/>
                <w:lang w:val="cs-CZ" w:eastAsia="cs-CZ"/>
              </w:rPr>
            </w:pPr>
            <w:r w:rsidRPr="008B53A9">
              <w:rPr>
                <w:rFonts w:cs="Calibri"/>
                <w:lang w:val="cs-CZ" w:eastAsia="cs-CZ"/>
              </w:rPr>
              <w:t>Program je zatím ve fázi přípravy, nelze určit.</w:t>
            </w:r>
          </w:p>
        </w:tc>
      </w:tr>
      <w:tr w:rsidR="00530742" w:rsidRPr="008B53A9">
        <w:tc>
          <w:tcPr>
            <w:tcW w:w="1185" w:type="pct"/>
            <w:shd w:val="clear" w:color="auto" w:fill="D6E3BC"/>
            <w:vAlign w:val="center"/>
          </w:tcPr>
          <w:p w:rsidR="00530742" w:rsidRPr="008B53A9" w:rsidRDefault="00530742" w:rsidP="00267430">
            <w:pPr>
              <w:pStyle w:val="Tabulka"/>
              <w:jc w:val="left"/>
              <w:rPr>
                <w:rFonts w:cs="Calibri"/>
                <w:b/>
                <w:lang w:val="cs-CZ" w:eastAsia="cs-CZ"/>
              </w:rPr>
            </w:pPr>
            <w:r w:rsidRPr="008B53A9">
              <w:rPr>
                <w:rFonts w:cs="Calibri"/>
                <w:b/>
                <w:lang w:val="cs-CZ" w:eastAsia="cs-CZ"/>
              </w:rPr>
              <w:lastRenderedPageBreak/>
              <w:t>Synergie/komplementarita</w:t>
            </w:r>
          </w:p>
        </w:tc>
        <w:tc>
          <w:tcPr>
            <w:tcW w:w="2009" w:type="pct"/>
            <w:tcBorders>
              <w:tr2bl w:val="single" w:sz="4" w:space="0" w:color="auto"/>
            </w:tcBorders>
            <w:shd w:val="clear" w:color="auto" w:fill="auto"/>
            <w:vAlign w:val="center"/>
          </w:tcPr>
          <w:p w:rsidR="00530742" w:rsidRPr="008B53A9" w:rsidRDefault="00530742" w:rsidP="00B71DE7">
            <w:pPr>
              <w:pStyle w:val="Tabulka"/>
              <w:jc w:val="left"/>
              <w:rPr>
                <w:rFonts w:cs="Calibri"/>
                <w:lang w:val="cs-CZ" w:eastAsia="cs-CZ"/>
              </w:rPr>
            </w:pPr>
          </w:p>
        </w:tc>
        <w:tc>
          <w:tcPr>
            <w:tcW w:w="101" w:type="pct"/>
            <w:tcBorders>
              <w:top w:val="nil"/>
              <w:left w:val="single" w:sz="4" w:space="0" w:color="auto"/>
              <w:bottom w:val="nil"/>
              <w:right w:val="single" w:sz="4" w:space="0" w:color="auto"/>
            </w:tcBorders>
            <w:shd w:val="clear" w:color="auto" w:fill="auto"/>
          </w:tcPr>
          <w:p w:rsidR="00530742" w:rsidRPr="008B53A9" w:rsidRDefault="00530742" w:rsidP="00267430">
            <w:pPr>
              <w:pStyle w:val="Tabulka"/>
              <w:jc w:val="left"/>
              <w:rPr>
                <w:rFonts w:cs="Calibri"/>
                <w:lang w:val="cs-CZ" w:eastAsia="cs-CZ"/>
              </w:rPr>
            </w:pPr>
          </w:p>
        </w:tc>
        <w:tc>
          <w:tcPr>
            <w:tcW w:w="1705" w:type="pct"/>
            <w:tcBorders>
              <w:left w:val="single" w:sz="4" w:space="0" w:color="auto"/>
            </w:tcBorders>
            <w:shd w:val="clear" w:color="auto" w:fill="auto"/>
            <w:vAlign w:val="center"/>
          </w:tcPr>
          <w:p w:rsidR="00530742" w:rsidRPr="008B53A9" w:rsidRDefault="00530742" w:rsidP="00267430">
            <w:pPr>
              <w:pStyle w:val="Tabulka"/>
              <w:jc w:val="left"/>
              <w:rPr>
                <w:rFonts w:cs="Calibri"/>
                <w:lang w:val="cs-CZ" w:eastAsia="cs-CZ"/>
              </w:rPr>
            </w:pPr>
            <w:r w:rsidRPr="008B53A9">
              <w:rPr>
                <w:rFonts w:cs="Calibri"/>
                <w:lang w:val="cs-CZ" w:eastAsia="cs-CZ"/>
              </w:rPr>
              <w:t>komplementarita</w:t>
            </w:r>
          </w:p>
        </w:tc>
      </w:tr>
      <w:tr w:rsidR="00363809">
        <w:tc>
          <w:tcPr>
            <w:tcW w:w="1185" w:type="pct"/>
            <w:shd w:val="clear" w:color="auto" w:fill="D6E3BC"/>
            <w:vAlign w:val="center"/>
          </w:tcPr>
          <w:p w:rsidR="00363809" w:rsidRPr="008B53A9" w:rsidRDefault="00363809" w:rsidP="00267430">
            <w:pPr>
              <w:pStyle w:val="Tabulka"/>
              <w:jc w:val="left"/>
              <w:rPr>
                <w:rFonts w:cs="Calibri"/>
                <w:b/>
                <w:lang w:val="cs-CZ" w:eastAsia="cs-CZ"/>
              </w:rPr>
            </w:pPr>
            <w:r w:rsidRPr="008B53A9">
              <w:rPr>
                <w:rFonts w:cs="Calibri"/>
                <w:b/>
                <w:lang w:val="cs-CZ" w:eastAsia="cs-CZ"/>
              </w:rPr>
              <w:t>Mechanismus koordinace</w:t>
            </w:r>
          </w:p>
        </w:tc>
        <w:tc>
          <w:tcPr>
            <w:tcW w:w="3815" w:type="pct"/>
            <w:gridSpan w:val="3"/>
            <w:shd w:val="clear" w:color="auto" w:fill="auto"/>
            <w:vAlign w:val="center"/>
          </w:tcPr>
          <w:p w:rsidR="00363809" w:rsidRPr="00BB36CE" w:rsidRDefault="00363809" w:rsidP="00AD7FC9">
            <w:pPr>
              <w:pStyle w:val="Tabulka"/>
              <w:jc w:val="left"/>
              <w:rPr>
                <w:rFonts w:cs="Calibri"/>
                <w:lang w:val="cs-CZ" w:eastAsia="cs-CZ"/>
              </w:rPr>
            </w:pPr>
            <w:r w:rsidRPr="008B53A9">
              <w:rPr>
                <w:rFonts w:cs="Calibri"/>
                <w:lang w:val="cs-CZ" w:eastAsia="cs-CZ"/>
              </w:rPr>
              <w:t>Národní p</w:t>
            </w:r>
            <w:r w:rsidR="00994CB4" w:rsidRPr="008B53A9">
              <w:rPr>
                <w:rFonts w:cs="Calibri"/>
                <w:lang w:val="cs-CZ" w:eastAsia="cs-CZ"/>
              </w:rPr>
              <w:t>rogram je zatím v rané</w:t>
            </w:r>
            <w:r w:rsidRPr="008B53A9">
              <w:rPr>
                <w:rFonts w:cs="Calibri"/>
                <w:lang w:val="cs-CZ" w:eastAsia="cs-CZ"/>
              </w:rPr>
              <w:t xml:space="preserve"> fázi přípravy, mechanismus koordinace proto </w:t>
            </w:r>
            <w:r w:rsidR="00994CB4" w:rsidRPr="008B53A9">
              <w:rPr>
                <w:rFonts w:cs="Calibri"/>
                <w:lang w:val="cs-CZ" w:eastAsia="cs-CZ"/>
              </w:rPr>
              <w:t xml:space="preserve">z věcného hlediska v tuto chvíli </w:t>
            </w:r>
            <w:r w:rsidRPr="008B53A9">
              <w:rPr>
                <w:rFonts w:cs="Calibri"/>
                <w:lang w:val="cs-CZ" w:eastAsia="cs-CZ"/>
              </w:rPr>
              <w:t>nelze určit.</w:t>
            </w:r>
            <w:r w:rsidR="00994CB4" w:rsidRPr="008B53A9">
              <w:rPr>
                <w:rFonts w:cs="Calibri"/>
                <w:lang w:val="cs-CZ" w:eastAsia="cs-CZ"/>
              </w:rPr>
              <w:t xml:space="preserve"> Institucionálně však bude mechanismus koordinace zajištěn v rámci MPO, neboť na přípravě SC 4.1 OP PIK a přípravě národního programu se podílí stejný útvar MPO. Při navrhování opatření </w:t>
            </w:r>
            <w:r w:rsidR="00AD7FC9" w:rsidRPr="008B53A9">
              <w:rPr>
                <w:rFonts w:cs="Calibri"/>
                <w:lang w:val="cs-CZ" w:eastAsia="cs-CZ"/>
              </w:rPr>
              <w:t>veřejné</w:t>
            </w:r>
            <w:r w:rsidR="00994CB4" w:rsidRPr="008B53A9">
              <w:rPr>
                <w:rFonts w:cs="Calibri"/>
                <w:lang w:val="cs-CZ" w:eastAsia="cs-CZ"/>
              </w:rPr>
              <w:t xml:space="preserve"> podpory na širokopásmové sítě s pozitivním účinkem na hospodářskou soutěž hraje mimořádně důležitou úlohu rovněž národní regulační orgán, kterým je Český telekomunikační úřad. Ten se ve spolupráci s MPO podílí jak na přípravě SC 4.1 OP PIK (členství v Pracovní skupině pro rozpracování prioritní osy 4 – viz kapitola 12.3), tak </w:t>
            </w:r>
            <w:r w:rsidR="00B000CD" w:rsidRPr="008B53A9">
              <w:rPr>
                <w:rFonts w:cs="Calibri"/>
                <w:lang w:val="cs-CZ" w:eastAsia="cs-CZ"/>
              </w:rPr>
              <w:t>také</w:t>
            </w:r>
            <w:r w:rsidR="00994CB4" w:rsidRPr="008B53A9">
              <w:rPr>
                <w:rFonts w:cs="Calibri"/>
                <w:lang w:val="cs-CZ" w:eastAsia="cs-CZ"/>
              </w:rPr>
              <w:t xml:space="preserve"> na přípravě národního programu podpory projektů zaměřených na budování přístupových sítí nové generace</w:t>
            </w:r>
            <w:r w:rsidR="00B000CD" w:rsidRPr="008B53A9">
              <w:rPr>
                <w:rFonts w:cs="Calibri"/>
                <w:lang w:val="cs-CZ" w:eastAsia="cs-CZ"/>
              </w:rPr>
              <w:t>.</w:t>
            </w:r>
          </w:p>
        </w:tc>
      </w:tr>
    </w:tbl>
    <w:p w:rsidR="000221D9" w:rsidRPr="00B067C7" w:rsidRDefault="000221D9" w:rsidP="000221D9">
      <w:pPr>
        <w:pStyle w:val="Standardntext"/>
      </w:pPr>
    </w:p>
    <w:sectPr w:rsidR="000221D9" w:rsidRPr="00B067C7" w:rsidSect="00FC0044">
      <w:headerReference w:type="default" r:id="rId244"/>
      <w:footerReference w:type="default" r:id="rId245"/>
      <w:pgSz w:w="16838" w:h="11906" w:orient="landscape"/>
      <w:pgMar w:top="1418" w:right="1418" w:bottom="1276" w:left="1276"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53A9" w:rsidRDefault="008B53A9" w:rsidP="00F03E3C">
      <w:r>
        <w:separator/>
      </w:r>
    </w:p>
  </w:endnote>
  <w:endnote w:type="continuationSeparator" w:id="0">
    <w:p w:rsidR="008B53A9" w:rsidRDefault="008B53A9" w:rsidP="00F03E3C">
      <w:r>
        <w:continuationSeparator/>
      </w:r>
    </w:p>
  </w:endnote>
  <w:endnote w:type="continuationNotice" w:id="1">
    <w:p w:rsidR="008B53A9" w:rsidRDefault="008B53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onsolas">
    <w:panose1 w:val="020B0609020204030204"/>
    <w:charset w:val="EE"/>
    <w:family w:val="modern"/>
    <w:pitch w:val="fixed"/>
    <w:sig w:usb0="E10002FF" w:usb1="4000F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97A5A">
    <w:pPr>
      <w:pStyle w:val="Zpat"/>
      <w:tabs>
        <w:tab w:val="clear" w:pos="9072"/>
        <w:tab w:val="left" w:pos="6549"/>
        <w:tab w:val="left" w:pos="7137"/>
        <w:tab w:val="right" w:pos="9212"/>
      </w:tabs>
      <w:jc w:val="left"/>
    </w:pPr>
    <w:r>
      <w:rPr>
        <w:noProof/>
        <w:lang w:val="cs-CZ" w:eastAsia="cs-CZ"/>
      </w:rPr>
      <w:drawing>
        <wp:anchor distT="0" distB="0" distL="114300" distR="114300" simplePos="0" relativeHeight="251625984" behindDoc="1" locked="0" layoutInCell="1" allowOverlap="0" wp14:anchorId="21DC810A" wp14:editId="234F197A">
          <wp:simplePos x="0" y="0"/>
          <wp:positionH relativeFrom="column">
            <wp:posOffset>4018280</wp:posOffset>
          </wp:positionH>
          <wp:positionV relativeFrom="page">
            <wp:posOffset>9901555</wp:posOffset>
          </wp:positionV>
          <wp:extent cx="1846580" cy="359410"/>
          <wp:effectExtent l="0" t="0" r="1270" b="2540"/>
          <wp:wrapTight wrapText="bothSides">
            <wp:wrapPolygon edited="0">
              <wp:start x="0" y="0"/>
              <wp:lineTo x="0" y="20608"/>
              <wp:lineTo x="21392" y="20608"/>
              <wp:lineTo x="21392" y="0"/>
              <wp:lineTo x="0" y="0"/>
            </wp:wrapPolygon>
          </wp:wrapTight>
          <wp:docPr id="6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r>
      <w:tab/>
    </w:r>
    <w:r>
      <w:fldChar w:fldCharType="begin"/>
    </w:r>
    <w:r>
      <w:instrText>PAGE   \* MERGEFORMAT</w:instrText>
    </w:r>
    <w:r>
      <w:fldChar w:fldCharType="separate"/>
    </w:r>
    <w:r>
      <w:rPr>
        <w:noProof/>
      </w:rPr>
      <w:t>3</w:t>
    </w:r>
    <w:r>
      <w:fldChar w:fldCharType="end"/>
    </w:r>
  </w:p>
  <w:p w:rsidR="008B53A9" w:rsidRDefault="008B53A9" w:rsidP="0056085D">
    <w:pPr>
      <w:pStyle w:val="Zpat"/>
      <w:tabs>
        <w:tab w:val="left" w:pos="6274"/>
        <w:tab w:val="left" w:pos="6585"/>
        <w:tab w:val="left" w:pos="7515"/>
        <w:tab w:val="left" w:pos="8370"/>
      </w:tabs>
      <w:jc w:val="left"/>
    </w:pPr>
    <w:r>
      <w:tab/>
    </w:r>
    <w:r>
      <w:tab/>
      <w:t xml:space="preserve"> </w:t>
    </w:r>
    <w:r>
      <w:tab/>
    </w:r>
    <w:r>
      <w:tab/>
    </w:r>
    <w:r>
      <w:tab/>
    </w:r>
    <w:r>
      <w:tab/>
    </w:r>
    <w: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77184" behindDoc="1" locked="0" layoutInCell="1" allowOverlap="0" wp14:anchorId="278D080A" wp14:editId="687A1E1B">
          <wp:simplePos x="0" y="0"/>
          <wp:positionH relativeFrom="column">
            <wp:posOffset>7170420</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43"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73</w:t>
    </w:r>
    <w:r>
      <w:fldChar w:fldCharType="end"/>
    </w:r>
  </w:p>
  <w:p w:rsidR="008B53A9" w:rsidRDefault="008B53A9"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74112" behindDoc="1" locked="0" layoutInCell="1" allowOverlap="0" wp14:anchorId="1B521243" wp14:editId="36935408">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4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103</w:t>
    </w:r>
    <w:r>
      <w:fldChar w:fldCharType="end"/>
    </w:r>
  </w:p>
  <w:p w:rsidR="008B53A9" w:rsidRDefault="008B53A9"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83328" behindDoc="1" locked="0" layoutInCell="1" allowOverlap="0" wp14:anchorId="069D873F" wp14:editId="645A34D5">
          <wp:simplePos x="0" y="0"/>
          <wp:positionH relativeFrom="column">
            <wp:posOffset>7127875</wp:posOffset>
          </wp:positionH>
          <wp:positionV relativeFrom="page">
            <wp:posOffset>6762115</wp:posOffset>
          </wp:positionV>
          <wp:extent cx="1846580" cy="359410"/>
          <wp:effectExtent l="0" t="0" r="1270" b="2540"/>
          <wp:wrapTight wrapText="bothSides">
            <wp:wrapPolygon edited="0">
              <wp:start x="0" y="0"/>
              <wp:lineTo x="0" y="20608"/>
              <wp:lineTo x="21392" y="20608"/>
              <wp:lineTo x="21392" y="0"/>
              <wp:lineTo x="0" y="0"/>
            </wp:wrapPolygon>
          </wp:wrapTight>
          <wp:docPr id="3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104</w:t>
    </w:r>
    <w:r>
      <w:fldChar w:fldCharType="end"/>
    </w:r>
  </w:p>
  <w:p w:rsidR="008B53A9" w:rsidRDefault="008B53A9"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82304" behindDoc="1" locked="0" layoutInCell="1" allowOverlap="0" wp14:anchorId="73012E45" wp14:editId="0F59039B">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3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116</w:t>
    </w:r>
    <w:r>
      <w:fldChar w:fldCharType="end"/>
    </w:r>
  </w:p>
  <w:p w:rsidR="008B53A9" w:rsidRDefault="008B53A9"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89472" behindDoc="1" locked="0" layoutInCell="1" allowOverlap="0" wp14:anchorId="06EA32F5" wp14:editId="61B1900F">
          <wp:simplePos x="0" y="0"/>
          <wp:positionH relativeFrom="column">
            <wp:posOffset>7127875</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31"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117</w:t>
    </w:r>
    <w:r>
      <w:fldChar w:fldCharType="end"/>
    </w:r>
  </w:p>
  <w:p w:rsidR="008B53A9" w:rsidRDefault="008B53A9"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88448" behindDoc="1" locked="0" layoutInCell="1" allowOverlap="0" wp14:anchorId="2ED55366" wp14:editId="48ED2F25">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2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125</w:t>
    </w:r>
    <w:r>
      <w:fldChar w:fldCharType="end"/>
    </w:r>
  </w:p>
  <w:p w:rsidR="008B53A9" w:rsidRDefault="008B53A9"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49536" behindDoc="1" locked="0" layoutInCell="1" allowOverlap="0" wp14:anchorId="0B583C6A" wp14:editId="53125878">
          <wp:simplePos x="0" y="0"/>
          <wp:positionH relativeFrom="column">
            <wp:posOffset>7132955</wp:posOffset>
          </wp:positionH>
          <wp:positionV relativeFrom="page">
            <wp:posOffset>6753860</wp:posOffset>
          </wp:positionV>
          <wp:extent cx="1846580" cy="359410"/>
          <wp:effectExtent l="0" t="0" r="1270" b="2540"/>
          <wp:wrapTight wrapText="bothSides">
            <wp:wrapPolygon edited="0">
              <wp:start x="0" y="0"/>
              <wp:lineTo x="0" y="20608"/>
              <wp:lineTo x="21392" y="20608"/>
              <wp:lineTo x="21392" y="0"/>
              <wp:lineTo x="0" y="0"/>
            </wp:wrapPolygon>
          </wp:wrapTight>
          <wp:docPr id="2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128</w:t>
    </w:r>
    <w:r>
      <w:fldChar w:fldCharType="end"/>
    </w:r>
  </w:p>
  <w:p w:rsidR="008B53A9" w:rsidRDefault="008B53A9"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926525">
    <w:pPr>
      <w:pStyle w:val="Zpat"/>
      <w:tabs>
        <w:tab w:val="clear" w:pos="9072"/>
      </w:tabs>
      <w:jc w:val="right"/>
    </w:pPr>
    <w:r>
      <w:rPr>
        <w:noProof/>
        <w:lang w:val="cs-CZ" w:eastAsia="cs-CZ"/>
      </w:rPr>
      <w:drawing>
        <wp:anchor distT="0" distB="0" distL="114300" distR="114300" simplePos="0" relativeHeight="251655680" behindDoc="1" locked="0" layoutInCell="1" allowOverlap="1" wp14:anchorId="7355027A" wp14:editId="1F4D02AD">
          <wp:simplePos x="0" y="0"/>
          <wp:positionH relativeFrom="column">
            <wp:posOffset>7133590</wp:posOffset>
          </wp:positionH>
          <wp:positionV relativeFrom="paragraph">
            <wp:posOffset>36195</wp:posOffset>
          </wp:positionV>
          <wp:extent cx="1847850" cy="358775"/>
          <wp:effectExtent l="0" t="0" r="0" b="3175"/>
          <wp:wrapTight wrapText="bothSides">
            <wp:wrapPolygon edited="0">
              <wp:start x="0" y="0"/>
              <wp:lineTo x="0" y="20644"/>
              <wp:lineTo x="21377" y="20644"/>
              <wp:lineTo x="21377" y="0"/>
              <wp:lineTo x="0" y="0"/>
            </wp:wrapPolygon>
          </wp:wrapTight>
          <wp:docPr id="22"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358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t xml:space="preserve">   </w:t>
    </w:r>
    <w:r>
      <w:fldChar w:fldCharType="begin"/>
    </w:r>
    <w:r>
      <w:instrText>PAGE   \* MERGEFORMAT</w:instrText>
    </w:r>
    <w:r>
      <w:fldChar w:fldCharType="separate"/>
    </w:r>
    <w:r w:rsidR="00597751">
      <w:rPr>
        <w:noProof/>
      </w:rPr>
      <w:t>126</w:t>
    </w:r>
    <w:r>
      <w:fldChar w:fldCharType="end"/>
    </w:r>
  </w:p>
  <w:p w:rsidR="008B53A9" w:rsidRDefault="008B53A9" w:rsidP="0022503D">
    <w:pPr>
      <w:pStyle w:val="Zpat"/>
      <w:jc w:val="righ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50560" behindDoc="1" locked="0" layoutInCell="1" allowOverlap="0" wp14:anchorId="3A03103E" wp14:editId="2292EA8D">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19"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147</w:t>
    </w:r>
    <w:r>
      <w:fldChar w:fldCharType="end"/>
    </w:r>
  </w:p>
  <w:p w:rsidR="008B53A9" w:rsidRDefault="008B53A9"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48512" behindDoc="1" locked="0" layoutInCell="1" allowOverlap="0" wp14:anchorId="72BE3E5B" wp14:editId="076B2119">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16"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150</w:t>
    </w:r>
    <w:r>
      <w:fldChar w:fldCharType="end"/>
    </w:r>
  </w:p>
  <w:p w:rsidR="008B53A9" w:rsidRDefault="008B53A9"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Pr="008B53A9" w:rsidRDefault="008B53A9" w:rsidP="00994365">
    <w:pPr>
      <w:pStyle w:val="Zpat"/>
      <w:jc w:val="center"/>
      <w:rPr>
        <w:sz w:val="20"/>
      </w:rPr>
    </w:pPr>
    <w:r w:rsidRPr="008B53A9">
      <w:rPr>
        <w:sz w:val="20"/>
      </w:rPr>
      <w:t>OP PIK_verze 7-</w:t>
    </w:r>
    <w:r w:rsidRPr="008B53A9">
      <w:rPr>
        <w:sz w:val="20"/>
        <w:lang w:val="cs-CZ"/>
      </w:rPr>
      <w:t>3</w:t>
    </w:r>
    <w:r w:rsidRPr="008B53A9">
      <w:rPr>
        <w:sz w:val="20"/>
      </w:rPr>
      <w:t>_vláda_</w:t>
    </w:r>
    <w:r w:rsidRPr="008B53A9">
      <w:rPr>
        <w:sz w:val="20"/>
        <w:lang w:val="cs-CZ"/>
      </w:rPr>
      <w:t>0</w:t>
    </w:r>
    <w:r w:rsidRPr="008B53A9">
      <w:rPr>
        <w:sz w:val="20"/>
      </w:rPr>
      <w:t xml:space="preserve">6-2014 </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45440" behindDoc="1" locked="0" layoutInCell="1" allowOverlap="0" wp14:anchorId="28DDDF3B" wp14:editId="62C9AEF3">
          <wp:simplePos x="0" y="0"/>
          <wp:positionH relativeFrom="column">
            <wp:posOffset>7141845</wp:posOffset>
          </wp:positionH>
          <wp:positionV relativeFrom="page">
            <wp:posOffset>6759575</wp:posOffset>
          </wp:positionV>
          <wp:extent cx="1846580" cy="359410"/>
          <wp:effectExtent l="0" t="0" r="1270" b="2540"/>
          <wp:wrapTight wrapText="bothSides">
            <wp:wrapPolygon edited="0">
              <wp:start x="0" y="0"/>
              <wp:lineTo x="0" y="20608"/>
              <wp:lineTo x="21392" y="20608"/>
              <wp:lineTo x="21392" y="0"/>
              <wp:lineTo x="0" y="0"/>
            </wp:wrapPolygon>
          </wp:wrapTight>
          <wp:docPr id="13"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196</w:t>
    </w:r>
    <w:r>
      <w:fldChar w:fldCharType="end"/>
    </w:r>
  </w:p>
  <w:p w:rsidR="008B53A9" w:rsidRDefault="008B53A9" w:rsidP="00305C77">
    <w:pPr>
      <w:pStyle w:val="Zpat"/>
      <w:tabs>
        <w:tab w:val="left" w:pos="6274"/>
        <w:tab w:val="left" w:pos="6585"/>
        <w:tab w:val="left" w:pos="7515"/>
        <w:tab w:val="left" w:pos="7719"/>
        <w:tab w:val="left" w:pos="8370"/>
      </w:tabs>
      <w:jc w:val="left"/>
    </w:pPr>
    <w:r>
      <w:tab/>
    </w:r>
    <w:r>
      <w:tab/>
      <w:t xml:space="preserve"> </w:t>
    </w:r>
    <w:r>
      <w:tab/>
    </w:r>
    <w:r>
      <w:tab/>
    </w:r>
    <w:r>
      <w:tab/>
    </w:r>
    <w:r>
      <w:tab/>
    </w:r>
    <w:r>
      <w:tab/>
    </w:r>
    <w:r>
      <w:tab/>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44416" behindDoc="1" locked="0" layoutInCell="1" allowOverlap="0" wp14:anchorId="2BB2B374" wp14:editId="019B381F">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1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208</w:t>
    </w:r>
    <w:r>
      <w:fldChar w:fldCharType="end"/>
    </w:r>
  </w:p>
  <w:p w:rsidR="008B53A9" w:rsidRDefault="008B53A9" w:rsidP="00305C77">
    <w:pPr>
      <w:pStyle w:val="Zpat"/>
      <w:tabs>
        <w:tab w:val="left" w:pos="6274"/>
        <w:tab w:val="left" w:pos="6585"/>
        <w:tab w:val="left" w:pos="7515"/>
        <w:tab w:val="left" w:pos="7719"/>
        <w:tab w:val="left" w:pos="8370"/>
      </w:tabs>
      <w:jc w:val="lef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61824" behindDoc="1" locked="0" layoutInCell="1" allowOverlap="0" wp14:anchorId="070CAF38" wp14:editId="0CAA9B63">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7"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244</w:t>
    </w:r>
    <w:r>
      <w:fldChar w:fldCharType="end"/>
    </w:r>
  </w:p>
  <w:p w:rsidR="008B53A9" w:rsidRDefault="008B53A9" w:rsidP="00FA5EE8">
    <w:pPr>
      <w:pStyle w:val="Zpat"/>
      <w:tabs>
        <w:tab w:val="clear" w:pos="9072"/>
      </w:tabs>
      <w:jc w:val="right"/>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66944" behindDoc="1" locked="0" layoutInCell="1" allowOverlap="0">
          <wp:simplePos x="0" y="0"/>
          <wp:positionH relativeFrom="column">
            <wp:posOffset>7183755</wp:posOffset>
          </wp:positionH>
          <wp:positionV relativeFrom="page">
            <wp:posOffset>6751320</wp:posOffset>
          </wp:positionV>
          <wp:extent cx="1846580" cy="359410"/>
          <wp:effectExtent l="0" t="0" r="1270" b="2540"/>
          <wp:wrapTight wrapText="bothSides">
            <wp:wrapPolygon edited="0">
              <wp:start x="0" y="0"/>
              <wp:lineTo x="0" y="20608"/>
              <wp:lineTo x="21392" y="20608"/>
              <wp:lineTo x="21392" y="0"/>
              <wp:lineTo x="0" y="0"/>
            </wp:wrapPolygon>
          </wp:wrapTight>
          <wp:docPr id="4"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288</w:t>
    </w:r>
    <w:r>
      <w:fldChar w:fldCharType="end"/>
    </w:r>
  </w:p>
  <w:p w:rsidR="008B53A9" w:rsidRDefault="008B53A9" w:rsidP="00305C77">
    <w:pPr>
      <w:pStyle w:val="Zpat"/>
      <w:tabs>
        <w:tab w:val="left" w:pos="6274"/>
        <w:tab w:val="left" w:pos="6585"/>
        <w:tab w:val="left" w:pos="7515"/>
        <w:tab w:val="left" w:pos="7719"/>
        <w:tab w:val="left" w:pos="8370"/>
      </w:tabs>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34176" behindDoc="1" locked="0" layoutInCell="1" allowOverlap="0" wp14:anchorId="61D0A9C6" wp14:editId="1D0DF017">
          <wp:simplePos x="0" y="0"/>
          <wp:positionH relativeFrom="column">
            <wp:posOffset>4017645</wp:posOffset>
          </wp:positionH>
          <wp:positionV relativeFrom="page">
            <wp:posOffset>9885680</wp:posOffset>
          </wp:positionV>
          <wp:extent cx="1846580" cy="359410"/>
          <wp:effectExtent l="0" t="0" r="1270" b="2540"/>
          <wp:wrapTight wrapText="bothSides">
            <wp:wrapPolygon edited="0">
              <wp:start x="0" y="0"/>
              <wp:lineTo x="0" y="20608"/>
              <wp:lineTo x="21392" y="20608"/>
              <wp:lineTo x="21392" y="0"/>
              <wp:lineTo x="0" y="0"/>
            </wp:wrapPolygon>
          </wp:wrapTight>
          <wp:docPr id="64"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6</w:t>
    </w:r>
    <w:r>
      <w:fldChar w:fldCharType="end"/>
    </w:r>
  </w:p>
  <w:p w:rsidR="008B53A9" w:rsidRDefault="008B53A9"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39296" behindDoc="1" locked="0" layoutInCell="1" allowOverlap="0" wp14:anchorId="26E987BE" wp14:editId="68095086">
          <wp:simplePos x="0" y="0"/>
          <wp:positionH relativeFrom="column">
            <wp:posOffset>7149465</wp:posOffset>
          </wp:positionH>
          <wp:positionV relativeFrom="page">
            <wp:posOffset>6761480</wp:posOffset>
          </wp:positionV>
          <wp:extent cx="1846580" cy="359410"/>
          <wp:effectExtent l="0" t="0" r="1270" b="2540"/>
          <wp:wrapTight wrapText="bothSides">
            <wp:wrapPolygon edited="0">
              <wp:start x="0" y="0"/>
              <wp:lineTo x="0" y="20608"/>
              <wp:lineTo x="21392" y="20608"/>
              <wp:lineTo x="21392" y="0"/>
              <wp:lineTo x="0" y="0"/>
            </wp:wrapPolygon>
          </wp:wrapTight>
          <wp:docPr id="61"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35</w:t>
    </w:r>
    <w:r>
      <w:fldChar w:fldCharType="end"/>
    </w:r>
  </w:p>
  <w:p w:rsidR="008B53A9" w:rsidRDefault="008B53A9"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36224" behindDoc="1" locked="0" layoutInCell="1" allowOverlap="0" wp14:anchorId="2111A142" wp14:editId="3C642756">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5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37</w:t>
    </w:r>
    <w:r>
      <w:fldChar w:fldCharType="end"/>
    </w:r>
  </w:p>
  <w:p w:rsidR="008B53A9" w:rsidRDefault="008B53A9"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35200" behindDoc="1" locked="0" layoutInCell="1" allowOverlap="0" wp14:anchorId="6489F0D1" wp14:editId="1AE86E80">
          <wp:simplePos x="0" y="0"/>
          <wp:positionH relativeFrom="column">
            <wp:posOffset>7149465</wp:posOffset>
          </wp:positionH>
          <wp:positionV relativeFrom="page">
            <wp:posOffset>6761480</wp:posOffset>
          </wp:positionV>
          <wp:extent cx="1846580" cy="359410"/>
          <wp:effectExtent l="0" t="0" r="1270" b="2540"/>
          <wp:wrapTight wrapText="bothSides">
            <wp:wrapPolygon edited="0">
              <wp:start x="0" y="0"/>
              <wp:lineTo x="0" y="20608"/>
              <wp:lineTo x="21392" y="20608"/>
              <wp:lineTo x="21392" y="0"/>
              <wp:lineTo x="0" y="0"/>
            </wp:wrapPolygon>
          </wp:wrapTight>
          <wp:docPr id="55"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41</w:t>
    </w:r>
    <w:r>
      <w:fldChar w:fldCharType="end"/>
    </w:r>
  </w:p>
  <w:p w:rsidR="008B53A9" w:rsidRDefault="008B53A9" w:rsidP="00FA5EE8">
    <w:pPr>
      <w:pStyle w:val="Zpat"/>
      <w:tabs>
        <w:tab w:val="left" w:pos="6274"/>
        <w:tab w:val="left" w:pos="6585"/>
        <w:tab w:val="left" w:pos="7515"/>
        <w:tab w:val="left" w:pos="7719"/>
        <w:tab w:val="left" w:pos="8370"/>
        <w:tab w:val="left" w:pos="9204"/>
        <w:tab w:val="left" w:pos="11475"/>
      </w:tabs>
      <w:jc w:val="left"/>
    </w:pPr>
    <w:r>
      <w:tab/>
    </w:r>
    <w:r>
      <w:tab/>
      <w:t xml:space="preserve"> </w:t>
    </w:r>
    <w:r>
      <w:tab/>
    </w:r>
    <w:r>
      <w:tab/>
    </w:r>
    <w:r>
      <w:tab/>
    </w:r>
    <w:r>
      <w:tab/>
    </w:r>
    <w:r>
      <w:tab/>
    </w:r>
    <w:r>
      <w:tab/>
    </w: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60800" behindDoc="1" locked="0" layoutInCell="1" allowOverlap="0" wp14:anchorId="40F23025" wp14:editId="262DC4DF">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52"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53</w:t>
    </w:r>
    <w:r>
      <w:fldChar w:fldCharType="end"/>
    </w:r>
  </w:p>
  <w:p w:rsidR="008B53A9" w:rsidRDefault="008B53A9"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67968" behindDoc="1" locked="0" layoutInCell="1" allowOverlap="0" wp14:anchorId="2DE00C27" wp14:editId="073EFA74">
          <wp:simplePos x="0" y="0"/>
          <wp:positionH relativeFrom="column">
            <wp:posOffset>7159625</wp:posOffset>
          </wp:positionH>
          <wp:positionV relativeFrom="page">
            <wp:posOffset>6741160</wp:posOffset>
          </wp:positionV>
          <wp:extent cx="1846580" cy="359410"/>
          <wp:effectExtent l="0" t="0" r="1270" b="2540"/>
          <wp:wrapTight wrapText="bothSides">
            <wp:wrapPolygon edited="0">
              <wp:start x="0" y="0"/>
              <wp:lineTo x="0" y="20608"/>
              <wp:lineTo x="21392" y="20608"/>
              <wp:lineTo x="21392" y="0"/>
              <wp:lineTo x="0" y="0"/>
            </wp:wrapPolygon>
          </wp:wrapTight>
          <wp:docPr id="9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56</w:t>
    </w:r>
    <w:r>
      <w:fldChar w:fldCharType="end"/>
    </w:r>
  </w:p>
  <w:p w:rsidR="008B53A9" w:rsidRDefault="008B53A9"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FA5EE8">
    <w:pPr>
      <w:pStyle w:val="Zpat"/>
      <w:tabs>
        <w:tab w:val="clear" w:pos="9072"/>
      </w:tabs>
      <w:jc w:val="right"/>
    </w:pPr>
    <w:r>
      <w:rPr>
        <w:noProof/>
        <w:lang w:val="cs-CZ" w:eastAsia="cs-CZ"/>
      </w:rPr>
      <w:drawing>
        <wp:anchor distT="0" distB="0" distL="114300" distR="114300" simplePos="0" relativeHeight="251668992" behindDoc="1" locked="0" layoutInCell="1" allowOverlap="0" wp14:anchorId="181F2E47" wp14:editId="7F3F1E20">
          <wp:simplePos x="0" y="0"/>
          <wp:positionH relativeFrom="column">
            <wp:posOffset>4012565</wp:posOffset>
          </wp:positionH>
          <wp:positionV relativeFrom="page">
            <wp:posOffset>9893935</wp:posOffset>
          </wp:positionV>
          <wp:extent cx="1846580" cy="359410"/>
          <wp:effectExtent l="0" t="0" r="1270" b="2540"/>
          <wp:wrapTight wrapText="bothSides">
            <wp:wrapPolygon edited="0">
              <wp:start x="0" y="0"/>
              <wp:lineTo x="0" y="20608"/>
              <wp:lineTo x="21392" y="20608"/>
              <wp:lineTo x="21392" y="0"/>
              <wp:lineTo x="0" y="0"/>
            </wp:wrapPolygon>
          </wp:wrapTight>
          <wp:docPr id="4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6580" cy="35941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597751">
      <w:rPr>
        <w:noProof/>
      </w:rPr>
      <w:t>72</w:t>
    </w:r>
    <w:r>
      <w:fldChar w:fldCharType="end"/>
    </w:r>
  </w:p>
  <w:p w:rsidR="008B53A9" w:rsidRDefault="008B53A9" w:rsidP="00133DC7">
    <w:pPr>
      <w:pStyle w:val="Zpat"/>
      <w:tabs>
        <w:tab w:val="left" w:pos="6274"/>
        <w:tab w:val="left" w:pos="6585"/>
        <w:tab w:val="left" w:pos="6760"/>
        <w:tab w:val="left" w:pos="7515"/>
        <w:tab w:val="left" w:pos="7719"/>
        <w:tab w:val="left" w:pos="8370"/>
      </w:tabs>
      <w:jc w:val="left"/>
    </w:pPr>
    <w:r>
      <w:tab/>
    </w:r>
    <w:r>
      <w:tab/>
      <w:t xml:space="preserve"> </w:t>
    </w:r>
    <w:r>
      <w:tab/>
    </w:r>
    <w:r>
      <w:tab/>
    </w:r>
    <w:r>
      <w:tab/>
    </w:r>
    <w:r>
      <w:tab/>
    </w:r>
    <w:r>
      <w:tab/>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53A9" w:rsidRDefault="008B53A9" w:rsidP="00F03E3C">
      <w:r>
        <w:separator/>
      </w:r>
    </w:p>
  </w:footnote>
  <w:footnote w:type="continuationSeparator" w:id="0">
    <w:p w:rsidR="008B53A9" w:rsidRDefault="008B53A9" w:rsidP="00F03E3C">
      <w:r>
        <w:continuationSeparator/>
      </w:r>
    </w:p>
  </w:footnote>
  <w:footnote w:type="continuationNotice" w:id="1">
    <w:p w:rsidR="008B53A9" w:rsidRDefault="008B53A9"/>
  </w:footnote>
  <w:footnote w:id="2">
    <w:p w:rsidR="008B53A9" w:rsidRPr="008B53A9" w:rsidRDefault="008B53A9" w:rsidP="000D4E8C">
      <w:pPr>
        <w:pStyle w:val="Poznmkapodarou"/>
      </w:pPr>
      <w:r w:rsidRPr="008B53A9">
        <w:rPr>
          <w:rStyle w:val="Znakapoznpodarou"/>
        </w:rPr>
        <w:footnoteRef/>
      </w:r>
      <w:r w:rsidRPr="008B53A9">
        <w:t xml:space="preserve">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footnote>
  <w:footnote w:id="3">
    <w:p w:rsidR="008B53A9" w:rsidRPr="008B53A9" w:rsidRDefault="008B53A9" w:rsidP="000C5A23">
      <w:pPr>
        <w:pStyle w:val="Poznmkapodarou"/>
      </w:pPr>
      <w:r w:rsidRPr="008B53A9">
        <w:rPr>
          <w:rStyle w:val="Znakapoznpodarou"/>
        </w:rPr>
        <w:footnoteRef/>
      </w:r>
      <w:r w:rsidRPr="008B53A9">
        <w:t xml:space="preserve"> Prováděcí nařízení Komise (EU) č. 288/2014 ze dne 25. února 2014.</w:t>
      </w:r>
    </w:p>
  </w:footnote>
  <w:footnote w:id="4">
    <w:p w:rsidR="008B53A9" w:rsidRPr="008B53A9" w:rsidRDefault="008B53A9" w:rsidP="007A0BCD">
      <w:pPr>
        <w:pStyle w:val="Poznmkapodarou"/>
      </w:pPr>
      <w:r w:rsidRPr="008B53A9">
        <w:rPr>
          <w:rStyle w:val="Znakapoznpodarou"/>
        </w:rPr>
        <w:footnoteRef/>
      </w:r>
      <w:r w:rsidRPr="008B53A9">
        <w:t xml:space="preserve"> KOM (2010) 2020 ze dne 3. března 2010.</w:t>
      </w:r>
    </w:p>
  </w:footnote>
  <w:footnote w:id="5">
    <w:p w:rsidR="008B53A9" w:rsidRPr="008B53A9" w:rsidRDefault="008B53A9" w:rsidP="00DF7DA8">
      <w:pPr>
        <w:pStyle w:val="Poznmkapodarou"/>
      </w:pPr>
      <w:r w:rsidRPr="008B53A9">
        <w:rPr>
          <w:rStyle w:val="Znakapoznpodarou"/>
        </w:rPr>
        <w:footnoteRef/>
      </w:r>
      <w:r w:rsidRPr="008B53A9">
        <w:t xml:space="preserve"> Nařízení Evropského parlamentu a Rady (EU) č. 1301/2013 ze dne 17. prosince 2013 o Evropském fondu pro regionální rozvoj, o zvláštních ustanoveních týkajících se cíle Investice pro růst a zaměstnanost a o zrušení nařízení (ES) č. 1080/2006.</w:t>
      </w:r>
    </w:p>
  </w:footnote>
  <w:footnote w:id="6">
    <w:p w:rsidR="008B53A9" w:rsidRPr="008B53A9" w:rsidRDefault="008B53A9" w:rsidP="00501DC8">
      <w:pPr>
        <w:pStyle w:val="Poznmkapodarou"/>
      </w:pPr>
      <w:r w:rsidRPr="008B53A9">
        <w:rPr>
          <w:rStyle w:val="Znakapoznpodarou"/>
        </w:rPr>
        <w:footnoteRef/>
      </w:r>
      <w:r w:rsidRPr="008B53A9">
        <w:t xml:space="preserve"> Ref. Ares(2012)1283741 - 30/10/2012: Position of the Commission Services on the Development of Partnership Agreement and Programmes in the CZECH REPUBLIC for the period 2014 – 2020.</w:t>
      </w:r>
    </w:p>
  </w:footnote>
  <w:footnote w:id="7">
    <w:p w:rsidR="008B53A9" w:rsidRPr="008B53A9" w:rsidRDefault="008B53A9" w:rsidP="00F734D1">
      <w:pPr>
        <w:pStyle w:val="Poznmkapodarou"/>
      </w:pPr>
      <w:r w:rsidRPr="008B53A9">
        <w:rPr>
          <w:rStyle w:val="Znakapoznpodarou"/>
        </w:rPr>
        <w:footnoteRef/>
      </w:r>
      <w:r w:rsidRPr="008B53A9">
        <w:t xml:space="preserve"> Zhodnocení zkušeností z programovacího období 2007-2013 a jejich návaznosti v programovacím období 2014-2020 z hlediska věcného zaměření intervencí je obsaženo v Nepovinné příloze č. 1.</w:t>
      </w:r>
    </w:p>
  </w:footnote>
  <w:footnote w:id="8">
    <w:p w:rsidR="008B53A9" w:rsidRPr="008B53A9" w:rsidRDefault="008B53A9" w:rsidP="00BD3D1A">
      <w:pPr>
        <w:pStyle w:val="Poznmkapodarou"/>
      </w:pPr>
      <w:r w:rsidRPr="008B53A9">
        <w:rPr>
          <w:rStyle w:val="Znakapoznpodarou"/>
        </w:rPr>
        <w:footnoteRef/>
      </w:r>
      <w:r w:rsidRPr="008B53A9">
        <w:t xml:space="preserve"> Tato verze programového dokumentu OP PIK obsahuje v Příloze č. I Závěrečnou zprávu, včetně shrnutí, ex-ante hodnocení programu v souladu s čl. 55 bodem 2 obecného nařízení.   </w:t>
      </w:r>
    </w:p>
  </w:footnote>
  <w:footnote w:id="9">
    <w:p w:rsidR="008B53A9" w:rsidRPr="008B53A9" w:rsidRDefault="008B53A9" w:rsidP="00E2669C">
      <w:pPr>
        <w:pStyle w:val="Poznmkapodarou"/>
      </w:pPr>
      <w:r w:rsidRPr="008B53A9">
        <w:rPr>
          <w:rStyle w:val="Znakapoznpodarou"/>
        </w:rPr>
        <w:footnoteRef/>
      </w:r>
      <w:r w:rsidRPr="008B53A9">
        <w:t xml:space="preserve"> Nařízení o EFRR, čl. 3.</w:t>
      </w:r>
    </w:p>
  </w:footnote>
  <w:footnote w:id="10">
    <w:p w:rsidR="008B53A9" w:rsidRPr="008B53A9" w:rsidRDefault="008B53A9" w:rsidP="00120476">
      <w:pPr>
        <w:pStyle w:val="Poznmkapodarou"/>
      </w:pPr>
      <w:r w:rsidRPr="008B53A9">
        <w:rPr>
          <w:rStyle w:val="Znakapoznpodarou"/>
        </w:rPr>
        <w:footnoteRef/>
      </w:r>
      <w:r w:rsidRPr="008B53A9">
        <w:t xml:space="preserve"> Podíl podpory přiznané velkým podnikům v rámci OP PIK bude sledován v rámci monitoringu ve vazbě na relevantní kódy intervencí, viz oddíl 2 programového dokumentu.</w:t>
      </w:r>
    </w:p>
  </w:footnote>
  <w:footnote w:id="11">
    <w:p w:rsidR="008B53A9" w:rsidRPr="008B53A9" w:rsidRDefault="008B53A9" w:rsidP="00120476">
      <w:pPr>
        <w:pStyle w:val="Poznmkapodarou"/>
      </w:pPr>
      <w:r w:rsidRPr="008B53A9">
        <w:rPr>
          <w:rStyle w:val="Znakapoznpodarou"/>
        </w:rPr>
        <w:footnoteRef/>
      </w:r>
      <w:r w:rsidRPr="008B53A9">
        <w:t xml:space="preserve"> V úrovních 0 až cca 3 podle Klasifikace řádů inovací z hlediska přínosu užitných hodnot.</w:t>
      </w:r>
    </w:p>
  </w:footnote>
  <w:footnote w:id="12">
    <w:p w:rsidR="008B53A9" w:rsidRPr="008B53A9" w:rsidRDefault="008B53A9" w:rsidP="00F41111">
      <w:pPr>
        <w:pStyle w:val="Poznmkapodarou"/>
      </w:pPr>
      <w:r w:rsidRPr="008B53A9">
        <w:rPr>
          <w:rStyle w:val="Znakapoznpodarou"/>
        </w:rPr>
        <w:footnoteRef/>
      </w:r>
      <w:r w:rsidRPr="008B53A9">
        <w:t xml:space="preserve"> Evropský fond pro regionální rozvoj (EFRR), Evropský sociální fond (ESF), Fond soudržnosti (FS), Evropský zemědělský fondu pro rozvoj venkova (EZFRV) a Evropský námořní a rybářské fond (EMFF).</w:t>
      </w:r>
    </w:p>
  </w:footnote>
  <w:footnote w:id="13">
    <w:p w:rsidR="008B53A9" w:rsidRPr="008B53A9" w:rsidRDefault="008B53A9" w:rsidP="00760F8F">
      <w:pPr>
        <w:pStyle w:val="Poznmkapodarou"/>
      </w:pPr>
      <w:r w:rsidRPr="008B53A9">
        <w:rPr>
          <w:rStyle w:val="Znakapoznpodarou"/>
        </w:rPr>
        <w:footnoteRef/>
      </w:r>
      <w:r w:rsidRPr="008B53A9">
        <w:t xml:space="preserve"> Usnesení vládního Výboru pro Evropskou unii ze dne 16. dubna 2014 č. 10.</w:t>
      </w:r>
    </w:p>
  </w:footnote>
  <w:footnote w:id="14">
    <w:p w:rsidR="008B53A9" w:rsidRPr="008B53A9" w:rsidRDefault="008B53A9" w:rsidP="008A0C51">
      <w:pPr>
        <w:pStyle w:val="Poznmkapodarou"/>
        <w:rPr>
          <w:lang w:val="cs-CZ"/>
        </w:rPr>
      </w:pPr>
      <w:r w:rsidRPr="008B53A9">
        <w:rPr>
          <w:rStyle w:val="Znakapoznpodarou"/>
        </w:rPr>
        <w:footnoteRef/>
      </w:r>
      <w:r w:rsidRPr="008B53A9">
        <w:t xml:space="preserve"> Doporučení Rady k Národnímu programu reforem ČR pro rok 2014 nebyla v době finalizace </w:t>
      </w:r>
      <w:r w:rsidRPr="008B53A9">
        <w:rPr>
          <w:lang w:val="cs-CZ"/>
        </w:rPr>
        <w:t>programového dokumentu</w:t>
      </w:r>
      <w:r w:rsidRPr="008B53A9">
        <w:t xml:space="preserve"> OP PIK ještě schválena. </w:t>
      </w:r>
    </w:p>
  </w:footnote>
  <w:footnote w:id="15">
    <w:p w:rsidR="008B53A9" w:rsidRPr="008B53A9" w:rsidRDefault="008B53A9" w:rsidP="0049441C">
      <w:pPr>
        <w:pStyle w:val="Poznmkapodarou"/>
      </w:pPr>
      <w:r w:rsidRPr="008B53A9">
        <w:rPr>
          <w:rStyle w:val="Znakapoznpodarou"/>
        </w:rPr>
        <w:footnoteRef/>
      </w:r>
      <w:r w:rsidRPr="008B53A9">
        <w:t xml:space="preserve"> Existence RIS3 je zároveň jednou z tzv. tematických předběžných podmínek.</w:t>
      </w:r>
    </w:p>
  </w:footnote>
  <w:footnote w:id="16">
    <w:p w:rsidR="008B53A9" w:rsidRPr="008B53A9" w:rsidRDefault="008B53A9" w:rsidP="00FE0B02">
      <w:pPr>
        <w:pStyle w:val="Poznmkapodarou"/>
      </w:pPr>
      <w:r w:rsidRPr="008B53A9">
        <w:rPr>
          <w:rStyle w:val="Znakapoznpodarou"/>
        </w:rPr>
        <w:footnoteRef/>
      </w:r>
      <w:r w:rsidRPr="008B53A9">
        <w:t xml:space="preserve"> Podpora VaVaI z výdajů státního rozpočtu ČR podle zákona č. 130/2002 Sb., resp. dle § 3. odst. 3, písm. c) tohoto zákona. </w:t>
      </w:r>
    </w:p>
  </w:footnote>
  <w:footnote w:id="17">
    <w:p w:rsidR="008B53A9" w:rsidRPr="008B53A9" w:rsidRDefault="008B53A9" w:rsidP="00097D48">
      <w:pPr>
        <w:pStyle w:val="Poznmkapodarou"/>
      </w:pPr>
      <w:r w:rsidRPr="008B53A9">
        <w:rPr>
          <w:rStyle w:val="Znakapoznpodarou"/>
        </w:rPr>
        <w:footnoteRef/>
      </w:r>
      <w:r w:rsidRPr="008B53A9">
        <w:t xml:space="preserve"> Usnesení vládního Výboru pro Evropskou unii ze dne 3. května 2010 č. 14.</w:t>
      </w:r>
    </w:p>
  </w:footnote>
  <w:footnote w:id="18">
    <w:p w:rsidR="008B53A9" w:rsidRPr="008B53A9" w:rsidRDefault="008B53A9" w:rsidP="00645E52">
      <w:pPr>
        <w:pStyle w:val="Poznmkapodarou"/>
      </w:pPr>
      <w:r w:rsidRPr="008B53A9">
        <w:rPr>
          <w:rStyle w:val="Znakapoznpodarou"/>
        </w:rPr>
        <w:footnoteRef/>
      </w:r>
      <w:r w:rsidRPr="008B53A9">
        <w:t xml:space="preserve"> COM(2013) 108 final.</w:t>
      </w:r>
    </w:p>
  </w:footnote>
  <w:footnote w:id="19">
    <w:p w:rsidR="008B53A9" w:rsidRPr="008B53A9" w:rsidRDefault="008B53A9" w:rsidP="00645E52">
      <w:pPr>
        <w:pStyle w:val="Poznmkapodarou"/>
      </w:pPr>
      <w:r w:rsidRPr="008B53A9">
        <w:rPr>
          <w:rStyle w:val="Znakapoznpodarou"/>
        </w:rPr>
        <w:footnoteRef/>
      </w:r>
      <w:r w:rsidRPr="008B53A9">
        <w:t xml:space="preserve"> COM(2012) 795 final, Akční plán podnikání 2020, Opětovné probuzení podnikatelského ducha v Evropě.</w:t>
      </w:r>
    </w:p>
  </w:footnote>
  <w:footnote w:id="20">
    <w:p w:rsidR="008B53A9" w:rsidRPr="008B53A9" w:rsidRDefault="008B53A9" w:rsidP="00FA22BB">
      <w:pPr>
        <w:pStyle w:val="Poznmkapodarou"/>
        <w:spacing w:after="120"/>
      </w:pPr>
      <w:r w:rsidRPr="008B53A9">
        <w:rPr>
          <w:rStyle w:val="Znakapoznpodarou"/>
        </w:rPr>
        <w:footnoteRef/>
      </w:r>
      <w:r w:rsidRPr="008B53A9">
        <w:t xml:space="preserve"> Analýza absorpční kapacity a návrh cílových hodnot indikátorů OP PIK 2014 – 2020“, HaskoningDHV Czech Republic, spol. s r.o. (únor 2014).</w:t>
      </w:r>
    </w:p>
  </w:footnote>
  <w:footnote w:id="21">
    <w:p w:rsidR="008B53A9" w:rsidRPr="008B53A9" w:rsidRDefault="008B53A9" w:rsidP="00FE0B02">
      <w:pPr>
        <w:pStyle w:val="Poznmkapodarou"/>
        <w:rPr>
          <w:lang w:val="cs-CZ"/>
        </w:rPr>
      </w:pPr>
      <w:r w:rsidRPr="008B53A9">
        <w:rPr>
          <w:rStyle w:val="Znakapoznpodarou"/>
        </w:rPr>
        <w:footnoteRef/>
      </w:r>
      <w:r w:rsidRPr="008B53A9">
        <w:t xml:space="preserve"> Doporučení Rady k Národnímu programu reforem ČR pro rok 2014 nebyla v době finalizace </w:t>
      </w:r>
      <w:r w:rsidRPr="008B53A9">
        <w:rPr>
          <w:lang w:val="cs-CZ"/>
        </w:rPr>
        <w:t>programového dokumentu</w:t>
      </w:r>
      <w:r w:rsidRPr="008B53A9">
        <w:t xml:space="preserve"> OP PIK ještě schválena. </w:t>
      </w:r>
    </w:p>
  </w:footnote>
  <w:footnote w:id="22">
    <w:p w:rsidR="008B53A9" w:rsidRPr="008B53A9" w:rsidRDefault="008B53A9">
      <w:pPr>
        <w:pStyle w:val="Textpoznpodarou"/>
      </w:pPr>
      <w:r w:rsidRPr="008B53A9">
        <w:rPr>
          <w:rStyle w:val="Znakapoznpodarou"/>
        </w:rPr>
        <w:footnoteRef/>
      </w:r>
      <w:r w:rsidRPr="008B53A9">
        <w:t xml:space="preserve"> Přístup Řídícího orgánu OP PIK k monitoringu je popsán v Nepovinné příloze č. 3. </w:t>
      </w:r>
    </w:p>
  </w:footnote>
  <w:footnote w:id="23">
    <w:p w:rsidR="008B53A9" w:rsidRPr="008B53A9" w:rsidRDefault="008B53A9" w:rsidP="007E6815">
      <w:pPr>
        <w:pStyle w:val="Poznmkapodarou"/>
      </w:pPr>
      <w:r w:rsidRPr="008B53A9">
        <w:rPr>
          <w:rStyle w:val="Znakapoznpodarou"/>
        </w:rPr>
        <w:footnoteRef/>
      </w:r>
      <w:r w:rsidRPr="008B53A9">
        <w:t xml:space="preserve"> V elektronickém systému SFC2014 je uvedena střední hodnota intervalu, tj. 0,88.</w:t>
      </w:r>
    </w:p>
  </w:footnote>
  <w:footnote w:id="24">
    <w:p w:rsidR="008B53A9" w:rsidRPr="008B53A9" w:rsidRDefault="008B53A9" w:rsidP="007E6815">
      <w:pPr>
        <w:pStyle w:val="Poznmkapodarou"/>
      </w:pPr>
      <w:r w:rsidRPr="008B53A9">
        <w:rPr>
          <w:rStyle w:val="Znakapoznpodarou"/>
        </w:rPr>
        <w:footnoteRef/>
      </w:r>
      <w:r w:rsidRPr="008B53A9">
        <w:t xml:space="preserve"> V elektronickém systému SFC2014 je uvedena střední hodnota intervalu, tj. 30,4.</w:t>
      </w:r>
    </w:p>
  </w:footnote>
  <w:footnote w:id="25">
    <w:p w:rsidR="008B53A9" w:rsidRPr="008B53A9" w:rsidRDefault="008B53A9" w:rsidP="007E6815">
      <w:pPr>
        <w:pStyle w:val="Poznmkapodarou"/>
        <w:rPr>
          <w:lang w:val="cs-CZ"/>
        </w:rPr>
      </w:pPr>
      <w:r w:rsidRPr="008B53A9">
        <w:rPr>
          <w:rStyle w:val="Znakapoznpodarou"/>
        </w:rPr>
        <w:footnoteRef/>
      </w:r>
      <w:r w:rsidRPr="008B53A9">
        <w:t xml:space="preserve"> V elektronickém systému SFC2014 je uvedena střední hodnota intervalu, tj.</w:t>
      </w:r>
      <w:r w:rsidRPr="008B53A9">
        <w:rPr>
          <w:lang w:val="cs-CZ"/>
        </w:rPr>
        <w:t xml:space="preserve"> 7.</w:t>
      </w:r>
    </w:p>
  </w:footnote>
  <w:footnote w:id="26">
    <w:p w:rsidR="008B53A9" w:rsidRPr="008B53A9" w:rsidRDefault="008B53A9" w:rsidP="00497C7C">
      <w:pPr>
        <w:pStyle w:val="Poznmkapodarou"/>
      </w:pPr>
      <w:r w:rsidRPr="008B53A9">
        <w:rPr>
          <w:rStyle w:val="Znakapoznpodarou"/>
        </w:rPr>
        <w:footnoteRef/>
      </w:r>
      <w:r w:rsidRPr="008B53A9">
        <w:t xml:space="preserve"> Inovací se rozumí implementace nového nebo signifikantně zlepšeného produktu/služby, procesu nebo nové organizační či marketingové metody, přičemž se musí jednat o produkty, procesy a metody, které jsou minimálně nové (či podstatně zlepšené) pro danou firmu. Inovace může vycházet z vlastních vývojových aktivit firmy, nebo může být převzata z jiné organizace.</w:t>
      </w:r>
    </w:p>
  </w:footnote>
  <w:footnote w:id="27">
    <w:p w:rsidR="008B53A9" w:rsidRPr="008B53A9" w:rsidRDefault="008B53A9" w:rsidP="00497C7C">
      <w:pPr>
        <w:pStyle w:val="Poznmkapodarou"/>
      </w:pPr>
      <w:r w:rsidRPr="008B53A9">
        <w:rPr>
          <w:rStyle w:val="Znakapoznpodarou"/>
        </w:rPr>
        <w:footnoteRef/>
      </w:r>
      <w:r w:rsidRPr="008B53A9">
        <w:t xml:space="preserve"> Ekoinovace je jakákoliv inovace, která generuje efekty žádoucí z hlediska ochrany životního prostředí. Ekoinovace lze vyvíjet a uplatňovat ve službách, technologiích, produktech a systémech řízení.</w:t>
      </w:r>
    </w:p>
  </w:footnote>
  <w:footnote w:id="28">
    <w:p w:rsidR="008B53A9" w:rsidRPr="008B53A9" w:rsidRDefault="008B53A9" w:rsidP="00497C7C">
      <w:pPr>
        <w:pStyle w:val="Textpoznpodarou"/>
      </w:pPr>
      <w:r w:rsidRPr="008B53A9">
        <w:rPr>
          <w:rStyle w:val="Znakapoznpodarou"/>
        </w:rPr>
        <w:footnoteRef/>
      </w:r>
      <w:r w:rsidRPr="008B53A9">
        <w:t xml:space="preserve"> „Příprava na budoucnost: vývoj společné strategie pro klíčové technologie v EU“ </w:t>
      </w:r>
      <w:r w:rsidRPr="008B53A9">
        <w:cr/>
        <w:t>http://eur-lex.europa.eu/legal-content/CS/TXT/PDF/?uri=CELEX:52009DC0512&amp;from=EN</w:t>
      </w:r>
    </w:p>
  </w:footnote>
  <w:footnote w:id="29">
    <w:p w:rsidR="008B53A9" w:rsidRPr="008B53A9" w:rsidRDefault="008B53A9" w:rsidP="00497C7C">
      <w:pPr>
        <w:pStyle w:val="Poznmkapodarou"/>
      </w:pPr>
      <w:r w:rsidRPr="008B53A9">
        <w:rPr>
          <w:rStyle w:val="Znakapoznpodarou"/>
        </w:rPr>
        <w:footnoteRef/>
      </w:r>
      <w:r w:rsidRPr="008B53A9">
        <w:t xml:space="preserve"> Přeshraniční síť Erasme např. umožňuje koordinovanou podporu VaV projektů MSP z dvou či více partnerských zemí, přičemž každý řídicí orgán poskytuje podporu subjektu z příslušné programové oblasti za předpokladu, že jsou prokázány pozitivní dopady pro oba regiony. </w:t>
      </w:r>
    </w:p>
  </w:footnote>
  <w:footnote w:id="30">
    <w:p w:rsidR="008B53A9" w:rsidRPr="008B53A9" w:rsidRDefault="008B53A9" w:rsidP="00497C7C">
      <w:pPr>
        <w:pStyle w:val="Textpoznpodarou"/>
      </w:pPr>
      <w:r w:rsidRPr="008B53A9">
        <w:rPr>
          <w:rStyle w:val="Znakapoznpodarou"/>
        </w:rPr>
        <w:footnoteRef/>
      </w:r>
      <w:r w:rsidRPr="008B53A9">
        <w:t xml:space="preserve"> Zákon č. 128/2000 Sb., o obcích (obecní zřízení), ve znění pozdějších předpisů. </w:t>
      </w:r>
    </w:p>
  </w:footnote>
  <w:footnote w:id="31">
    <w:p w:rsidR="008B53A9" w:rsidRPr="008B53A9" w:rsidRDefault="008B53A9" w:rsidP="00497C7C">
      <w:pPr>
        <w:pStyle w:val="Textpoznpodarou"/>
        <w:spacing w:after="120"/>
      </w:pPr>
      <w:r w:rsidRPr="008B53A9">
        <w:rPr>
          <w:rStyle w:val="Znakapoznpodarou"/>
        </w:rPr>
        <w:footnoteRef/>
      </w:r>
      <w:r w:rsidRPr="008B53A9">
        <w:t xml:space="preserve"> Zemědělský podnikatel definovaný zákonem č. 252/1997 Sb., o zemědělství.</w:t>
      </w:r>
    </w:p>
  </w:footnote>
  <w:footnote w:id="32">
    <w:p w:rsidR="008B53A9" w:rsidRPr="008B53A9" w:rsidRDefault="008B53A9" w:rsidP="00497C7C">
      <w:pPr>
        <w:pStyle w:val="Poznmkapodarou"/>
      </w:pPr>
      <w:r w:rsidRPr="008B53A9">
        <w:rPr>
          <w:rStyle w:val="Znakapoznpodarou"/>
        </w:rPr>
        <w:footnoteRef/>
      </w:r>
      <w:r w:rsidRPr="008B53A9">
        <w:t xml:space="preserve"> Pojem sdílená infrastruktura zahrnuje vědeckotechnické parky, včetně podnikatelských inkubátorů a infrastrukturu provozovanou klastry (zejména zařízení a nástroje pro výzkum a vývoj).</w:t>
      </w:r>
    </w:p>
  </w:footnote>
  <w:footnote w:id="33">
    <w:p w:rsidR="008B53A9" w:rsidRPr="008B53A9" w:rsidRDefault="008B53A9" w:rsidP="00497C7C">
      <w:pPr>
        <w:pStyle w:val="Poznmkapodarou"/>
      </w:pPr>
      <w:r w:rsidRPr="008B53A9">
        <w:rPr>
          <w:rStyle w:val="Znakapoznpodarou"/>
        </w:rPr>
        <w:footnoteRef/>
      </w:r>
      <w:r w:rsidRPr="008B53A9">
        <w:t xml:space="preserve"> Motivací MSP bude tedy zejména přístup ke kapacitám a znalostem, které jim chybějí ve vyjmenovaných oblastech a významně ztěžují úspěšnou realizaci inovačních aktivit.  Stěžejním prvkem pro širší využívání služeb bude dostatek kvalitních lidských zdrojů působících v inovační infrastruktuře, které navíc budou disponovat kontakty na další odborníky a výzkumné týmy ve znalostních institucích v ČR i v zahraničí. Motivačním prvkem budou i příklady dobré praxe podniků, které implementovaly nové postupy či aktivity s pomocí již existující a úspěšně fungující inovační infrastruktury.</w:t>
      </w:r>
    </w:p>
  </w:footnote>
  <w:footnote w:id="34">
    <w:p w:rsidR="008B53A9" w:rsidRPr="008B53A9" w:rsidRDefault="008B53A9" w:rsidP="00497C7C">
      <w:pPr>
        <w:pStyle w:val="Poznmkapodarou"/>
      </w:pPr>
      <w:r w:rsidRPr="008B53A9">
        <w:rPr>
          <w:rStyle w:val="Znakapoznpodarou"/>
        </w:rPr>
        <w:footnoteRef/>
      </w:r>
      <w:r w:rsidRPr="008B53A9">
        <w:t xml:space="preserve"> Před výstavbou nové sdílené infrastruktury bude prioritizováno její rozšiřování. </w:t>
      </w:r>
      <w:r w:rsidRPr="008B53A9">
        <w:tab/>
      </w:r>
    </w:p>
  </w:footnote>
  <w:footnote w:id="35">
    <w:p w:rsidR="008B53A9" w:rsidRPr="008B53A9" w:rsidRDefault="008B53A9" w:rsidP="00497C7C">
      <w:pPr>
        <w:pStyle w:val="Poznmkapodarou"/>
      </w:pPr>
      <w:r w:rsidRPr="008B53A9">
        <w:rPr>
          <w:rStyle w:val="Znakapoznpodarou"/>
        </w:rPr>
        <w:footnoteRef/>
      </w:r>
      <w:r w:rsidRPr="008B53A9">
        <w:t xml:space="preserve"> Např. zapojením do přeshraniční sítě kolektivního výzkumu CORNET.</w:t>
      </w:r>
    </w:p>
  </w:footnote>
  <w:footnote w:id="36">
    <w:p w:rsidR="008B53A9" w:rsidRPr="008B53A9" w:rsidRDefault="008B53A9" w:rsidP="00497C7C">
      <w:pPr>
        <w:pStyle w:val="Poznmkapodarou"/>
      </w:pPr>
      <w:r w:rsidRPr="008B53A9">
        <w:rPr>
          <w:rStyle w:val="Znakapoznpodarou"/>
        </w:rPr>
        <w:footnoteRef/>
      </w:r>
      <w:r w:rsidRPr="008B53A9">
        <w:t xml:space="preserve"> Dle zákona č. 89/2012 Sb., občanský zákoník.</w:t>
      </w:r>
    </w:p>
  </w:footnote>
  <w:footnote w:id="37">
    <w:p w:rsidR="008B53A9" w:rsidRPr="008B53A9" w:rsidRDefault="008B53A9" w:rsidP="005106AB">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38">
    <w:p w:rsidR="008B53A9" w:rsidRPr="008B53A9" w:rsidRDefault="008B53A9" w:rsidP="00FE0B02">
      <w:pPr>
        <w:pStyle w:val="Poznmkapodarou"/>
        <w:rPr>
          <w:strike/>
        </w:rPr>
      </w:pPr>
      <w:r w:rsidRPr="008B53A9">
        <w:rPr>
          <w:rStyle w:val="Znakapoznpodarou"/>
        </w:rPr>
        <w:footnoteRef/>
      </w:r>
      <w:r w:rsidRPr="008B53A9">
        <w:t xml:space="preserve"> Relevantní aktivity velkých podniků budou načítány do odpovídajících kódů intervencí (002, 057). Tyto kódy spadají do podmínky účasti velkých podniků v OP PIK uvedené v kapitole 1.1.</w:t>
      </w:r>
    </w:p>
  </w:footnote>
  <w:footnote w:id="39">
    <w:p w:rsidR="008B53A9" w:rsidRPr="008B53A9" w:rsidRDefault="008B53A9" w:rsidP="001F0C50">
      <w:pPr>
        <w:pStyle w:val="Poznmkapodarou"/>
      </w:pPr>
      <w:r w:rsidRPr="008B53A9">
        <w:rPr>
          <w:rStyle w:val="Znakapoznpodarou"/>
        </w:rPr>
        <w:footnoteRef/>
      </w:r>
      <w:r w:rsidRPr="008B53A9">
        <w:t xml:space="preserve"> V úrovních 0 až cca 3 podle Klasifikace řádů inovací z hlediska přínosu užitných hodnot.</w:t>
      </w:r>
    </w:p>
  </w:footnote>
  <w:footnote w:id="40">
    <w:p w:rsidR="008B53A9" w:rsidRPr="008B53A9" w:rsidRDefault="008B53A9" w:rsidP="0020084D">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41">
    <w:p w:rsidR="008B53A9" w:rsidRPr="008B53A9" w:rsidRDefault="008B53A9" w:rsidP="00352703">
      <w:pPr>
        <w:pStyle w:val="Poznmkapodarou"/>
      </w:pPr>
      <w:r w:rsidRPr="008B53A9">
        <w:rPr>
          <w:rStyle w:val="Znakapoznpodarou"/>
        </w:rPr>
        <w:footnoteRef/>
      </w:r>
      <w:r w:rsidRPr="008B53A9">
        <w:t xml:space="preserve"> Nařízení (EU, Euratom) č. 966/2012 Evropského parlamentu a Rady ze dne 25. října 2012, kterým se stanoví finanční pravidla o souhrnném rozpočtu Unie a o zrušení nařízení Rady (ES, Euratom) č. 1605/2002.</w:t>
      </w:r>
    </w:p>
  </w:footnote>
  <w:footnote w:id="42">
    <w:p w:rsidR="008B53A9" w:rsidRPr="008B53A9" w:rsidRDefault="008B53A9">
      <w:pPr>
        <w:pStyle w:val="Textpoznpodarou"/>
      </w:pPr>
      <w:r w:rsidRPr="008B53A9">
        <w:rPr>
          <w:rStyle w:val="Znakapoznpodarou"/>
        </w:rPr>
        <w:footnoteRef/>
      </w:r>
      <w:r w:rsidRPr="008B53A9">
        <w:t xml:space="preserve"> Tato hodnota je předběžná, případné odchylky stanoví předběžné posouzení finančních nástrojů OP PIK.</w:t>
      </w:r>
    </w:p>
  </w:footnote>
  <w:footnote w:id="43">
    <w:p w:rsidR="008B53A9" w:rsidRPr="008B53A9" w:rsidRDefault="008B53A9">
      <w:pPr>
        <w:pStyle w:val="Textpoznpodarou"/>
      </w:pPr>
      <w:r w:rsidRPr="008B53A9">
        <w:rPr>
          <w:rStyle w:val="Znakapoznpodarou"/>
        </w:rPr>
        <w:footnoteRef/>
      </w:r>
      <w:r w:rsidRPr="008B53A9">
        <w:t xml:space="preserve"> Tato hodnota je předběžná, případné odchylky stanoví předběžné posouzení finančních nástrojů OP PIK.</w:t>
      </w:r>
    </w:p>
  </w:footnote>
  <w:footnote w:id="44">
    <w:p w:rsidR="008B53A9" w:rsidRPr="008B53A9" w:rsidRDefault="008B53A9" w:rsidP="0020084D">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45">
    <w:p w:rsidR="008B53A9" w:rsidRPr="008B53A9" w:rsidRDefault="008B53A9">
      <w:pPr>
        <w:pStyle w:val="Textpoznpodarou"/>
      </w:pPr>
      <w:r w:rsidRPr="008B53A9">
        <w:rPr>
          <w:rStyle w:val="Znakapoznpodarou"/>
        </w:rPr>
        <w:footnoteRef/>
      </w:r>
      <w:r w:rsidRPr="008B53A9">
        <w:t xml:space="preserve">  Financování i takových nákladů, které jsou obvykle způsobilými náklady pouze v rámci pravidel Evropského sociálního fondu, a to až do výše 10 % prostředků na prioritní osu. Podmínkou pro možnost financování aktivit v rámci křížového financování je nezbytnost těchto aktivit pro dosažení cílů podpořených projektů v tomto specifickém cíli OP PIK a jejich přímá vazba na tyto projekty. </w:t>
      </w:r>
    </w:p>
  </w:footnote>
  <w:footnote w:id="46">
    <w:p w:rsidR="008B53A9" w:rsidRPr="008B53A9" w:rsidRDefault="008B53A9" w:rsidP="0020084D">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47">
    <w:p w:rsidR="008B53A9" w:rsidRPr="008B53A9" w:rsidRDefault="008B53A9">
      <w:pPr>
        <w:pStyle w:val="Textpoznpodarou"/>
      </w:pPr>
      <w:r w:rsidRPr="008B53A9">
        <w:rPr>
          <w:rStyle w:val="Znakapoznpodarou"/>
        </w:rPr>
        <w:footnoteRef/>
      </w:r>
      <w:r w:rsidRPr="008B53A9">
        <w:t xml:space="preserve"> Tato hodnota je předběžná, případné odchylky stanoví předběžné posouzení finančních nástrojů OP PIK.</w:t>
      </w:r>
    </w:p>
  </w:footnote>
  <w:footnote w:id="48">
    <w:p w:rsidR="008B53A9" w:rsidRPr="008B53A9" w:rsidRDefault="008B53A9">
      <w:pPr>
        <w:pStyle w:val="Textpoznpodarou"/>
      </w:pPr>
      <w:r w:rsidRPr="008B53A9">
        <w:rPr>
          <w:rStyle w:val="Znakapoznpodarou"/>
        </w:rPr>
        <w:footnoteRef/>
      </w:r>
      <w:r w:rsidRPr="008B53A9">
        <w:t xml:space="preserve"> Tato hodnota je předběžná, případné odchylky stanoví předběžné posouzení finančních nástrojů OP PIK.</w:t>
      </w:r>
    </w:p>
  </w:footnote>
  <w:footnote w:id="49">
    <w:p w:rsidR="008B53A9" w:rsidRPr="008B53A9" w:rsidRDefault="008B53A9">
      <w:pPr>
        <w:pStyle w:val="Textpoznpodarou"/>
      </w:pPr>
      <w:r w:rsidRPr="008B53A9">
        <w:rPr>
          <w:rStyle w:val="Znakapoznpodarou"/>
        </w:rPr>
        <w:footnoteRef/>
      </w:r>
      <w:r w:rsidRPr="008B53A9">
        <w:t xml:space="preserve"> Tato hodnota je předběžná, případné odchylky stanoví předběžné posouzení finančních nástrojů OP PIK.</w:t>
      </w:r>
    </w:p>
  </w:footnote>
  <w:footnote w:id="50">
    <w:p w:rsidR="008B53A9" w:rsidRPr="008B53A9" w:rsidRDefault="008B53A9" w:rsidP="0020084D">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51">
    <w:p w:rsidR="008B53A9" w:rsidRPr="008B53A9" w:rsidRDefault="008B53A9" w:rsidP="00622C4A">
      <w:pPr>
        <w:pStyle w:val="Poznmkapodarou"/>
      </w:pPr>
      <w:r w:rsidRPr="008B53A9">
        <w:rPr>
          <w:rStyle w:val="Znakapoznpodarou"/>
        </w:rPr>
        <w:footnoteRef/>
      </w:r>
      <w:r w:rsidRPr="008B53A9">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rsidR="008B53A9" w:rsidRPr="008B53A9" w:rsidRDefault="008B53A9" w:rsidP="00622C4A">
      <w:pPr>
        <w:pStyle w:val="Poznmkapodarou"/>
      </w:pPr>
      <w:r w:rsidRPr="008B53A9">
        <w:t>Jedná se o takové techniky, které zajišťují nejvyšší možnou ochranu životního prostředí a jsou přitom reálně dostupné, tzn. umožňují jejich zavedení v aktuálních technicko - ekonomických podmínkách.</w:t>
      </w:r>
    </w:p>
  </w:footnote>
  <w:footnote w:id="52">
    <w:p w:rsidR="008B53A9" w:rsidRPr="008B53A9" w:rsidRDefault="008B53A9" w:rsidP="008A674D">
      <w:pPr>
        <w:pStyle w:val="Poznmkapodarou"/>
      </w:pPr>
      <w:r w:rsidRPr="008B53A9">
        <w:rPr>
          <w:rStyle w:val="Znakapoznpodarou"/>
        </w:rPr>
        <w:footnoteRef/>
      </w:r>
      <w:r w:rsidRPr="008B53A9">
        <w:t xml:space="preserve"> Využití této metody je ovšem zásadně ovlivňováno finančním trhem a tudíž jeho stimulace musí být založena na podrobné analýze finančního sektoru i s ohledem na připravovanou ex ante analýzu FN dle čl. 37 obecného nařízení.</w:t>
      </w:r>
    </w:p>
  </w:footnote>
  <w:footnote w:id="53">
    <w:p w:rsidR="008B53A9" w:rsidRPr="008B53A9" w:rsidRDefault="008B53A9" w:rsidP="0020084D">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54">
    <w:p w:rsidR="008B53A9" w:rsidRPr="008B53A9" w:rsidRDefault="008B53A9" w:rsidP="00E463BC">
      <w:pPr>
        <w:pStyle w:val="Poznmkapodarou"/>
      </w:pPr>
      <w:r w:rsidRPr="008B53A9">
        <w:rPr>
          <w:rStyle w:val="Znakapoznpodarou"/>
        </w:rPr>
        <w:footnoteRef/>
      </w:r>
      <w:r w:rsidRPr="008B53A9">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rsidR="008B53A9" w:rsidRPr="008B53A9" w:rsidRDefault="008B53A9" w:rsidP="00E463BC">
      <w:pPr>
        <w:pStyle w:val="Poznmkapodarou"/>
      </w:pPr>
      <w:r w:rsidRPr="008B53A9">
        <w:t>Jedná se o takové techniky, které zajišťují nejvyšší možnou ochranu životního prostředí a jsou přitom reálně dostupné, tzn. umožňují jejich zavedení v aktuálních technicko - ekonomických podmínkách.</w:t>
      </w:r>
    </w:p>
  </w:footnote>
  <w:footnote w:id="55">
    <w:p w:rsidR="008B53A9" w:rsidRPr="008B53A9" w:rsidRDefault="008B53A9" w:rsidP="00E463BC">
      <w:pPr>
        <w:pStyle w:val="Poznmkapodarou"/>
      </w:pPr>
      <w:r w:rsidRPr="008B53A9">
        <w:rPr>
          <w:rStyle w:val="Znakapoznpodarou"/>
        </w:rPr>
        <w:footnoteRef/>
      </w:r>
      <w:r w:rsidRPr="008B53A9">
        <w:t xml:space="preserve"> Nařízení (EU, Euratom) č. 966/2012 Evropského parlamentu a Rady ze dne 25. října 2012, kterým se stanoví finanční pravidla o souhrnném rozpočtu Unie a o zrušení nařízení Rady (ES, Euratom) č. 1605/2002.</w:t>
      </w:r>
    </w:p>
  </w:footnote>
  <w:footnote w:id="56">
    <w:p w:rsidR="008B53A9" w:rsidRPr="008B53A9" w:rsidRDefault="008B53A9" w:rsidP="00903715">
      <w:pPr>
        <w:pStyle w:val="Poznmkapodarou"/>
      </w:pPr>
      <w:r w:rsidRPr="008B53A9">
        <w:rPr>
          <w:rStyle w:val="Znakapoznpodarou"/>
        </w:rPr>
        <w:footnoteRef/>
      </w:r>
      <w:r w:rsidRPr="008B53A9">
        <w:t xml:space="preserve"> Tato hodnota je předběžná, případné odchylky stanoví předběžné posouzení finančních nástrojů OP PIK.</w:t>
      </w:r>
    </w:p>
  </w:footnote>
  <w:footnote w:id="57">
    <w:p w:rsidR="008B53A9" w:rsidRPr="008B53A9" w:rsidRDefault="008B53A9" w:rsidP="00903715">
      <w:pPr>
        <w:pStyle w:val="Poznmkapodarou"/>
      </w:pPr>
      <w:r w:rsidRPr="008B53A9">
        <w:rPr>
          <w:rStyle w:val="Znakapoznpodarou"/>
        </w:rPr>
        <w:footnoteRef/>
      </w:r>
      <w:r w:rsidRPr="008B53A9">
        <w:t xml:space="preserve"> Tato hodnota je předběžná, případné odchylky stanoví předběžné posouzení finančních nástrojů OP PIK.</w:t>
      </w:r>
    </w:p>
  </w:footnote>
  <w:footnote w:id="58">
    <w:p w:rsidR="008B53A9" w:rsidRPr="008B53A9" w:rsidRDefault="008B53A9" w:rsidP="0068667C">
      <w:pPr>
        <w:pStyle w:val="Poznmkapodarou"/>
      </w:pPr>
      <w:r w:rsidRPr="008B53A9">
        <w:rPr>
          <w:rStyle w:val="Znakapoznpodarou"/>
        </w:rPr>
        <w:footnoteRef/>
      </w:r>
      <w:r w:rsidRPr="008B53A9">
        <w:t xml:space="preserve"> Průměrná systémová četnost přerušení dodávky elektrické energie.</w:t>
      </w:r>
    </w:p>
  </w:footnote>
  <w:footnote w:id="59">
    <w:p w:rsidR="008B53A9" w:rsidRPr="008B53A9" w:rsidRDefault="008B53A9" w:rsidP="0068667C">
      <w:pPr>
        <w:pStyle w:val="Poznmkapodarou"/>
      </w:pPr>
      <w:r w:rsidRPr="008B53A9">
        <w:rPr>
          <w:rStyle w:val="Znakapoznpodarou"/>
        </w:rPr>
        <w:footnoteRef/>
      </w:r>
      <w:r w:rsidRPr="008B53A9">
        <w:t xml:space="preserve"> Průměrná systémová doba trvání přerušení dodávky elektrické energie.</w:t>
      </w:r>
    </w:p>
  </w:footnote>
  <w:footnote w:id="60">
    <w:p w:rsidR="008B53A9" w:rsidRPr="008B53A9" w:rsidRDefault="008B53A9" w:rsidP="0020084D">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61">
    <w:p w:rsidR="008B53A9" w:rsidRPr="008B53A9" w:rsidRDefault="008B53A9" w:rsidP="0020084D">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62">
    <w:p w:rsidR="008B53A9" w:rsidRPr="008B53A9" w:rsidRDefault="008B53A9" w:rsidP="0020084D">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63">
    <w:p w:rsidR="008B53A9" w:rsidRPr="008B53A9" w:rsidRDefault="008B53A9" w:rsidP="00867AA2">
      <w:pPr>
        <w:pStyle w:val="Textpoznpodarou"/>
      </w:pPr>
      <w:r w:rsidRPr="008B53A9">
        <w:rPr>
          <w:rStyle w:val="Znakapoznpodarou"/>
        </w:rPr>
        <w:footnoteRef/>
      </w:r>
      <w:r w:rsidRPr="008B53A9">
        <w:t xml:space="preserve"> Dle zákona č. 76/2002 Sb., o integrované prevenci a omezování znečištění, jsou nejlepší dostupné techniky (BAT – Best Available Techniques) definované jako nejúčinnější a nejpokročilejší stadium vývoje technologií a činností a způsobů jejich provozování, které ukazují praktickou vhodnost určitých technik navržených k předcházení, a pokud to není možné, tak k omezování emisí a jejich dopadů na životní prostředí.</w:t>
      </w:r>
    </w:p>
    <w:p w:rsidR="008B53A9" w:rsidRPr="008B53A9" w:rsidRDefault="008B53A9" w:rsidP="00867AA2">
      <w:pPr>
        <w:pStyle w:val="Textpoznpodarou"/>
      </w:pPr>
      <w:r w:rsidRPr="008B53A9">
        <w:t>Jedná se o takové techniky, které zajišťují nejvyšší možnou ochranu životního prostředí a jsou přitom reálně dostupné, tzn. umožňují jejich zavedení v aktuálních technicko - ekonomických podmínkách.</w:t>
      </w:r>
    </w:p>
  </w:footnote>
  <w:footnote w:id="64">
    <w:p w:rsidR="008B53A9" w:rsidRPr="008B53A9" w:rsidRDefault="008B53A9" w:rsidP="00DC5013">
      <w:pPr>
        <w:pStyle w:val="Poznmkapodarou"/>
      </w:pPr>
      <w:r w:rsidRPr="008B53A9">
        <w:rPr>
          <w:rStyle w:val="Znakapoznpodarou"/>
        </w:rPr>
        <w:footnoteRef/>
      </w:r>
      <w:r w:rsidRPr="008B53A9">
        <w:t xml:space="preserve"> Nařízení (EU, Euratom) č. 966/2012 Evropského parlamentu a Rady ze dne 25. října 2012, kterým se stanoví finanční pravidla o souhrnném rozpočtu Unie a o zrušení nařízení Rady (ES, Euratom) č. 1605/2002.</w:t>
      </w:r>
    </w:p>
  </w:footnote>
  <w:footnote w:id="65">
    <w:p w:rsidR="008B53A9" w:rsidRPr="008B53A9" w:rsidRDefault="008B53A9">
      <w:pPr>
        <w:pStyle w:val="Textpoznpodarou"/>
      </w:pPr>
      <w:r w:rsidRPr="008B53A9">
        <w:rPr>
          <w:rStyle w:val="Znakapoznpodarou"/>
        </w:rPr>
        <w:footnoteRef/>
      </w:r>
      <w:r w:rsidRPr="008B53A9">
        <w:t xml:space="preserve"> Tato hodnota je předběžná, případné odchylky stanoví předběžné posouzení finančních nástrojů OP PIK.</w:t>
      </w:r>
    </w:p>
  </w:footnote>
  <w:footnote w:id="66">
    <w:p w:rsidR="008B53A9" w:rsidRPr="008B53A9" w:rsidRDefault="008B53A9">
      <w:pPr>
        <w:pStyle w:val="Textpoznpodarou"/>
      </w:pPr>
      <w:r w:rsidRPr="008B53A9">
        <w:rPr>
          <w:rStyle w:val="Znakapoznpodarou"/>
        </w:rPr>
        <w:footnoteRef/>
      </w:r>
      <w:r w:rsidRPr="008B53A9">
        <w:t xml:space="preserve"> Tato hodnota je předběžná, případné odchylky stanoví předběžné posouzení finančních nástrojů OP PIK.</w:t>
      </w:r>
    </w:p>
  </w:footnote>
  <w:footnote w:id="67">
    <w:p w:rsidR="008B53A9" w:rsidRPr="008B53A9" w:rsidRDefault="008B53A9" w:rsidP="00C57EB7">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68">
    <w:p w:rsidR="008B53A9" w:rsidRPr="008B53A9" w:rsidRDefault="008B53A9" w:rsidP="00DE2376">
      <w:pPr>
        <w:pStyle w:val="Poznmkapodarou"/>
      </w:pPr>
      <w:r w:rsidRPr="008B53A9">
        <w:rPr>
          <w:rStyle w:val="Znakapoznpodarou"/>
        </w:rPr>
        <w:footnoteRef/>
      </w:r>
      <w:r w:rsidRPr="008B53A9">
        <w:t xml:space="preserve"> Relevantní aktivity velkých podniků budou načítány do odpovídajících kódů intervencí (003, 005, 015 a 070). Tyto kódy spadají do podmínky účasti velkých podniků v OP PIK uvedené v kapitole 1.1.</w:t>
      </w:r>
    </w:p>
  </w:footnote>
  <w:footnote w:id="69">
    <w:p w:rsidR="008B53A9" w:rsidRPr="008B53A9" w:rsidRDefault="008B53A9" w:rsidP="00DE2376">
      <w:pPr>
        <w:pStyle w:val="Poznmkapodarou"/>
      </w:pPr>
      <w:r w:rsidRPr="008B53A9">
        <w:rPr>
          <w:rStyle w:val="Znakapoznpodarou"/>
        </w:rPr>
        <w:footnoteRef/>
      </w:r>
      <w:r w:rsidRPr="008B53A9">
        <w:t xml:space="preserve"> Tato hodnota je předběžná, případné odchylky stanoví předběžné posouzení finančních nástrojů OP PIK.</w:t>
      </w:r>
    </w:p>
  </w:footnote>
  <w:footnote w:id="70">
    <w:p w:rsidR="008B53A9" w:rsidRPr="008B53A9" w:rsidRDefault="008B53A9" w:rsidP="00DE2376">
      <w:pPr>
        <w:pStyle w:val="Poznmkapodarou"/>
      </w:pPr>
      <w:r w:rsidRPr="008B53A9">
        <w:rPr>
          <w:rStyle w:val="Znakapoznpodarou"/>
        </w:rPr>
        <w:footnoteRef/>
      </w:r>
      <w:r w:rsidRPr="008B53A9">
        <w:t xml:space="preserve"> Tato hodnota je předběžná, případné odchylky stanoví předběžné posouzení finančních nástrojů OP PIK.</w:t>
      </w:r>
    </w:p>
  </w:footnote>
  <w:footnote w:id="71">
    <w:p w:rsidR="008B53A9" w:rsidRPr="008B53A9" w:rsidRDefault="008B53A9" w:rsidP="00DE2376">
      <w:pPr>
        <w:pStyle w:val="Poznmkapodarou"/>
      </w:pPr>
      <w:r w:rsidRPr="008B53A9">
        <w:rPr>
          <w:rStyle w:val="Znakapoznpodarou"/>
        </w:rPr>
        <w:footnoteRef/>
      </w:r>
      <w:r w:rsidRPr="008B53A9">
        <w:t xml:space="preserve"> V návaznosti na další diskuse o výkladu čl. 6 aktu v přenesené pravomoci bude stanoveno, zda se pro financování technické podpory na technickou přípravu investic konečnými příjemci použijí zdroje PO 3 nebo PO 5. ŘO preferuje možnost využití prostředků přímo z příslušné věcné prioritní osy 3.</w:t>
      </w:r>
    </w:p>
  </w:footnote>
  <w:footnote w:id="72">
    <w:p w:rsidR="008B53A9" w:rsidRPr="008B53A9" w:rsidRDefault="008B53A9" w:rsidP="00843336">
      <w:pPr>
        <w:pStyle w:val="Textpoznpodarou"/>
        <w:spacing w:after="60"/>
      </w:pPr>
      <w:r w:rsidRPr="008B53A9">
        <w:rPr>
          <w:rStyle w:val="Znakapoznpodarou"/>
        </w:rPr>
        <w:footnoteRef/>
      </w:r>
      <w:r w:rsidRPr="008B53A9">
        <w:t xml:space="preserve"> V některých specifických případech lze zvážit řešení založené na družicové telekomunikaci.</w:t>
      </w:r>
    </w:p>
  </w:footnote>
  <w:footnote w:id="73">
    <w:p w:rsidR="008B53A9" w:rsidRPr="008B53A9" w:rsidRDefault="008B53A9" w:rsidP="00DC56C8">
      <w:pPr>
        <w:pStyle w:val="Poznmkapodarou"/>
      </w:pPr>
      <w:r w:rsidRPr="008B53A9">
        <w:rPr>
          <w:rStyle w:val="Znakapoznpodarou"/>
        </w:rPr>
        <w:footnoteRef/>
      </w:r>
      <w:r w:rsidRPr="008B53A9">
        <w:t xml:space="preserve"> Každým rozšířením vysokorychlostního připojení o dalších 10 % dojde k ročnímu nárůstu HDP per capita o 0,9 až 1,5 % (Czernich et al.: Cesifo Working Paper No. 2861, Ifo Institute for Economic Research, 2009).</w:t>
      </w:r>
    </w:p>
  </w:footnote>
  <w:footnote w:id="74">
    <w:p w:rsidR="008B53A9" w:rsidRPr="008B53A9" w:rsidRDefault="008B53A9" w:rsidP="00DC56C8">
      <w:pPr>
        <w:pStyle w:val="Poznmkapodarou"/>
      </w:pPr>
      <w:r w:rsidRPr="008B53A9">
        <w:rPr>
          <w:rStyle w:val="Znakapoznpodarou"/>
        </w:rPr>
        <w:footnoteRef/>
      </w:r>
      <w:r w:rsidRPr="008B53A9">
        <w:t xml:space="preserve"> Na každé 1 ztracené pracovní místo vznikne díky vysokorychlostnímu připojení 2,6 nových pracovních míst (McKinsey, 2011, SME survey).</w:t>
      </w:r>
    </w:p>
  </w:footnote>
  <w:footnote w:id="75">
    <w:p w:rsidR="008B53A9" w:rsidRPr="008B53A9" w:rsidRDefault="008B53A9" w:rsidP="004F2EB2">
      <w:pPr>
        <w:pStyle w:val="Poznmkapodarou"/>
      </w:pPr>
      <w:r w:rsidRPr="008B53A9">
        <w:rPr>
          <w:rStyle w:val="Znakapoznpodarou"/>
        </w:rPr>
        <w:footnoteRef/>
      </w:r>
      <w:r w:rsidRPr="008B53A9">
        <w:t xml:space="preserve"> Zejména v případě, že podporu šedých míst umožní připravovaná bloková výjimka.</w:t>
      </w:r>
    </w:p>
  </w:footnote>
  <w:footnote w:id="76">
    <w:p w:rsidR="008B53A9" w:rsidRPr="008B53A9" w:rsidRDefault="008B53A9" w:rsidP="00C57EB7">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77">
    <w:p w:rsidR="008B53A9" w:rsidRPr="008B53A9" w:rsidRDefault="008B53A9" w:rsidP="005644D4">
      <w:pPr>
        <w:pStyle w:val="Poznmkapodarou"/>
      </w:pPr>
      <w:r w:rsidRPr="008B53A9">
        <w:rPr>
          <w:rStyle w:val="Znakapoznpodarou"/>
        </w:rPr>
        <w:footnoteRef/>
      </w:r>
      <w:r w:rsidRPr="008B53A9">
        <w:t xml:space="preserve"> Aktuální počet podnikatelů v oblasti elektronických komunikací je 2480 (leden 2014).</w:t>
      </w:r>
    </w:p>
  </w:footnote>
  <w:footnote w:id="78">
    <w:p w:rsidR="008B53A9" w:rsidRPr="008B53A9" w:rsidRDefault="008B53A9" w:rsidP="00B75479">
      <w:pPr>
        <w:pStyle w:val="Poznmkapodarou"/>
      </w:pPr>
      <w:r w:rsidRPr="008B53A9">
        <w:rPr>
          <w:rStyle w:val="Znakapoznpodarou"/>
        </w:rPr>
        <w:footnoteRef/>
      </w:r>
      <w:r w:rsidRPr="008B53A9">
        <w:t xml:space="preserve"> Navrhovaná cílová hodnota indikátoru má v tuto chvíli poměrně velké rozpětí, neboť ještě není známá mapa tzv. bílých/šedých/černých míst (vyhodnocení veřejné konzultace proběhne v</w:t>
      </w:r>
      <w:r w:rsidRPr="008B53A9">
        <w:rPr>
          <w:lang w:val="cs-CZ"/>
        </w:rPr>
        <w:t>e druhé</w:t>
      </w:r>
      <w:r w:rsidRPr="008B53A9">
        <w:t xml:space="preserve"> polovině roku 2014). Dále se předpokládá výše dotace 50 % bez ohledu na velikost podniku, přičemž v regionech, jejichž rozvoj je třeba s ohledem na vyvážený rozvoj státu a vyrovnávání rozdílů mezi úrovněmi jeho jednotlivých územních celků podporovat, může být i dotace vyšší. Stávající návrh blokové výjimky (3. kolo konzultací čl. 46 návrhu) totiž umožňuje maximální intenzitu podpory až ve výši 100 % způsobilých nákladů, nicméně v tomto ohledu nelze předjímat znění finální verze nařízení o blokových výjimkách.</w:t>
      </w:r>
    </w:p>
  </w:footnote>
  <w:footnote w:id="79">
    <w:p w:rsidR="008B53A9" w:rsidRPr="008B53A9" w:rsidRDefault="008B53A9" w:rsidP="00C57EB7">
      <w:pPr>
        <w:pStyle w:val="Poznmkapodarou"/>
      </w:pPr>
      <w:r w:rsidRPr="008B53A9">
        <w:rPr>
          <w:rStyle w:val="Znakapoznpodarou"/>
        </w:rPr>
        <w:footnoteRef/>
      </w:r>
      <w:r w:rsidRPr="008B53A9">
        <w:t xml:space="preserve"> Při výběru subjektů zapojených do schvalovacího procesu bude Řídící orgán OP PIK postupovat v souladu s Metodickým pokynem MMR pro řízení výzev, hodnocení a výběr projektů v programovém období 2014 – 2020. </w:t>
      </w:r>
    </w:p>
  </w:footnote>
  <w:footnote w:id="80">
    <w:p w:rsidR="008B53A9" w:rsidRPr="008B53A9" w:rsidRDefault="008B53A9" w:rsidP="00DE2376">
      <w:pPr>
        <w:pStyle w:val="Poznmkapodarou"/>
        <w:rPr>
          <w:strike/>
        </w:rPr>
      </w:pPr>
      <w:r w:rsidRPr="008B53A9">
        <w:rPr>
          <w:rStyle w:val="Znakapoznpodarou"/>
        </w:rPr>
        <w:footnoteRef/>
      </w:r>
      <w:r w:rsidRPr="008B53A9">
        <w:t xml:space="preserve"> Relevantní aktivity velkých podniků budou načítány do odpovídajícího kódu intervencí (004). Tento kód spadá do podmínky účasti velkých podniků v OP PIK uvedené v kapitole 1.1.</w:t>
      </w:r>
    </w:p>
  </w:footnote>
  <w:footnote w:id="81">
    <w:p w:rsidR="008B53A9" w:rsidRPr="008B53A9" w:rsidRDefault="008B53A9" w:rsidP="00727CCA">
      <w:pPr>
        <w:pStyle w:val="Poznmkapodarou"/>
      </w:pPr>
      <w:r w:rsidRPr="008B53A9">
        <w:rPr>
          <w:rStyle w:val="Znakapoznpodarou"/>
        </w:rPr>
        <w:footnoteRef/>
      </w:r>
      <w:r w:rsidRPr="008B53A9">
        <w:rPr>
          <w:vertAlign w:val="superscript"/>
        </w:rPr>
        <w:t xml:space="preserve"> </w:t>
      </w:r>
      <w:r w:rsidRPr="008B53A9">
        <w:t>Celková alokace (podpora Unie) ponížená o výkonnostní rezervu.</w:t>
      </w:r>
    </w:p>
  </w:footnote>
  <w:footnote w:id="82">
    <w:p w:rsidR="008B53A9" w:rsidRPr="008B53A9" w:rsidRDefault="008B53A9" w:rsidP="000702FD">
      <w:pPr>
        <w:pStyle w:val="Poznmkapodarou"/>
      </w:pPr>
      <w:r w:rsidRPr="008B53A9">
        <w:rPr>
          <w:rStyle w:val="Znakapoznpodarou"/>
        </w:rPr>
        <w:footnoteRef/>
      </w:r>
      <w:r w:rsidRPr="008B53A9">
        <w:t xml:space="preserve"> NDÚD nebyl v době finalizace programového dokumentu OP PIK ještě schválen vládou ČR.</w:t>
      </w:r>
    </w:p>
  </w:footnote>
  <w:footnote w:id="83">
    <w:p w:rsidR="008B53A9" w:rsidRPr="008B53A9" w:rsidRDefault="008B53A9" w:rsidP="00720FC6">
      <w:pPr>
        <w:pStyle w:val="Poznmkapodarou"/>
      </w:pPr>
      <w:r w:rsidRPr="008B53A9">
        <w:rPr>
          <w:rStyle w:val="Znakapoznpodarou"/>
        </w:rPr>
        <w:footnoteRef/>
      </w:r>
      <w:r w:rsidRPr="008B53A9">
        <w:t xml:space="preserve"> Identifikovaná územní dimenze automaticky neznamená, že všechny projekty realizované v rámci daného specifického cíle budou moci být podpořeny výhradně pouze v daném typu území (s výjimkou specifického cíle 4.1).</w:t>
      </w:r>
    </w:p>
  </w:footnote>
  <w:footnote w:id="84">
    <w:p w:rsidR="008B53A9" w:rsidRPr="008B53A9" w:rsidRDefault="008B53A9" w:rsidP="00720FC6">
      <w:pPr>
        <w:pStyle w:val="Poznmkapodarou"/>
      </w:pPr>
      <w:r w:rsidRPr="008B53A9">
        <w:rPr>
          <w:vertAlign w:val="superscript"/>
        </w:rPr>
        <w:footnoteRef/>
      </w:r>
      <w:r w:rsidRPr="008B53A9">
        <w:t xml:space="preserve"> Podle této metodiky je region s vyšší mírou nezaměstnanosti definován jako okres, kde míra nezaměstnanosti za referenční období přesáhne referenční míru nezaměstnanosti v ČR. Základem pro stanovení průměrné míry nezaměstnanosti v ČR a referenční míry nezaměstnanosti v jednotlivých regionech jsou oficiální údaje o míře nezaměstnanosti vykazované Ministerstvem práce a sociálních věcí za uplynulá dvě pololetí.</w:t>
      </w:r>
    </w:p>
  </w:footnote>
  <w:footnote w:id="85">
    <w:p w:rsidR="008B53A9" w:rsidRPr="008B53A9" w:rsidRDefault="008B53A9" w:rsidP="00C84BCC">
      <w:pPr>
        <w:pStyle w:val="Poznmkapodarou"/>
      </w:pPr>
      <w:r w:rsidRPr="008B53A9">
        <w:rPr>
          <w:rStyle w:val="Znakapoznpodarou"/>
        </w:rPr>
        <w:footnoteRef/>
      </w:r>
      <w:r w:rsidRPr="008B53A9">
        <w:t xml:space="preserve"> Z hlediska implementace se především na počátku programovacího období s takovouto specifickou výzvou nepočítá. Projekty předkládané mikropodniky budou hodnoceny jako ostatní projekty a bonifikovány v případě jejich doporučení ze strany MAS. Teprve poté, kdy se s ohledem na absorpční schopnost bude snižovat vyčleněná alokace pro mikropodniky jako celek, lze uvažovat o specifické výzvě/výzvách pro mikropodniky ze subregionálních/venkovských oblastí.</w:t>
      </w:r>
    </w:p>
  </w:footnote>
  <w:footnote w:id="86">
    <w:p w:rsidR="008B53A9" w:rsidRPr="008B53A9" w:rsidRDefault="008B53A9" w:rsidP="00D77FD9">
      <w:pPr>
        <w:pStyle w:val="Poznmkapodarou"/>
      </w:pPr>
      <w:r w:rsidRPr="008B53A9">
        <w:rPr>
          <w:rStyle w:val="Znakapoznpodarou"/>
        </w:rPr>
        <w:footnoteRef/>
      </w:r>
      <w:r w:rsidRPr="008B53A9">
        <w:t xml:space="preserve"> Ve smyslu definice Evropské komise v Obecném nařízení o blokových výjimkách.</w:t>
      </w:r>
    </w:p>
  </w:footnote>
  <w:footnote w:id="87">
    <w:p w:rsidR="008B53A9" w:rsidRPr="008B53A9" w:rsidRDefault="008B53A9" w:rsidP="002D66D6">
      <w:pPr>
        <w:pStyle w:val="Poznmkapodarou"/>
      </w:pPr>
      <w:r w:rsidRPr="008B53A9">
        <w:rPr>
          <w:rStyle w:val="Znakapoznpodarou"/>
        </w:rPr>
        <w:footnoteRef/>
      </w:r>
      <w:r w:rsidRPr="008B53A9">
        <w:t xml:space="preserve"> OP PIK předpokládá využití ITI pouze v metropolitních oblastech. S využitím ITI nad rámec udržitelného rozvoje měst dle oddílu 4.2 (tabulky č. 20) se v OP PIK nepočítá. Z tohoto důvodu je tabulka č. 21 pro OP PIK nerelevantní.</w:t>
      </w:r>
    </w:p>
  </w:footnote>
  <w:footnote w:id="88">
    <w:p w:rsidR="008B53A9" w:rsidRPr="008B53A9" w:rsidRDefault="008B53A9" w:rsidP="003767D9">
      <w:pPr>
        <w:pStyle w:val="Poznmkapodarou"/>
      </w:pPr>
      <w:r w:rsidRPr="008B53A9">
        <w:rPr>
          <w:rStyle w:val="Znakapoznpodarou"/>
        </w:rPr>
        <w:footnoteRef/>
      </w:r>
      <w:r w:rsidRPr="008B53A9">
        <w:t xml:space="preserve"> Nositelem integrovaného nástroje je odpovědný subjekt, zajišťující ve vymezeném území činnosti za účelem přípravy, schválení, realizace a vyhodnocování integrované strategie. Nositelem ITI bude u monocentrických aglomerací jádrové město, u polycentrických aglomerací bude nositel zvolen na základě dohody mezi partnery.</w:t>
      </w:r>
    </w:p>
  </w:footnote>
  <w:footnote w:id="89">
    <w:p w:rsidR="008B53A9" w:rsidRPr="008B53A9" w:rsidRDefault="008B53A9" w:rsidP="005C6502">
      <w:pPr>
        <w:pStyle w:val="Poznmkapodarou"/>
      </w:pPr>
      <w:r w:rsidRPr="008B53A9">
        <w:rPr>
          <w:rStyle w:val="Znakapoznpodarou"/>
        </w:rPr>
        <w:footnoteRef/>
      </w:r>
      <w:r w:rsidRPr="008B53A9">
        <w:t xml:space="preserve"> </w:t>
      </w:r>
      <w:r w:rsidRPr="008B53A9">
        <w:rPr>
          <w:lang w:val="cs-CZ"/>
        </w:rPr>
        <w:t>Tento metodický pokyn</w:t>
      </w:r>
      <w:r w:rsidRPr="008B53A9">
        <w:t xml:space="preserve"> nebyl v době finalizace programového dokumentu OP PIK ještě schválen vládou ČR.</w:t>
      </w:r>
    </w:p>
  </w:footnote>
  <w:footnote w:id="90">
    <w:p w:rsidR="008B53A9" w:rsidRPr="008B53A9" w:rsidRDefault="008B53A9" w:rsidP="00F05C0C">
      <w:pPr>
        <w:pStyle w:val="Poznmkapodarou"/>
      </w:pPr>
      <w:r w:rsidRPr="008B53A9">
        <w:rPr>
          <w:rStyle w:val="Znakapoznpodarou"/>
        </w:rPr>
        <w:footnoteRef/>
      </w:r>
      <w:r w:rsidRPr="008B53A9">
        <w:t xml:space="preserve"> Usnesením vlády ČR ze dne 28. listopadu 2012 č. 867 k přípravě programů spolufinancovaných z fondů Společného strategického rámce pro programové období let 2014 až 2020 v podmínkách ČR bylo Ministerstvo průmyslu a obchodu pověřeno řízením OP PIK.</w:t>
      </w:r>
    </w:p>
  </w:footnote>
  <w:footnote w:id="91">
    <w:p w:rsidR="008B53A9" w:rsidRPr="008B53A9" w:rsidRDefault="008B53A9" w:rsidP="00F05C0C">
      <w:pPr>
        <w:pStyle w:val="Poznmkapodarou"/>
      </w:pPr>
      <w:r w:rsidRPr="008B53A9">
        <w:rPr>
          <w:rStyle w:val="Znakapoznpodarou"/>
        </w:rPr>
        <w:footnoteRef/>
      </w:r>
      <w:r w:rsidRPr="008B53A9">
        <w:t xml:space="preserve"> Usnesením vlády ČR ze dne 12. června 2013 č. 448 k Pravidlům řízení a koordinace Dohody o partnerství v programovém období 2014 – 2020 bylo Ministerstvo financí pověřenou výkonem funkce platebního a certifikačního orgánu.</w:t>
      </w:r>
    </w:p>
  </w:footnote>
  <w:footnote w:id="92">
    <w:p w:rsidR="008B53A9" w:rsidRPr="008B53A9" w:rsidRDefault="008B53A9" w:rsidP="00F05C0C">
      <w:pPr>
        <w:pStyle w:val="Poznmkapodarou"/>
      </w:pPr>
      <w:r w:rsidRPr="008B53A9">
        <w:rPr>
          <w:rStyle w:val="Znakapoznpodarou"/>
        </w:rPr>
        <w:footnoteRef/>
      </w:r>
      <w:r w:rsidRPr="008B53A9">
        <w:t xml:space="preserve"> Usnesením vlády ČR ze dne 12. června 2013 č. 448 k Pravidlům řízení a koordinace Dohody o partnerství v programovém období 2014 – 2020 bylo Ministerstvo financí pověřeno výkonem funkce auditního orgánu.</w:t>
      </w:r>
    </w:p>
  </w:footnote>
  <w:footnote w:id="93">
    <w:p w:rsidR="008B53A9" w:rsidRPr="008B53A9" w:rsidRDefault="008B53A9" w:rsidP="00F05C0C">
      <w:pPr>
        <w:pStyle w:val="Poznmkapodarou"/>
      </w:pPr>
      <w:r w:rsidRPr="008B53A9">
        <w:rPr>
          <w:rStyle w:val="Znakapoznpodarou"/>
        </w:rPr>
        <w:footnoteRef/>
      </w:r>
      <w:r w:rsidRPr="008B53A9">
        <w:t xml:space="preserve"> Usnesením vlády ČR ze dne 12. června 2013 č. 448 k Pravidlům řízení a koordinace Dohody o partnerství v programovém období 2014 – 2020 bylo Ministerstvo financí pověřeno výkonem funkce platebního a certifikačního orgánu.</w:t>
      </w:r>
    </w:p>
  </w:footnote>
  <w:footnote w:id="94">
    <w:p w:rsidR="008B53A9" w:rsidRPr="008B53A9" w:rsidRDefault="008B53A9" w:rsidP="002D7AD5">
      <w:pPr>
        <w:pStyle w:val="Poznmkapodarou"/>
      </w:pPr>
      <w:r w:rsidRPr="008B53A9">
        <w:rPr>
          <w:rStyle w:val="Znakapoznpodarou"/>
        </w:rPr>
        <w:footnoteRef/>
      </w:r>
      <w:r w:rsidRPr="008B53A9">
        <w:t xml:space="preserve"> Enterprise Europe Network působí v téměř padesáti zemích světa. V České republice je zastoupena konsorciem jedenácti partnerů koordinovaném Technologickým centrem AV ČR a je financována Evropskou unií z Rámcového programu EU pro konkurenceschopnost a inovace a Ministerstvem průmyslu a obchodu.</w:t>
      </w:r>
    </w:p>
  </w:footnote>
  <w:footnote w:id="95">
    <w:p w:rsidR="008B53A9" w:rsidRPr="008B53A9" w:rsidRDefault="008B53A9" w:rsidP="00E2032C">
      <w:pPr>
        <w:pStyle w:val="Poznmkapodarou"/>
      </w:pPr>
      <w:r w:rsidRPr="008B53A9">
        <w:rPr>
          <w:rStyle w:val="Znakapoznpodarou"/>
        </w:rPr>
        <w:footnoteRef/>
      </w:r>
      <w:r w:rsidRPr="008B53A9">
        <w:t xml:space="preserve"> Dle výsledků probíhající inventarizace těchto lokalit.</w:t>
      </w:r>
    </w:p>
  </w:footnote>
  <w:footnote w:id="96">
    <w:p w:rsidR="008B53A9" w:rsidRPr="008B53A9" w:rsidRDefault="008B53A9" w:rsidP="005021A2">
      <w:pPr>
        <w:pStyle w:val="Poznmkapodarou"/>
      </w:pPr>
      <w:r w:rsidRPr="008B53A9">
        <w:rPr>
          <w:rStyle w:val="Znakapoznpodarou"/>
        </w:rPr>
        <w:footnoteRef/>
      </w:r>
      <w:r w:rsidRPr="008B53A9">
        <w:t xml:space="preserve"> Draft Guidance on Ex Ante Conditionalities for the European Structural and Investment Funds (ESI), 13 February 2014.</w:t>
      </w:r>
    </w:p>
  </w:footnote>
  <w:footnote w:id="97">
    <w:p w:rsidR="008B53A9" w:rsidRPr="008B53A9" w:rsidRDefault="008B53A9" w:rsidP="005021A2">
      <w:pPr>
        <w:pStyle w:val="Poznmkapodarou"/>
      </w:pPr>
      <w:r w:rsidRPr="008B53A9">
        <w:rPr>
          <w:rStyle w:val="Znakapoznpodarou"/>
        </w:rPr>
        <w:footnoteRef/>
      </w:r>
      <w:r w:rsidRPr="008B53A9">
        <w:t xml:space="preserve"> Směrnice EP a Rady 2009/28/ES o podpoře využívání energie z obnovitelných zdrojů energie, Směrnice EP  a Rady </w:t>
      </w:r>
      <w:r w:rsidRPr="008B53A9">
        <w:rPr>
          <w:bCs/>
        </w:rPr>
        <w:t>2010/31/EU</w:t>
      </w:r>
      <w:r w:rsidRPr="008B53A9">
        <w:t xml:space="preserve"> o energetické náročnosti budov, Směrnice EP a Rady </w:t>
      </w:r>
      <w:r w:rsidRPr="008B53A9">
        <w:rPr>
          <w:bCs/>
        </w:rPr>
        <w:t>2006/32/ES</w:t>
      </w:r>
      <w:r w:rsidRPr="008B53A9">
        <w:t xml:space="preserve"> o energetické účinnosti u konečného uživatele a o energetických službách</w:t>
      </w:r>
    </w:p>
  </w:footnote>
  <w:footnote w:id="98">
    <w:p w:rsidR="008B53A9" w:rsidRPr="008B53A9" w:rsidRDefault="008B53A9" w:rsidP="0089670B">
      <w:pPr>
        <w:pStyle w:val="Poznmkapodarou"/>
        <w:rPr>
          <w:rFonts w:ascii="Calibri" w:hAnsi="Calibri"/>
          <w:b/>
          <w:sz w:val="24"/>
          <w:szCs w:val="24"/>
        </w:rPr>
      </w:pPr>
      <w:r w:rsidRPr="008B53A9">
        <w:rPr>
          <w:rStyle w:val="Znakapoznpodarou"/>
        </w:rPr>
        <w:footnoteRef/>
      </w:r>
      <w:r w:rsidRPr="008B53A9">
        <w:t xml:space="preserve"> S ohledem na limit počtu znaků daný šablonou EK dle přílohy prováděcího nařízení Vzor pro operační programy v rámci cíle Investice pro růst a zaměstnanost“ (COESIF, 31. ledna 2014) je vysvětlení k vybraným kritériím obsaženo také v Příloze č. II.</w:t>
      </w:r>
      <w:r w:rsidRPr="008B53A9">
        <w:rPr>
          <w:rFonts w:ascii="Calibri" w:hAnsi="Calibri"/>
          <w:b/>
          <w:sz w:val="24"/>
          <w:szCs w:val="24"/>
        </w:rPr>
        <w:br w:type="page"/>
      </w:r>
    </w:p>
    <w:p w:rsidR="008B53A9" w:rsidRPr="008B53A9" w:rsidRDefault="008B53A9" w:rsidP="0089670B">
      <w:pPr>
        <w:pStyle w:val="Textpoznpodarou"/>
      </w:pPr>
    </w:p>
  </w:footnote>
  <w:footnote w:id="99">
    <w:p w:rsidR="008B53A9" w:rsidRPr="008B53A9" w:rsidRDefault="008B53A9" w:rsidP="0089670B">
      <w:pPr>
        <w:pStyle w:val="Poznmkapodarou"/>
      </w:pPr>
      <w:r w:rsidRPr="008B53A9">
        <w:rPr>
          <w:rStyle w:val="Znakapoznpodarou"/>
        </w:rPr>
        <w:footnoteRef/>
      </w:r>
      <w:r w:rsidRPr="008B53A9">
        <w:t xml:space="preserve"> Rozhodnutí Rady 2009/26/ES ze dne 26. listopadu 2009 o uzavření Úmluvy Organizace spojených národů o právech osob se zdravotním postižením Evropským společenstvím, Úř. věst. L 23, 27.1.2010, s. 35. </w:t>
      </w:r>
    </w:p>
    <w:p w:rsidR="008B53A9" w:rsidRPr="008B53A9" w:rsidRDefault="008B53A9" w:rsidP="0089670B">
      <w:pPr>
        <w:pStyle w:val="Textpoznpodarou"/>
      </w:pPr>
    </w:p>
  </w:footnote>
  <w:footnote w:id="100">
    <w:p w:rsidR="008B53A9" w:rsidRPr="008B53A9" w:rsidRDefault="008B53A9" w:rsidP="0089670B">
      <w:pPr>
        <w:pStyle w:val="Poznmkapodarou"/>
      </w:pPr>
      <w:r w:rsidRPr="008B53A9">
        <w:rPr>
          <w:rStyle w:val="Znakapoznpodarou"/>
        </w:rPr>
        <w:footnoteRef/>
      </w:r>
      <w:r w:rsidRPr="008B53A9">
        <w:t xml:space="preserve"> Směrnice Evropského parlamentu a Rady 2011/92/EU ze dne 13. prosince 2011 o posuzování vlivů některých veřejných a soukromých záměrů na životní prostředí (Úř. věst. L 26, 28.1.2012, s. 1).</w:t>
      </w:r>
    </w:p>
  </w:footnote>
  <w:footnote w:id="101">
    <w:p w:rsidR="008B53A9" w:rsidRPr="008B53A9" w:rsidRDefault="008B53A9" w:rsidP="0089670B">
      <w:pPr>
        <w:pStyle w:val="Poznmkapodarou"/>
      </w:pPr>
      <w:r w:rsidRPr="008B53A9">
        <w:rPr>
          <w:rStyle w:val="Znakapoznpodarou"/>
        </w:rPr>
        <w:footnoteRef/>
      </w:r>
      <w:r w:rsidRPr="008B53A9">
        <w:t xml:space="preserve"> Směrnice Evropského parlamentu a Rady 2001/42/ES ze dne 27. června 2001 o posuzování vlivů některých plánů a programů na životní prostředí (Úř. věst. L 197, 21.7.2001, s. 30).</w:t>
      </w:r>
    </w:p>
    <w:p w:rsidR="008B53A9" w:rsidRPr="008B53A9" w:rsidRDefault="008B53A9" w:rsidP="0089670B">
      <w:pPr>
        <w:pStyle w:val="Textpoznpodarou"/>
      </w:pPr>
    </w:p>
  </w:footnote>
  <w:footnote w:id="102">
    <w:p w:rsidR="008B53A9" w:rsidRPr="008B53A9" w:rsidRDefault="008B53A9" w:rsidP="0089670B">
      <w:pPr>
        <w:pStyle w:val="Poznmkapodarou"/>
      </w:pPr>
      <w:r w:rsidRPr="008B53A9">
        <w:rPr>
          <w:rStyle w:val="Znakapoznpodarou"/>
        </w:rPr>
        <w:footnoteRef/>
      </w:r>
      <w:r w:rsidRPr="008B53A9">
        <w:t xml:space="preserve"> Směrnice Evropského parlamentu a Rady 2010/31/EU ze dne 19. května 2010 o energetické náročnosti budov (Úř. věst. L 153, 18.6.2010, s. 13).</w:t>
      </w:r>
    </w:p>
  </w:footnote>
  <w:footnote w:id="103">
    <w:p w:rsidR="008B53A9" w:rsidRPr="008B53A9" w:rsidRDefault="008B53A9" w:rsidP="0089670B">
      <w:pPr>
        <w:pStyle w:val="Poznmkapodarou"/>
      </w:pPr>
      <w:r w:rsidRPr="008B53A9">
        <w:rPr>
          <w:rStyle w:val="Znakapoznpodarou"/>
        </w:rPr>
        <w:footnoteRef/>
      </w:r>
      <w:r w:rsidRPr="008B53A9">
        <w:t xml:space="preserve"> Směrnice Evropského parlamentu a Rady 2012/27/EU ze dne 25. října 2012 o energetické účinnosti, o změně směrnic 2009/125/ES a 2010/30/EU a o zrušení směrnic 2004/8/ES a 2006/32/ES (Úř. věst. L 315, 14.11.2012, s. 1). </w:t>
      </w:r>
    </w:p>
  </w:footnote>
  <w:footnote w:id="104">
    <w:p w:rsidR="008B53A9" w:rsidRPr="008B53A9" w:rsidRDefault="008B53A9" w:rsidP="0089670B">
      <w:pPr>
        <w:pStyle w:val="Poznmkapodarou"/>
      </w:pPr>
      <w:r w:rsidRPr="008B53A9">
        <w:rPr>
          <w:rStyle w:val="Znakapoznpodarou"/>
        </w:rPr>
        <w:footnoteRef/>
      </w:r>
      <w:r w:rsidRPr="008B53A9">
        <w:t xml:space="preserve"> Směrnice Evropského parlamentu a Rady 2006/32/ES ze dne 5. dubna 2006 o energetické účinnosti u konečného uživatele a o energetických službách a o zrušení směrnice Rady 93/76/EHS (Úř. věst. L 114, 27.4.2006, s. 64). </w:t>
      </w:r>
    </w:p>
  </w:footnote>
  <w:footnote w:id="105">
    <w:p w:rsidR="008B53A9" w:rsidRPr="008B53A9" w:rsidRDefault="008B53A9" w:rsidP="0089670B">
      <w:pPr>
        <w:pStyle w:val="Poznmkapodarou"/>
      </w:pPr>
      <w:r w:rsidRPr="008B53A9">
        <w:rPr>
          <w:rStyle w:val="Znakapoznpodarou"/>
        </w:rPr>
        <w:footnoteRef/>
      </w:r>
      <w:r w:rsidRPr="008B53A9">
        <w:t xml:space="preserve"> Směrnice Evropského parlamentu a Rady 2009/28/ES ze dne 23. dubna 2009 o podpoře využívání energie z obnovitelných zdrojů a o změně a následném zrušení směrnic 2001/77/ES a 2003/30/ES (Úř. věst. L 140, 5.6.2009, s. 16).</w:t>
      </w:r>
    </w:p>
  </w:footnote>
  <w:footnote w:id="106">
    <w:p w:rsidR="008B53A9" w:rsidRPr="008B53A9" w:rsidRDefault="008B53A9" w:rsidP="0089670B">
      <w:pPr>
        <w:pStyle w:val="Poznmkapodarou"/>
      </w:pPr>
      <w:r w:rsidRPr="008B53A9">
        <w:rPr>
          <w:rStyle w:val="Znakapoznpodarou"/>
        </w:rPr>
        <w:footnoteRef/>
      </w:r>
      <w:r w:rsidRPr="008B53A9">
        <w:t xml:space="preserve"> Nařízení Evropského parlamentu a Rady (ES) č. 714/2009 ze dne 13. července 2009 o podmínkách přístupu do sítě pro přeshraniční obchod s elektřinou a o zrušení nařízení (ES) č. 1228/2003 (Úř. věst. L 211, 14.8.2009, s. 15).</w:t>
      </w:r>
    </w:p>
  </w:footnote>
  <w:footnote w:id="107">
    <w:p w:rsidR="008B53A9" w:rsidRPr="008B53A9" w:rsidRDefault="008B53A9" w:rsidP="0089670B">
      <w:pPr>
        <w:pStyle w:val="Poznmkapodarou"/>
      </w:pPr>
      <w:r w:rsidRPr="008B53A9">
        <w:rPr>
          <w:rStyle w:val="Znakapoznpodarou"/>
        </w:rPr>
        <w:footnoteRef/>
      </w:r>
      <w:r w:rsidRPr="008B53A9">
        <w:t xml:space="preserve"> Nařízení Evropského parlamentu a Rady (ES) Č. 715/2009 ze dne 13. července 2009 o podmínkách přístupu k plynárenským přepravním soustavám a o zrušení nařízení (ES) č. 1775/2005 (Úř. věst. L 211, 14.8.2009, s. 36). </w:t>
      </w:r>
    </w:p>
  </w:footnote>
  <w:footnote w:id="108">
    <w:p w:rsidR="008B53A9" w:rsidRPr="008B53A9" w:rsidRDefault="008B53A9" w:rsidP="008B53A9">
      <w:pPr>
        <w:pStyle w:val="Poznmkapodarou"/>
      </w:pPr>
      <w:r w:rsidRPr="008B53A9">
        <w:rPr>
          <w:rStyle w:val="Znakapoznpodarou"/>
        </w:rPr>
        <w:footnoteRef/>
      </w:r>
      <w:r w:rsidRPr="008B53A9">
        <w:t xml:space="preserve"> Nařízení Evropského parlamentu a Rady (EU) č. 347/2013 ze dne 17. dubna 2013 , kterým se stanoví hlavní směry pro transevropské energetické sítě a kterým se zrušuje rozhodnutí č. 1364/2006/ES a mění nařízení (ES) č. 713/2009, (ES) č. 714/2009 a (ES) č. 715/2009 ( Úř. věst. L 115, 25.4.2013, s. 39).</w:t>
      </w:r>
    </w:p>
  </w:footnote>
  <w:footnote w:id="109">
    <w:p w:rsidR="008B53A9" w:rsidRPr="008B53A9" w:rsidRDefault="008B53A9" w:rsidP="008B53A9">
      <w:pPr>
        <w:pStyle w:val="Poznmkapodarou"/>
        <w:rPr>
          <w:rFonts w:ascii="Calibri" w:hAnsi="Calibri"/>
          <w:b/>
          <w:sz w:val="24"/>
          <w:szCs w:val="24"/>
          <w:lang w:val="cs-CZ"/>
        </w:rPr>
      </w:pPr>
      <w:r w:rsidRPr="008B53A9">
        <w:rPr>
          <w:rStyle w:val="Znakapoznpodarou"/>
        </w:rPr>
        <w:footnoteRef/>
      </w:r>
      <w:r w:rsidRPr="008B53A9">
        <w:t xml:space="preserve"> S ohledem na limit počtu znaků daný šablonou EK dle přílohy prováděcího nařízení Vzor pro operační programy v rámci cíle Investice pro růst a zaměstnanost“ (COESIF, 31. ledna 2014) jsou vybraná opatření podrobněji popsána v Příloze č. II.</w:t>
      </w:r>
    </w:p>
  </w:footnote>
  <w:footnote w:id="110">
    <w:p w:rsidR="008B53A9" w:rsidRPr="008B53A9" w:rsidRDefault="008B53A9" w:rsidP="008A186B">
      <w:pPr>
        <w:pStyle w:val="Poznmkapodarou"/>
      </w:pPr>
      <w:r w:rsidRPr="008B53A9">
        <w:rPr>
          <w:rStyle w:val="Znakapoznpodarou"/>
        </w:rPr>
        <w:footnoteRef/>
      </w:r>
      <w:r w:rsidRPr="008B53A9">
        <w:t xml:space="preserve"> S ohledem na limit počtu znaků daný šablonou EK dle přílohy prováděcího nařízení Vzor pro operační programy v rámci cíle Investice pro růst a zaměstnanost“ (COESIF, 31. ledna 2014) jsou vybraná opatření podrobněji popsána v Příloze č. II.</w:t>
      </w:r>
    </w:p>
  </w:footnote>
  <w:footnote w:id="111">
    <w:p w:rsidR="008B53A9" w:rsidRPr="008B53A9" w:rsidRDefault="008B53A9" w:rsidP="00223D40">
      <w:pPr>
        <w:pStyle w:val="Poznmkapodarou"/>
      </w:pPr>
      <w:r w:rsidRPr="008B53A9">
        <w:rPr>
          <w:rStyle w:val="Znakapoznpodarou"/>
        </w:rPr>
        <w:footnoteRef/>
      </w:r>
      <w:r w:rsidRPr="008B53A9">
        <w:t xml:space="preserve"> Vyhodnocení internetové aplikace eAccount pro komunikaci s žadateli a příjemci Operačního programu Podnikání a inovace 2007 – 2013 (zpracovatel Ipsos Tambor, s. r. o., Praha, 2009).</w:t>
      </w:r>
    </w:p>
  </w:footnote>
  <w:footnote w:id="112">
    <w:p w:rsidR="008B53A9" w:rsidRPr="008B53A9" w:rsidRDefault="008B53A9" w:rsidP="00223D40">
      <w:pPr>
        <w:pStyle w:val="Poznmkapodarou"/>
      </w:pPr>
      <w:r w:rsidRPr="008B53A9">
        <w:rPr>
          <w:rStyle w:val="Znakapoznpodarou"/>
        </w:rPr>
        <w:footnoteRef/>
      </w:r>
      <w:r w:rsidRPr="008B53A9">
        <w:t xml:space="preserve"> Například evaluační studie Analýza efektivnosti čerpání, kvality řízení a procesních postupů Operačního programu Podnikání a inovace, včetně návrhu souboru opatření (zpracovatel eNovation s.r.o, Praha, 2011).</w:t>
      </w:r>
    </w:p>
  </w:footnote>
  <w:footnote w:id="113">
    <w:p w:rsidR="008B53A9" w:rsidRPr="008B53A9" w:rsidRDefault="008B53A9" w:rsidP="00223D40">
      <w:pPr>
        <w:pStyle w:val="Poznmkapodarou"/>
      </w:pPr>
      <w:r w:rsidRPr="008B53A9">
        <w:rPr>
          <w:rStyle w:val="Znakapoznpodarou"/>
        </w:rPr>
        <w:footnoteRef/>
      </w:r>
      <w:r w:rsidRPr="008B53A9">
        <w:t xml:space="preserve"> Evaluace procesů souvisejících s administrací žádostí o platbu včetně návrhu opatření směřujících ke zvyšování jejich efektivnosti (zpracovatel Deloitte, realizace 2013-2014).</w:t>
      </w:r>
    </w:p>
  </w:footnote>
  <w:footnote w:id="114">
    <w:p w:rsidR="008B53A9" w:rsidRPr="008B53A9" w:rsidRDefault="008B53A9" w:rsidP="00223D40">
      <w:pPr>
        <w:pStyle w:val="Textpoznpodarou"/>
      </w:pPr>
      <w:r w:rsidRPr="008B53A9">
        <w:rPr>
          <w:rStyle w:val="Znakapoznpodarou"/>
        </w:rPr>
        <w:footnoteRef/>
      </w:r>
      <w:r w:rsidRPr="008B53A9">
        <w:t xml:space="preserve"> Se snižováním administrativní zátěže podnikatelů souvisí rovněž požadavky monitoringu a to zejména v oblasti indikátorů. Více nepovinná příloha č. 3: Pojetí indikátorů v OP PIK.</w:t>
      </w:r>
    </w:p>
  </w:footnote>
  <w:footnote w:id="115">
    <w:p w:rsidR="008B53A9" w:rsidRPr="008B53A9" w:rsidRDefault="008B53A9">
      <w:pPr>
        <w:pStyle w:val="Textpoznpodarou"/>
      </w:pPr>
      <w:r w:rsidRPr="008B53A9">
        <w:rPr>
          <w:rStyle w:val="Znakapoznpodarou"/>
        </w:rPr>
        <w:footnoteRef/>
      </w:r>
      <w:r w:rsidRPr="008B53A9">
        <w:t xml:space="preserve"> Tato hodnota může být dále upravena na základě vyhodnocení veřejné konzultace k výsledkům průzkumu penetrace infrastruktury pro poskytování služeb vysokorychlostního přístupu k internetu, který v těchto dnech provádí ČTÚ.</w:t>
      </w:r>
    </w:p>
  </w:footnote>
  <w:footnote w:id="116">
    <w:p w:rsidR="008B53A9" w:rsidRPr="008B53A9" w:rsidRDefault="008B53A9" w:rsidP="00752339">
      <w:pPr>
        <w:pStyle w:val="Poznmkapodarou"/>
      </w:pPr>
      <w:r w:rsidRPr="008B53A9">
        <w:rPr>
          <w:rStyle w:val="Znakapoznpodarou"/>
        </w:rPr>
        <w:footnoteRef/>
      </w:r>
      <w:r w:rsidRPr="008B53A9">
        <w:t xml:space="preserve"> Klasifikace NACE: J – Informační a komunikační činnosti, K - Peněžnictví a pojišťovnictví.</w:t>
      </w:r>
    </w:p>
  </w:footnote>
  <w:footnote w:id="117">
    <w:p w:rsidR="008B53A9" w:rsidRPr="008B53A9" w:rsidRDefault="008B53A9" w:rsidP="00A74FE6">
      <w:pPr>
        <w:pStyle w:val="Poznmkapodarou"/>
      </w:pPr>
      <w:r w:rsidRPr="008B53A9">
        <w:rPr>
          <w:rStyle w:val="Znakapoznpodarou"/>
        </w:rPr>
        <w:footnoteRef/>
      </w:r>
      <w:r w:rsidRPr="008B53A9">
        <w:t xml:space="preserve"> ICT sektor je definován jako kombinace ekonomických činností produkujících výrobky a poskytujících služby, jež jsou primárně určeny ke zpracování, komunikaci a distribuci informací elektronickou cestou, včetně jejich zachycení, ukládání, přenosu a zobrazení (OECD, 2007).</w:t>
      </w:r>
    </w:p>
  </w:footnote>
  <w:footnote w:id="118">
    <w:p w:rsidR="008B53A9" w:rsidRPr="008B53A9" w:rsidRDefault="008B53A9" w:rsidP="00752339">
      <w:pPr>
        <w:pStyle w:val="Poznmkapodarou"/>
      </w:pPr>
      <w:r w:rsidRPr="008B53A9">
        <w:rPr>
          <w:rStyle w:val="Znakapoznpodarou"/>
        </w:rPr>
        <w:footnoteRef/>
      </w:r>
      <w:r w:rsidRPr="008B53A9">
        <w:t xml:space="preserve"> Data převzata převážně z analýzy </w:t>
      </w:r>
      <w:r w:rsidRPr="008B53A9">
        <w:rPr>
          <w:i/>
        </w:rPr>
        <w:t>Využívání IT v podnicích - výsledky za leden 201</w:t>
      </w:r>
      <w:r w:rsidRPr="008B53A9">
        <w:t>3, ČSÚ.</w:t>
      </w:r>
    </w:p>
  </w:footnote>
  <w:footnote w:id="119">
    <w:p w:rsidR="008B53A9" w:rsidRPr="008B53A9" w:rsidRDefault="008B53A9" w:rsidP="00752339">
      <w:pPr>
        <w:pStyle w:val="Poznmkapodarou"/>
      </w:pPr>
      <w:r w:rsidRPr="008B53A9">
        <w:rPr>
          <w:rStyle w:val="Znakapoznpodarou"/>
        </w:rPr>
        <w:footnoteRef/>
      </w:r>
      <w:r w:rsidRPr="008B53A9">
        <w:t xml:space="preserve"> Podle definice Národního institutu pro standardy a technologie Ministerstva obchodu Spojených států Amerických je cloud computing model umožňující na vyžádání všudypřítomný pohodlný síťový přístup ke sdíleným zdrojům konfigurovatelného výpočetního výkonu (např. sítě, servery, datová úložiště, aplikace a služby), který může být velmi rychle připraven a dodán s minimálním úsilím a interakcí poskytovatele.</w:t>
      </w:r>
    </w:p>
  </w:footnote>
  <w:footnote w:id="120">
    <w:p w:rsidR="008B53A9" w:rsidRPr="008B53A9" w:rsidRDefault="008B53A9" w:rsidP="00752339">
      <w:pPr>
        <w:pStyle w:val="Poznmkapodarou"/>
      </w:pPr>
      <w:r w:rsidRPr="008B53A9">
        <w:rPr>
          <w:rStyle w:val="Znakapoznpodarou"/>
        </w:rPr>
        <w:footnoteRef/>
      </w:r>
      <w:r w:rsidRPr="008B53A9">
        <w:t xml:space="preserve"> Feuerlicht, George, Burkon, Lukáš a Šebesta, Michal. Cloud Computing Adoption: What are the Issues, 2010. http://www.cssi.cz/cssi/system/files/all/si-2011-02p-16-Feuerlicht-Burkon-Sebesta.pdf.</w:t>
      </w:r>
    </w:p>
  </w:footnote>
  <w:footnote w:id="121">
    <w:p w:rsidR="008B53A9" w:rsidRPr="008B53A9" w:rsidRDefault="008B53A9" w:rsidP="00752339">
      <w:pPr>
        <w:pStyle w:val="Poznmkapodarou"/>
      </w:pPr>
      <w:r w:rsidRPr="008B53A9">
        <w:rPr>
          <w:rStyle w:val="Znakapoznpodarou"/>
        </w:rPr>
        <w:footnoteRef/>
      </w:r>
      <w:r w:rsidRPr="008B53A9">
        <w:t xml:space="preserve"> </w:t>
      </w:r>
      <w:r w:rsidRPr="008B53A9">
        <w:rPr>
          <w:bCs/>
          <w:szCs w:val="22"/>
        </w:rPr>
        <w:t>CIO Business World. Google: čeští podnikatelé nevědí, co je cloud. CIO Business World, 2011. http://businessworld.cz/temata?id=2&amp;article=on&amp;article_id=8309&amp;cat=&amp;q=Cloud%20computing&amp;sid=google-cesti-podnikatele-nevedi-co-je-cloud.</w:t>
      </w:r>
    </w:p>
  </w:footnote>
  <w:footnote w:id="122">
    <w:p w:rsidR="008B53A9" w:rsidRPr="008B53A9" w:rsidRDefault="008B53A9" w:rsidP="00B55193">
      <w:pPr>
        <w:pStyle w:val="Poznmkapodarou"/>
      </w:pPr>
      <w:r w:rsidRPr="008B53A9">
        <w:rPr>
          <w:rStyle w:val="Znakapoznpodarou"/>
        </w:rPr>
        <w:footnoteRef/>
      </w:r>
      <w:r w:rsidRPr="008B53A9">
        <w:t xml:space="preserve"> Možnosti využití tepla / vzdálené kogenerace na zemědělských BPS v České republice, zpracovatel </w:t>
      </w:r>
      <w:r w:rsidRPr="008B53A9">
        <w:rPr>
          <w:rFonts w:ascii="TimesNewRomanPSMT" w:hAnsi="TimesNewRomanPSMT" w:cs="TimesNewRomanPSMT"/>
        </w:rPr>
        <w:t>NovaEnergo s.r.o.,</w:t>
      </w:r>
      <w:r w:rsidRPr="008B53A9">
        <w:t xml:space="preserve"> květen 2013</w:t>
      </w:r>
    </w:p>
  </w:footnote>
  <w:footnote w:id="123">
    <w:p w:rsidR="00DF47AD" w:rsidRDefault="00DF47AD" w:rsidP="00DF47AD">
      <w:pPr>
        <w:pStyle w:val="Poznmkapodarou"/>
      </w:pPr>
      <w:r>
        <w:rPr>
          <w:rStyle w:val="Znakapoznpodarou"/>
        </w:rPr>
        <w:footnoteRef/>
      </w:r>
      <w:r>
        <w:t xml:space="preserve"> P</w:t>
      </w:r>
      <w:r w:rsidRPr="00247CB2">
        <w:t>ro každou bioplynovou stanici byly prozkoumány možnosti využití tepla/ vzdálené kogenerace</w:t>
      </w:r>
      <w:r>
        <w:t xml:space="preserve"> </w:t>
      </w:r>
      <w:r w:rsidRPr="00247CB2">
        <w:t>v okruhu 4 km od instalace. Pokud se v takto blízkém okolí stanice vyskytovalo větší sídlo</w:t>
      </w:r>
      <w:r>
        <w:t xml:space="preserve"> </w:t>
      </w:r>
      <w:r w:rsidRPr="00247CB2">
        <w:t>s centrálním zásobováním teplem, větší průmyslový nebo zemědělský podnik/ areál, nebo jiné stavby,</w:t>
      </w:r>
      <w:r>
        <w:t xml:space="preserve"> </w:t>
      </w:r>
      <w:r w:rsidRPr="00247CB2">
        <w:t>ve kterých by bylo možné teplo využívat, pak je do tabulky doplněno „ano“ (existuje možnost využití</w:t>
      </w:r>
      <w:r>
        <w:t xml:space="preserve"> </w:t>
      </w:r>
      <w:r w:rsidRPr="00247CB2">
        <w:t>tepla/ vzdálené kogenerace). V případě, že se v blízkosti BPS vyskytují větší sídla či areály, ale není</w:t>
      </w:r>
      <w:r>
        <w:t xml:space="preserve"> </w:t>
      </w:r>
      <w:r w:rsidRPr="00247CB2">
        <w:t>zcela jisté, zda jsou centrálně zásobeny teplem či zda jsou v provozu (není přístup k</w:t>
      </w:r>
      <w:r>
        <w:t> </w:t>
      </w:r>
      <w:r w:rsidRPr="00247CB2">
        <w:t>podrobnějším</w:t>
      </w:r>
      <w:r>
        <w:t xml:space="preserve"> </w:t>
      </w:r>
      <w:r w:rsidRPr="00247CB2">
        <w:t>datům), pak je do tabulky doplněno „možná“ (není jisté, zda existuje možnost využití tepla/ vzdálené</w:t>
      </w:r>
      <w:r>
        <w:t xml:space="preserve"> </w:t>
      </w:r>
      <w:r w:rsidRPr="00247CB2">
        <w:t>kogenerace, je třeba získat podrobnější data o okolí).</w:t>
      </w:r>
    </w:p>
  </w:footnote>
  <w:footnote w:id="124">
    <w:p w:rsidR="008B53A9" w:rsidRPr="008B53A9" w:rsidRDefault="008B53A9" w:rsidP="00282CE4">
      <w:pPr>
        <w:pStyle w:val="Poznmkapodarou"/>
      </w:pPr>
      <w:r w:rsidRPr="008B53A9">
        <w:rPr>
          <w:rStyle w:val="Znakapoznpodarou"/>
        </w:rPr>
        <w:footnoteRef/>
      </w:r>
      <w:r w:rsidRPr="008B53A9">
        <w:t xml:space="preserve"> Hodnoty v grafech obsahují data za ČEZ Distribuce a. s.</w:t>
      </w:r>
    </w:p>
  </w:footnote>
  <w:footnote w:id="125">
    <w:p w:rsidR="008B53A9" w:rsidRPr="008B53A9" w:rsidRDefault="008B53A9" w:rsidP="00B55193">
      <w:pPr>
        <w:pStyle w:val="Poznmkapodarou"/>
      </w:pPr>
      <w:r w:rsidRPr="008B53A9">
        <w:rPr>
          <w:rStyle w:val="Znakapoznpodarou"/>
        </w:rPr>
        <w:footnoteRef/>
      </w:r>
      <w:r w:rsidRPr="008B53A9">
        <w:t xml:space="preserve"> Podle Politiky druhotných surovin ČR lze za druhotnou surovinu považovat látky či předměty, které přestaly být odpadem nebo se odpadem nikdy nestaly (tzn. vedlejší produkty) a vstupují do dalšího procesu výroby či využití, s látkou či předmětem se běžně obchoduje a existují její technické charakteristiky jako např. technické a oborové normy, obchodní zvyklosti apod., které umožňují látku či předmět jednoznačně popsat pro potřeby obchodu či technologického procesu. </w:t>
      </w:r>
    </w:p>
  </w:footnote>
  <w:footnote w:id="126">
    <w:p w:rsidR="008B53A9" w:rsidRPr="008B53A9" w:rsidRDefault="008B53A9" w:rsidP="00B55193">
      <w:pPr>
        <w:pStyle w:val="Poznmkapodarou"/>
        <w:rPr>
          <w:rFonts w:ascii="Calibri" w:hAnsi="Calibri"/>
          <w:lang w:eastAsia="en-US"/>
        </w:rPr>
      </w:pPr>
      <w:r w:rsidRPr="008B53A9">
        <w:rPr>
          <w:rStyle w:val="Znakapoznpodarou"/>
        </w:rPr>
        <w:footnoteRef/>
      </w:r>
      <w:r w:rsidRPr="008B53A9">
        <w:t xml:space="preserve"> ERÚ, 2010: Cenové rozhodnutí Energetického regulačního úřadu č. 1/2010 ze dne 11. října 2010, k cenám tepelné energie</w:t>
      </w:r>
    </w:p>
  </w:footnote>
  <w:footnote w:id="127">
    <w:p w:rsidR="008B53A9" w:rsidRPr="008B53A9" w:rsidRDefault="008B53A9" w:rsidP="00B55193">
      <w:pPr>
        <w:pStyle w:val="Poznmkapodarou"/>
      </w:pPr>
      <w:r w:rsidRPr="008B53A9">
        <w:rPr>
          <w:rStyle w:val="Znakapoznpodarou"/>
        </w:rPr>
        <w:footnoteRef/>
      </w:r>
      <w:r w:rsidRPr="008B53A9">
        <w:t xml:space="preserve"> FinTherm Praha - KWH Pipe, a.s., 2013</w:t>
      </w:r>
    </w:p>
  </w:footnote>
  <w:footnote w:id="128">
    <w:p w:rsidR="008B53A9" w:rsidRPr="008B53A9" w:rsidRDefault="008B53A9" w:rsidP="00B55193">
      <w:pPr>
        <w:pStyle w:val="Poznmkapodarou"/>
      </w:pPr>
      <w:r w:rsidRPr="008B53A9">
        <w:rPr>
          <w:rStyle w:val="Znakapoznpodarou"/>
        </w:rPr>
        <w:footnoteRef/>
      </w:r>
      <w:r w:rsidRPr="008B53A9">
        <w:t xml:space="preserve"> V rámci ČR je v současnosti provozováno dle ERÚ 1 531,139 km parních rozvodů, přičemž dle odhadů členů Teplárenského sdružení ČR je možné rekonstruovat 2/3 délky existujících parních rozvodů.</w:t>
      </w:r>
    </w:p>
  </w:footnote>
  <w:footnote w:id="129">
    <w:p w:rsidR="008B53A9" w:rsidRPr="008B53A9" w:rsidRDefault="008B53A9" w:rsidP="00B55193">
      <w:pPr>
        <w:pStyle w:val="Poznmkapodarou"/>
      </w:pPr>
      <w:r w:rsidRPr="008B53A9">
        <w:rPr>
          <w:rStyle w:val="Znakapoznpodarou"/>
        </w:rPr>
        <w:footnoteRef/>
      </w:r>
      <w:r w:rsidRPr="008B53A9">
        <w:t xml:space="preserve"> Průměrná hodnota EU-27 nezahrnuje Chorvatsko.</w:t>
      </w:r>
    </w:p>
  </w:footnote>
  <w:footnote w:id="130">
    <w:p w:rsidR="008B53A9" w:rsidRPr="008B53A9" w:rsidRDefault="008B53A9" w:rsidP="00B55193">
      <w:pPr>
        <w:pStyle w:val="Poznmkapodarou"/>
      </w:pPr>
      <w:r w:rsidRPr="008B53A9">
        <w:rPr>
          <w:rStyle w:val="Znakapoznpodarou"/>
        </w:rPr>
        <w:footnoteRef/>
      </w:r>
      <w:r w:rsidRPr="008B53A9">
        <w:t xml:space="preserve"> MPO, 2006: Zpráva o výsledcích analýzy vnitrostátního potenciálu kombinované výroby elektřiny a tepla v České republice podle směrnice 2004/8/ES </w:t>
      </w:r>
    </w:p>
  </w:footnote>
  <w:footnote w:id="131">
    <w:p w:rsidR="008B53A9" w:rsidRPr="008B53A9" w:rsidRDefault="008B53A9" w:rsidP="00B55193">
      <w:pPr>
        <w:pStyle w:val="Poznmkapodarou"/>
      </w:pPr>
      <w:r w:rsidRPr="008B53A9">
        <w:rPr>
          <w:rStyle w:val="Znakapoznpodarou"/>
        </w:rPr>
        <w:footnoteRef/>
      </w:r>
      <w:r w:rsidRPr="008B53A9">
        <w:t xml:space="preserve"> Data Teplárenského sdružení ČR, ORTEP k 1. 1. 2013</w:t>
      </w:r>
    </w:p>
  </w:footnote>
  <w:footnote w:id="132">
    <w:p w:rsidR="008B53A9" w:rsidRPr="008B53A9" w:rsidRDefault="008B53A9" w:rsidP="00FC0044">
      <w:pPr>
        <w:pStyle w:val="Poznmkapodarou"/>
      </w:pPr>
      <w:r w:rsidRPr="008B53A9">
        <w:rPr>
          <w:rStyle w:val="Znakapoznpodarou"/>
          <w:sz w:val="16"/>
          <w:szCs w:val="16"/>
        </w:rPr>
        <w:footnoteRef/>
      </w:r>
      <w:r w:rsidRPr="008B53A9">
        <w:t xml:space="preserve"> Zejm.: EC Guidance Document on Monitoring and Evaluation – European Regional Development Fund and European Social Fund – Concepts and Recommendations, March 2014;</w:t>
      </w:r>
      <w:r w:rsidRPr="008B53A9">
        <w:rPr>
          <w:rFonts w:ascii="Tahoma" w:hAnsi="Tahoma" w:cs="Tahoma"/>
        </w:rPr>
        <w:t xml:space="preserve"> </w:t>
      </w:r>
      <w:r w:rsidRPr="008B53A9">
        <w:t>EC Results Indicators 2014+: Report on Pilot Tests in 23 Regions/OPs Across 15 MS of the EU, January 2013; F. Barca, P. McCann: Outcome Indicators and Targets - Towards a New System of Monitoring and Evaluation in EU Cohesion Policy, June 2011 aj.</w:t>
      </w:r>
    </w:p>
  </w:footnote>
  <w:footnote w:id="133">
    <w:p w:rsidR="008B53A9" w:rsidRPr="008B53A9" w:rsidRDefault="008B53A9" w:rsidP="00FC0044">
      <w:pPr>
        <w:pStyle w:val="Poznmkapodarou"/>
      </w:pPr>
      <w:r w:rsidRPr="008B53A9">
        <w:rPr>
          <w:rStyle w:val="Znakapoznpodarou"/>
          <w:sz w:val="16"/>
          <w:szCs w:val="16"/>
        </w:rPr>
        <w:footnoteRef/>
      </w:r>
      <w:r w:rsidRPr="008B53A9">
        <w:t xml:space="preserve"> „Vyhodnocení a optimalizace soustavy indikátorů OPPI 2007 - 2012“ realizované IREAS centrum, s.r.o. Praha.</w:t>
      </w:r>
    </w:p>
  </w:footnote>
  <w:footnote w:id="134">
    <w:p w:rsidR="008B53A9" w:rsidRDefault="008B53A9" w:rsidP="00F004B3">
      <w:pPr>
        <w:pStyle w:val="Poznmkapodarou"/>
      </w:pPr>
      <w:r w:rsidRPr="008B53A9">
        <w:rPr>
          <w:rStyle w:val="Znakapoznpodarou"/>
        </w:rPr>
        <w:footnoteRef/>
      </w:r>
      <w:r w:rsidRPr="008B53A9">
        <w:t xml:space="preserve"> Dle výsledků probíhající inventarizace těchto lokalit.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24960" behindDoc="0" locked="0" layoutInCell="1" allowOverlap="1" wp14:anchorId="35AFB9BC" wp14:editId="31753D3C">
          <wp:simplePos x="0" y="0"/>
          <wp:positionH relativeFrom="column">
            <wp:posOffset>4554855</wp:posOffset>
          </wp:positionH>
          <wp:positionV relativeFrom="paragraph">
            <wp:posOffset>18415</wp:posOffset>
          </wp:positionV>
          <wp:extent cx="1301115" cy="445770"/>
          <wp:effectExtent l="0" t="0" r="0" b="0"/>
          <wp:wrapNone/>
          <wp:docPr id="7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27008" behindDoc="1" locked="0" layoutInCell="1" allowOverlap="1" wp14:anchorId="79BAFBC3" wp14:editId="1559674C">
          <wp:simplePos x="0" y="0"/>
          <wp:positionH relativeFrom="column">
            <wp:posOffset>-37465</wp:posOffset>
          </wp:positionH>
          <wp:positionV relativeFrom="paragraph">
            <wp:posOffset>-309880</wp:posOffset>
          </wp:positionV>
          <wp:extent cx="1383030" cy="739775"/>
          <wp:effectExtent l="0" t="0" r="7620" b="0"/>
          <wp:wrapNone/>
          <wp:docPr id="7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left:0;text-align:left;margin-left:-49.2pt;margin-top:298.85pt;width:541pt;height:98.35pt;rotation:315;z-index:-251623936;mso-position-horizontal-relative:margin;mso-position-vertical-relative:margin" o:allowincell="f" fillcolor="silver" stroked="f">
          <v:fill opacity=".5"/>
          <v:textpath style="font-family:&quot;Times New Roman&quot;;font-size:1pt" string="DRAFT MPO"/>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78208" behindDoc="0" locked="0" layoutInCell="1" allowOverlap="1" wp14:anchorId="3373A4A4" wp14:editId="767FFA85">
          <wp:simplePos x="0" y="0"/>
          <wp:positionH relativeFrom="column">
            <wp:posOffset>7723505</wp:posOffset>
          </wp:positionH>
          <wp:positionV relativeFrom="paragraph">
            <wp:posOffset>18415</wp:posOffset>
          </wp:positionV>
          <wp:extent cx="1301115" cy="445770"/>
          <wp:effectExtent l="0" t="0" r="0" b="0"/>
          <wp:wrapNone/>
          <wp:docPr id="45"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79232" behindDoc="1" locked="0" layoutInCell="1" allowOverlap="1" wp14:anchorId="26BAC371" wp14:editId="65E89AF1">
          <wp:simplePos x="0" y="0"/>
          <wp:positionH relativeFrom="column">
            <wp:posOffset>-37465</wp:posOffset>
          </wp:positionH>
          <wp:positionV relativeFrom="paragraph">
            <wp:posOffset>-309880</wp:posOffset>
          </wp:positionV>
          <wp:extent cx="1383030" cy="739775"/>
          <wp:effectExtent l="0" t="0" r="7620" b="0"/>
          <wp:wrapNone/>
          <wp:docPr id="4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75136" behindDoc="0" locked="0" layoutInCell="1" allowOverlap="1" wp14:anchorId="2FE1CDAC" wp14:editId="049C0D7D">
          <wp:simplePos x="0" y="0"/>
          <wp:positionH relativeFrom="column">
            <wp:posOffset>4554855</wp:posOffset>
          </wp:positionH>
          <wp:positionV relativeFrom="paragraph">
            <wp:posOffset>18415</wp:posOffset>
          </wp:positionV>
          <wp:extent cx="1301115" cy="445770"/>
          <wp:effectExtent l="0" t="0" r="0" b="0"/>
          <wp:wrapNone/>
          <wp:docPr id="42"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76160" behindDoc="1" locked="0" layoutInCell="1" allowOverlap="1" wp14:anchorId="71BE2B41" wp14:editId="278E5B52">
          <wp:simplePos x="0" y="0"/>
          <wp:positionH relativeFrom="column">
            <wp:posOffset>-37465</wp:posOffset>
          </wp:positionH>
          <wp:positionV relativeFrom="paragraph">
            <wp:posOffset>-309880</wp:posOffset>
          </wp:positionV>
          <wp:extent cx="1383030" cy="739775"/>
          <wp:effectExtent l="0" t="0" r="7620" b="0"/>
          <wp:wrapNone/>
          <wp:docPr id="4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84352" behindDoc="0" locked="0" layoutInCell="1" allowOverlap="1" wp14:anchorId="4D0B7984" wp14:editId="4C41A926">
          <wp:simplePos x="0" y="0"/>
          <wp:positionH relativeFrom="column">
            <wp:posOffset>7680960</wp:posOffset>
          </wp:positionH>
          <wp:positionV relativeFrom="paragraph">
            <wp:posOffset>20320</wp:posOffset>
          </wp:positionV>
          <wp:extent cx="1301115" cy="445770"/>
          <wp:effectExtent l="0" t="0" r="0" b="0"/>
          <wp:wrapNone/>
          <wp:docPr id="39"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85376" behindDoc="1" locked="0" layoutInCell="1" allowOverlap="1" wp14:anchorId="0E02FBBD" wp14:editId="2380287A">
          <wp:simplePos x="0" y="0"/>
          <wp:positionH relativeFrom="column">
            <wp:posOffset>-37465</wp:posOffset>
          </wp:positionH>
          <wp:positionV relativeFrom="paragraph">
            <wp:posOffset>-309880</wp:posOffset>
          </wp:positionV>
          <wp:extent cx="1383030" cy="739775"/>
          <wp:effectExtent l="0" t="0" r="7620" b="0"/>
          <wp:wrapNone/>
          <wp:docPr id="3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80256" behindDoc="0" locked="0" layoutInCell="1" allowOverlap="1" wp14:anchorId="73A9AB03" wp14:editId="4F1297E9">
          <wp:simplePos x="0" y="0"/>
          <wp:positionH relativeFrom="column">
            <wp:posOffset>4554855</wp:posOffset>
          </wp:positionH>
          <wp:positionV relativeFrom="paragraph">
            <wp:posOffset>18415</wp:posOffset>
          </wp:positionV>
          <wp:extent cx="1301115" cy="445770"/>
          <wp:effectExtent l="0" t="0" r="0" b="0"/>
          <wp:wrapNone/>
          <wp:docPr id="3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81280" behindDoc="1" locked="0" layoutInCell="1" allowOverlap="1" wp14:anchorId="175AAF39" wp14:editId="0D00CE90">
          <wp:simplePos x="0" y="0"/>
          <wp:positionH relativeFrom="column">
            <wp:posOffset>-37465</wp:posOffset>
          </wp:positionH>
          <wp:positionV relativeFrom="paragraph">
            <wp:posOffset>-309880</wp:posOffset>
          </wp:positionV>
          <wp:extent cx="1383030" cy="739775"/>
          <wp:effectExtent l="0" t="0" r="7620" b="0"/>
          <wp:wrapNone/>
          <wp:docPr id="3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90496" behindDoc="0" locked="0" layoutInCell="1" allowOverlap="1" wp14:anchorId="64EC126B" wp14:editId="4F8B8D27">
          <wp:simplePos x="0" y="0"/>
          <wp:positionH relativeFrom="column">
            <wp:posOffset>7680960</wp:posOffset>
          </wp:positionH>
          <wp:positionV relativeFrom="paragraph">
            <wp:posOffset>18415</wp:posOffset>
          </wp:positionV>
          <wp:extent cx="1301115" cy="445770"/>
          <wp:effectExtent l="0" t="0" r="0" b="0"/>
          <wp:wrapNone/>
          <wp:docPr id="33"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91520" behindDoc="1" locked="0" layoutInCell="1" allowOverlap="1" wp14:anchorId="37B2FBCB" wp14:editId="6872606D">
          <wp:simplePos x="0" y="0"/>
          <wp:positionH relativeFrom="column">
            <wp:posOffset>-37465</wp:posOffset>
          </wp:positionH>
          <wp:positionV relativeFrom="paragraph">
            <wp:posOffset>-309880</wp:posOffset>
          </wp:positionV>
          <wp:extent cx="1383030" cy="739775"/>
          <wp:effectExtent l="0" t="0" r="7620" b="0"/>
          <wp:wrapNone/>
          <wp:docPr id="3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86400" behindDoc="0" locked="0" layoutInCell="1" allowOverlap="1" wp14:anchorId="73F06BFC" wp14:editId="696B88E6">
          <wp:simplePos x="0" y="0"/>
          <wp:positionH relativeFrom="column">
            <wp:posOffset>4554855</wp:posOffset>
          </wp:positionH>
          <wp:positionV relativeFrom="paragraph">
            <wp:posOffset>18415</wp:posOffset>
          </wp:positionV>
          <wp:extent cx="1301115" cy="445770"/>
          <wp:effectExtent l="0" t="0" r="0" b="0"/>
          <wp:wrapNone/>
          <wp:docPr id="3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87424" behindDoc="1" locked="0" layoutInCell="1" allowOverlap="1" wp14:anchorId="5D6FBE0A" wp14:editId="22DA6159">
          <wp:simplePos x="0" y="0"/>
          <wp:positionH relativeFrom="column">
            <wp:posOffset>-37465</wp:posOffset>
          </wp:positionH>
          <wp:positionV relativeFrom="paragraph">
            <wp:posOffset>-309880</wp:posOffset>
          </wp:positionV>
          <wp:extent cx="1383030" cy="739775"/>
          <wp:effectExtent l="0" t="0" r="7620" b="0"/>
          <wp:wrapNone/>
          <wp:docPr id="2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53632" behindDoc="0" locked="0" layoutInCell="1" allowOverlap="1" wp14:anchorId="4E367608" wp14:editId="1A5AF7B6">
          <wp:simplePos x="0" y="0"/>
          <wp:positionH relativeFrom="column">
            <wp:posOffset>7724775</wp:posOffset>
          </wp:positionH>
          <wp:positionV relativeFrom="paragraph">
            <wp:posOffset>18415</wp:posOffset>
          </wp:positionV>
          <wp:extent cx="1301115" cy="445770"/>
          <wp:effectExtent l="0" t="0" r="0" b="0"/>
          <wp:wrapNone/>
          <wp:docPr id="27"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54656" behindDoc="1" locked="0" layoutInCell="1" allowOverlap="1" wp14:anchorId="2EDDBCB0" wp14:editId="0B9C6EED">
          <wp:simplePos x="0" y="0"/>
          <wp:positionH relativeFrom="column">
            <wp:posOffset>-37465</wp:posOffset>
          </wp:positionH>
          <wp:positionV relativeFrom="paragraph">
            <wp:posOffset>-309880</wp:posOffset>
          </wp:positionV>
          <wp:extent cx="1383030" cy="739775"/>
          <wp:effectExtent l="0" t="0" r="7620" b="0"/>
          <wp:wrapNone/>
          <wp:docPr id="26"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157951">
    <w:pPr>
      <w:pStyle w:val="Zhlav"/>
    </w:pPr>
  </w:p>
  <w:p w:rsidR="008B53A9" w:rsidRDefault="008B53A9" w:rsidP="00157951">
    <w:pPr>
      <w:pStyle w:val="Zhlav"/>
    </w:pPr>
    <w:r>
      <w:rPr>
        <w:noProof/>
        <w:lang w:val="cs-CZ" w:eastAsia="cs-CZ"/>
      </w:rPr>
      <w:drawing>
        <wp:anchor distT="0" distB="0" distL="114300" distR="114300" simplePos="0" relativeHeight="251656704" behindDoc="0" locked="0" layoutInCell="1" allowOverlap="1" wp14:anchorId="01D8C2A6" wp14:editId="73AFFF9E">
          <wp:simplePos x="0" y="0"/>
          <wp:positionH relativeFrom="column">
            <wp:posOffset>7724775</wp:posOffset>
          </wp:positionH>
          <wp:positionV relativeFrom="paragraph">
            <wp:posOffset>18415</wp:posOffset>
          </wp:positionV>
          <wp:extent cx="1301115" cy="445770"/>
          <wp:effectExtent l="0" t="0" r="0" b="0"/>
          <wp:wrapNone/>
          <wp:docPr id="24"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157951">
    <w:pPr>
      <w:pStyle w:val="Zhlav"/>
    </w:pPr>
    <w:r>
      <w:rPr>
        <w:noProof/>
        <w:lang w:val="cs-CZ" w:eastAsia="cs-CZ"/>
      </w:rPr>
      <w:drawing>
        <wp:anchor distT="0" distB="0" distL="114300" distR="114300" simplePos="0" relativeHeight="251657728" behindDoc="1" locked="0" layoutInCell="1" allowOverlap="1" wp14:anchorId="41EE3BC6" wp14:editId="6B77F092">
          <wp:simplePos x="0" y="0"/>
          <wp:positionH relativeFrom="column">
            <wp:posOffset>-37465</wp:posOffset>
          </wp:positionH>
          <wp:positionV relativeFrom="paragraph">
            <wp:posOffset>-309880</wp:posOffset>
          </wp:positionV>
          <wp:extent cx="1383030" cy="739775"/>
          <wp:effectExtent l="0" t="0" r="7620" b="0"/>
          <wp:wrapNone/>
          <wp:docPr id="2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157951">
    <w:pPr>
      <w:pStyle w:val="Zhlav"/>
    </w:pPr>
  </w:p>
  <w:p w:rsidR="008B53A9" w:rsidRPr="009B666C" w:rsidRDefault="008B53A9" w:rsidP="009B666C">
    <w:pPr>
      <w:pStyle w:val="Zhlav"/>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51584" behindDoc="0" locked="0" layoutInCell="1" allowOverlap="1" wp14:anchorId="686C602A" wp14:editId="20B229BD">
          <wp:simplePos x="0" y="0"/>
          <wp:positionH relativeFrom="column">
            <wp:posOffset>4554855</wp:posOffset>
          </wp:positionH>
          <wp:positionV relativeFrom="paragraph">
            <wp:posOffset>18415</wp:posOffset>
          </wp:positionV>
          <wp:extent cx="1301115" cy="445770"/>
          <wp:effectExtent l="0" t="0" r="0" b="0"/>
          <wp:wrapNone/>
          <wp:docPr id="21"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52608" behindDoc="1" locked="0" layoutInCell="1" allowOverlap="1" wp14:anchorId="6DF80283" wp14:editId="5E854709">
          <wp:simplePos x="0" y="0"/>
          <wp:positionH relativeFrom="column">
            <wp:posOffset>-37465</wp:posOffset>
          </wp:positionH>
          <wp:positionV relativeFrom="paragraph">
            <wp:posOffset>-309880</wp:posOffset>
          </wp:positionV>
          <wp:extent cx="1383030" cy="739775"/>
          <wp:effectExtent l="0" t="0" r="7620" b="0"/>
          <wp:wrapNone/>
          <wp:docPr id="20"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46464" behindDoc="0" locked="0" layoutInCell="1" allowOverlap="1" wp14:anchorId="793CD665" wp14:editId="2DF9E338">
          <wp:simplePos x="0" y="0"/>
          <wp:positionH relativeFrom="column">
            <wp:posOffset>4554855</wp:posOffset>
          </wp:positionH>
          <wp:positionV relativeFrom="paragraph">
            <wp:posOffset>18415</wp:posOffset>
          </wp:positionV>
          <wp:extent cx="1301115" cy="445770"/>
          <wp:effectExtent l="0" t="0" r="0" b="0"/>
          <wp:wrapNone/>
          <wp:docPr id="18"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47488" behindDoc="1" locked="0" layoutInCell="1" allowOverlap="1" wp14:anchorId="668E9EDA" wp14:editId="0871044A">
          <wp:simplePos x="0" y="0"/>
          <wp:positionH relativeFrom="column">
            <wp:posOffset>-37465</wp:posOffset>
          </wp:positionH>
          <wp:positionV relativeFrom="paragraph">
            <wp:posOffset>-309880</wp:posOffset>
          </wp:positionV>
          <wp:extent cx="1383030" cy="739775"/>
          <wp:effectExtent l="0" t="0" r="7620" b="0"/>
          <wp:wrapNone/>
          <wp:docPr id="1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22912" behindDoc="0" locked="0" layoutInCell="1" allowOverlap="1" wp14:anchorId="2C9123AE" wp14:editId="57129331">
          <wp:simplePos x="0" y="0"/>
          <wp:positionH relativeFrom="column">
            <wp:posOffset>4531995</wp:posOffset>
          </wp:positionH>
          <wp:positionV relativeFrom="paragraph">
            <wp:posOffset>94615</wp:posOffset>
          </wp:positionV>
          <wp:extent cx="1301115" cy="445770"/>
          <wp:effectExtent l="0" t="0" r="0" b="0"/>
          <wp:wrapNone/>
          <wp:docPr id="68" name="Obrázek 9"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22503D">
    <w:pPr>
      <w:pStyle w:val="Zhlav"/>
    </w:pPr>
    <w:r>
      <w:rPr>
        <w:noProof/>
        <w:lang w:val="cs-CZ" w:eastAsia="cs-CZ"/>
      </w:rPr>
      <w:drawing>
        <wp:anchor distT="0" distB="0" distL="114300" distR="114300" simplePos="0" relativeHeight="251623936" behindDoc="1" locked="0" layoutInCell="1" allowOverlap="1" wp14:anchorId="7EA5957D" wp14:editId="3164E2AF">
          <wp:simplePos x="0" y="0"/>
          <wp:positionH relativeFrom="column">
            <wp:posOffset>-37465</wp:posOffset>
          </wp:positionH>
          <wp:positionV relativeFrom="paragraph">
            <wp:posOffset>-309880</wp:posOffset>
          </wp:positionV>
          <wp:extent cx="1383030" cy="739775"/>
          <wp:effectExtent l="0" t="0" r="7620" b="0"/>
          <wp:wrapNone/>
          <wp:docPr id="67"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pPr>
      <w:pStyle w:val="Zhlav"/>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42368" behindDoc="0" locked="0" layoutInCell="1" allowOverlap="1" wp14:anchorId="33E16F1C" wp14:editId="6A705365">
          <wp:simplePos x="0" y="0"/>
          <wp:positionH relativeFrom="column">
            <wp:posOffset>7689215</wp:posOffset>
          </wp:positionH>
          <wp:positionV relativeFrom="paragraph">
            <wp:posOffset>18415</wp:posOffset>
          </wp:positionV>
          <wp:extent cx="1301115" cy="445770"/>
          <wp:effectExtent l="0" t="0" r="0" b="0"/>
          <wp:wrapNone/>
          <wp:docPr id="15"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43392" behindDoc="1" locked="0" layoutInCell="1" allowOverlap="1" wp14:anchorId="723C3BCE" wp14:editId="0BCF402E">
          <wp:simplePos x="0" y="0"/>
          <wp:positionH relativeFrom="column">
            <wp:posOffset>-37465</wp:posOffset>
          </wp:positionH>
          <wp:positionV relativeFrom="paragraph">
            <wp:posOffset>-309880</wp:posOffset>
          </wp:positionV>
          <wp:extent cx="1383030" cy="739775"/>
          <wp:effectExtent l="0" t="0" r="7620" b="0"/>
          <wp:wrapNone/>
          <wp:docPr id="1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40320" behindDoc="0" locked="0" layoutInCell="1" allowOverlap="1" wp14:anchorId="6E499C48" wp14:editId="18FD679A">
          <wp:simplePos x="0" y="0"/>
          <wp:positionH relativeFrom="column">
            <wp:posOffset>4554855</wp:posOffset>
          </wp:positionH>
          <wp:positionV relativeFrom="paragraph">
            <wp:posOffset>18415</wp:posOffset>
          </wp:positionV>
          <wp:extent cx="1301115" cy="445770"/>
          <wp:effectExtent l="0" t="0" r="0" b="0"/>
          <wp:wrapNone/>
          <wp:docPr id="12" name="Obrázek 203"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3"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41344" behindDoc="1" locked="0" layoutInCell="1" allowOverlap="1" wp14:anchorId="4C7C3292" wp14:editId="53ACEAA6">
          <wp:simplePos x="0" y="0"/>
          <wp:positionH relativeFrom="column">
            <wp:posOffset>-37465</wp:posOffset>
          </wp:positionH>
          <wp:positionV relativeFrom="paragraph">
            <wp:posOffset>-309880</wp:posOffset>
          </wp:positionV>
          <wp:extent cx="1383030" cy="739775"/>
          <wp:effectExtent l="0" t="0" r="7620" b="0"/>
          <wp:wrapNone/>
          <wp:docPr id="11"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62848" behindDoc="0" locked="0" layoutInCell="1" allowOverlap="1" wp14:anchorId="3AC49B9C" wp14:editId="239278CE">
          <wp:simplePos x="0" y="0"/>
          <wp:positionH relativeFrom="column">
            <wp:posOffset>4554855</wp:posOffset>
          </wp:positionH>
          <wp:positionV relativeFrom="paragraph">
            <wp:posOffset>18415</wp:posOffset>
          </wp:positionV>
          <wp:extent cx="1301115" cy="445770"/>
          <wp:effectExtent l="0" t="0" r="0" b="0"/>
          <wp:wrapNone/>
          <wp:docPr id="9" name="Obrázek 209"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9"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63872" behindDoc="1" locked="0" layoutInCell="1" allowOverlap="1" wp14:anchorId="45314091" wp14:editId="0D86CA54">
          <wp:simplePos x="0" y="0"/>
          <wp:positionH relativeFrom="column">
            <wp:posOffset>-37465</wp:posOffset>
          </wp:positionH>
          <wp:positionV relativeFrom="paragraph">
            <wp:posOffset>-309880</wp:posOffset>
          </wp:positionV>
          <wp:extent cx="1383030" cy="739775"/>
          <wp:effectExtent l="0" t="0" r="7620" b="0"/>
          <wp:wrapNone/>
          <wp:docPr id="8"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p w:rsidR="008B53A9" w:rsidRDefault="008B53A9"/>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64896" behindDoc="0" locked="0" layoutInCell="1" allowOverlap="1">
          <wp:simplePos x="0" y="0"/>
          <wp:positionH relativeFrom="column">
            <wp:posOffset>7735570</wp:posOffset>
          </wp:positionH>
          <wp:positionV relativeFrom="paragraph">
            <wp:posOffset>88900</wp:posOffset>
          </wp:positionV>
          <wp:extent cx="1301115" cy="445770"/>
          <wp:effectExtent l="0" t="0" r="0" b="0"/>
          <wp:wrapNone/>
          <wp:docPr id="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65920" behindDoc="1" locked="0" layoutInCell="1" allowOverlap="1">
          <wp:simplePos x="0" y="0"/>
          <wp:positionH relativeFrom="column">
            <wp:posOffset>-37465</wp:posOffset>
          </wp:positionH>
          <wp:positionV relativeFrom="paragraph">
            <wp:posOffset>-309880</wp:posOffset>
          </wp:positionV>
          <wp:extent cx="1383030" cy="739775"/>
          <wp:effectExtent l="0" t="0" r="7620" b="0"/>
          <wp:wrapNone/>
          <wp:docPr id="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28032" behindDoc="0" locked="0" layoutInCell="1" allowOverlap="1" wp14:anchorId="06591A3C" wp14:editId="23502E4A">
          <wp:simplePos x="0" y="0"/>
          <wp:positionH relativeFrom="column">
            <wp:posOffset>4554855</wp:posOffset>
          </wp:positionH>
          <wp:positionV relativeFrom="paragraph">
            <wp:posOffset>18415</wp:posOffset>
          </wp:positionV>
          <wp:extent cx="1301115" cy="445770"/>
          <wp:effectExtent l="0" t="0" r="0" b="0"/>
          <wp:wrapNone/>
          <wp:docPr id="6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29056" behindDoc="1" locked="0" layoutInCell="1" allowOverlap="1" wp14:anchorId="560C9317" wp14:editId="3B73BAC3">
          <wp:simplePos x="0" y="0"/>
          <wp:positionH relativeFrom="column">
            <wp:posOffset>-37465</wp:posOffset>
          </wp:positionH>
          <wp:positionV relativeFrom="paragraph">
            <wp:posOffset>-309880</wp:posOffset>
          </wp:positionV>
          <wp:extent cx="1383030" cy="739775"/>
          <wp:effectExtent l="0" t="0" r="7620" b="0"/>
          <wp:wrapNone/>
          <wp:docPr id="6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30080" behindDoc="0" locked="0" layoutInCell="1" allowOverlap="1" wp14:anchorId="3AC0700F" wp14:editId="0397B0CA">
          <wp:simplePos x="0" y="0"/>
          <wp:positionH relativeFrom="column">
            <wp:posOffset>7755255</wp:posOffset>
          </wp:positionH>
          <wp:positionV relativeFrom="paragraph">
            <wp:posOffset>18415</wp:posOffset>
          </wp:positionV>
          <wp:extent cx="1301115" cy="445770"/>
          <wp:effectExtent l="0" t="0" r="0" b="0"/>
          <wp:wrapNone/>
          <wp:docPr id="63" name="Obrázek 149"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9"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31104" behindDoc="1" locked="0" layoutInCell="1" allowOverlap="1" wp14:anchorId="6D65F7D7" wp14:editId="7BE1F7BA">
          <wp:simplePos x="0" y="0"/>
          <wp:positionH relativeFrom="column">
            <wp:posOffset>-37465</wp:posOffset>
          </wp:positionH>
          <wp:positionV relativeFrom="paragraph">
            <wp:posOffset>-309880</wp:posOffset>
          </wp:positionV>
          <wp:extent cx="1383030" cy="739775"/>
          <wp:effectExtent l="0" t="0" r="7620" b="0"/>
          <wp:wrapNone/>
          <wp:docPr id="6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32128" behindDoc="0" locked="0" layoutInCell="1" allowOverlap="1" wp14:anchorId="48630FFA" wp14:editId="1B68C7DC">
          <wp:simplePos x="0" y="0"/>
          <wp:positionH relativeFrom="column">
            <wp:posOffset>4554855</wp:posOffset>
          </wp:positionH>
          <wp:positionV relativeFrom="paragraph">
            <wp:posOffset>18415</wp:posOffset>
          </wp:positionV>
          <wp:extent cx="1301115" cy="445770"/>
          <wp:effectExtent l="0" t="0" r="0" b="0"/>
          <wp:wrapNone/>
          <wp:docPr id="60"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33152" behindDoc="1" locked="0" layoutInCell="1" allowOverlap="1" wp14:anchorId="1DC7F4D4" wp14:editId="1B081B72">
          <wp:simplePos x="0" y="0"/>
          <wp:positionH relativeFrom="column">
            <wp:posOffset>-37465</wp:posOffset>
          </wp:positionH>
          <wp:positionV relativeFrom="paragraph">
            <wp:posOffset>-309880</wp:posOffset>
          </wp:positionV>
          <wp:extent cx="1383030" cy="739775"/>
          <wp:effectExtent l="0" t="0" r="7620" b="0"/>
          <wp:wrapNone/>
          <wp:docPr id="5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37248" behindDoc="0" locked="0" layoutInCell="1" allowOverlap="1" wp14:anchorId="6945D738" wp14:editId="375E7C66">
          <wp:simplePos x="0" y="0"/>
          <wp:positionH relativeFrom="column">
            <wp:posOffset>7698105</wp:posOffset>
          </wp:positionH>
          <wp:positionV relativeFrom="paragraph">
            <wp:posOffset>18415</wp:posOffset>
          </wp:positionV>
          <wp:extent cx="1301115" cy="445770"/>
          <wp:effectExtent l="0" t="0" r="0" b="0"/>
          <wp:wrapNone/>
          <wp:docPr id="57"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38272" behindDoc="1" locked="0" layoutInCell="1" allowOverlap="1" wp14:anchorId="3ED734F7" wp14:editId="6117AE63">
          <wp:simplePos x="0" y="0"/>
          <wp:positionH relativeFrom="column">
            <wp:posOffset>-37465</wp:posOffset>
          </wp:positionH>
          <wp:positionV relativeFrom="paragraph">
            <wp:posOffset>-309880</wp:posOffset>
          </wp:positionV>
          <wp:extent cx="1383030" cy="739775"/>
          <wp:effectExtent l="0" t="0" r="7620" b="0"/>
          <wp:wrapNone/>
          <wp:docPr id="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58752" behindDoc="0" locked="0" layoutInCell="1" allowOverlap="1" wp14:anchorId="61E3DF8B" wp14:editId="7E03B66D">
          <wp:simplePos x="0" y="0"/>
          <wp:positionH relativeFrom="column">
            <wp:posOffset>4554855</wp:posOffset>
          </wp:positionH>
          <wp:positionV relativeFrom="paragraph">
            <wp:posOffset>18415</wp:posOffset>
          </wp:positionV>
          <wp:extent cx="1301115" cy="445770"/>
          <wp:effectExtent l="0" t="0" r="0" b="0"/>
          <wp:wrapNone/>
          <wp:docPr id="54"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59776" behindDoc="1" locked="0" layoutInCell="1" allowOverlap="1" wp14:anchorId="6F7A791E" wp14:editId="488567F6">
          <wp:simplePos x="0" y="0"/>
          <wp:positionH relativeFrom="column">
            <wp:posOffset>-37465</wp:posOffset>
          </wp:positionH>
          <wp:positionV relativeFrom="paragraph">
            <wp:posOffset>-309880</wp:posOffset>
          </wp:positionV>
          <wp:extent cx="1383030" cy="739775"/>
          <wp:effectExtent l="0" t="0" r="7620" b="0"/>
          <wp:wrapNone/>
          <wp:docPr id="5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70016" behindDoc="0" locked="0" layoutInCell="1" allowOverlap="1" wp14:anchorId="44E67927" wp14:editId="58C29459">
          <wp:simplePos x="0" y="0"/>
          <wp:positionH relativeFrom="column">
            <wp:posOffset>7712710</wp:posOffset>
          </wp:positionH>
          <wp:positionV relativeFrom="paragraph">
            <wp:posOffset>20320</wp:posOffset>
          </wp:positionV>
          <wp:extent cx="1301115" cy="445770"/>
          <wp:effectExtent l="0" t="0" r="0" b="0"/>
          <wp:wrapNone/>
          <wp:docPr id="96"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71040" behindDoc="1" locked="0" layoutInCell="1" allowOverlap="1" wp14:anchorId="3BC2099A" wp14:editId="1DF728AC">
          <wp:simplePos x="0" y="0"/>
          <wp:positionH relativeFrom="column">
            <wp:posOffset>-37465</wp:posOffset>
          </wp:positionH>
          <wp:positionV relativeFrom="paragraph">
            <wp:posOffset>-309880</wp:posOffset>
          </wp:positionV>
          <wp:extent cx="1383030" cy="739775"/>
          <wp:effectExtent l="0" t="0" r="7620" b="0"/>
          <wp:wrapNone/>
          <wp:docPr id="9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3A9" w:rsidRDefault="008B53A9" w:rsidP="0022503D">
    <w:pPr>
      <w:pStyle w:val="Zhlav"/>
    </w:pPr>
  </w:p>
  <w:p w:rsidR="008B53A9" w:rsidRDefault="008B53A9" w:rsidP="0022503D">
    <w:pPr>
      <w:pStyle w:val="Zhlav"/>
    </w:pPr>
    <w:r>
      <w:rPr>
        <w:noProof/>
        <w:lang w:val="cs-CZ" w:eastAsia="cs-CZ"/>
      </w:rPr>
      <w:drawing>
        <wp:anchor distT="0" distB="0" distL="114300" distR="114300" simplePos="0" relativeHeight="251672064" behindDoc="0" locked="0" layoutInCell="1" allowOverlap="1" wp14:anchorId="161AF628" wp14:editId="236210FC">
          <wp:simplePos x="0" y="0"/>
          <wp:positionH relativeFrom="column">
            <wp:posOffset>4554855</wp:posOffset>
          </wp:positionH>
          <wp:positionV relativeFrom="paragraph">
            <wp:posOffset>18415</wp:posOffset>
          </wp:positionV>
          <wp:extent cx="1301115" cy="445770"/>
          <wp:effectExtent l="0" t="0" r="0" b="0"/>
          <wp:wrapNone/>
          <wp:docPr id="48" name="Obrázek 14" descr="Popis: Popis: Popis: Popis: Popis: Popis: Logo EU_ERDF_C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Popis: Popis: Popis: Popis: Popis: Popis: Logo EU_ERDF_C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115"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B53A9" w:rsidRDefault="008B53A9" w:rsidP="009B666C">
    <w:pPr>
      <w:pStyle w:val="Zhlav"/>
    </w:pPr>
    <w:r>
      <w:rPr>
        <w:noProof/>
        <w:lang w:val="cs-CZ" w:eastAsia="cs-CZ"/>
      </w:rPr>
      <w:drawing>
        <wp:anchor distT="0" distB="0" distL="114300" distR="114300" simplePos="0" relativeHeight="251673088" behindDoc="1" locked="0" layoutInCell="1" allowOverlap="1" wp14:anchorId="04324CB9" wp14:editId="18B5F907">
          <wp:simplePos x="0" y="0"/>
          <wp:positionH relativeFrom="column">
            <wp:posOffset>-37465</wp:posOffset>
          </wp:positionH>
          <wp:positionV relativeFrom="paragraph">
            <wp:posOffset>-309880</wp:posOffset>
          </wp:positionV>
          <wp:extent cx="1383030" cy="739775"/>
          <wp:effectExtent l="0" t="0" r="7620" b="0"/>
          <wp:wrapNone/>
          <wp:docPr id="47"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83030" cy="7397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8B53A9" w:rsidRDefault="008B53A9" w:rsidP="0022503D">
    <w:pPr>
      <w:pStyle w:val="Zhlav"/>
    </w:pPr>
  </w:p>
  <w:p w:rsidR="008B53A9" w:rsidRDefault="008B53A9" w:rsidP="0022503D">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C0C374E"/>
    <w:lvl w:ilvl="0">
      <w:start w:val="1"/>
      <w:numFmt w:val="bullet"/>
      <w:pStyle w:val="TabNad"/>
      <w:lvlText w:val=""/>
      <w:lvlJc w:val="left"/>
      <w:pPr>
        <w:tabs>
          <w:tab w:val="num" w:pos="360"/>
        </w:tabs>
        <w:ind w:left="360" w:hanging="360"/>
      </w:pPr>
      <w:rPr>
        <w:rFonts w:ascii="Symbol" w:hAnsi="Symbol" w:cs="Symbol" w:hint="default"/>
      </w:rPr>
    </w:lvl>
  </w:abstractNum>
  <w:abstractNum w:abstractNumId="1">
    <w:nsid w:val="00A730E7"/>
    <w:multiLevelType w:val="hybridMultilevel"/>
    <w:tmpl w:val="72E08B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0BF5244"/>
    <w:multiLevelType w:val="hybridMultilevel"/>
    <w:tmpl w:val="6BE6C3B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4253674"/>
    <w:multiLevelType w:val="multilevel"/>
    <w:tmpl w:val="13C4C2C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06EC4B78"/>
    <w:multiLevelType w:val="hybridMultilevel"/>
    <w:tmpl w:val="061263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B085C56"/>
    <w:multiLevelType w:val="hybridMultilevel"/>
    <w:tmpl w:val="4F5038A4"/>
    <w:lvl w:ilvl="0" w:tplc="487897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0D681069"/>
    <w:multiLevelType w:val="hybridMultilevel"/>
    <w:tmpl w:val="A80AF7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0DD83EE2"/>
    <w:multiLevelType w:val="hybridMultilevel"/>
    <w:tmpl w:val="D6B0E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08440C1"/>
    <w:multiLevelType w:val="hybridMultilevel"/>
    <w:tmpl w:val="E0B8AF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68B06A0"/>
    <w:multiLevelType w:val="multilevel"/>
    <w:tmpl w:val="9612AFD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6D7601C"/>
    <w:multiLevelType w:val="hybridMultilevel"/>
    <w:tmpl w:val="A0CE9F2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176C352F"/>
    <w:multiLevelType w:val="hybridMultilevel"/>
    <w:tmpl w:val="128ABC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179F67F0"/>
    <w:multiLevelType w:val="hybridMultilevel"/>
    <w:tmpl w:val="76BECBC2"/>
    <w:lvl w:ilvl="0" w:tplc="0405000F">
      <w:start w:val="1"/>
      <w:numFmt w:val="decimal"/>
      <w:lvlText w:val="%1."/>
      <w:lvlJc w:val="left"/>
      <w:pPr>
        <w:ind w:left="786" w:hanging="360"/>
      </w:p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13">
    <w:nsid w:val="18B20F28"/>
    <w:multiLevelType w:val="hybridMultilevel"/>
    <w:tmpl w:val="4C42F7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1A137BAC"/>
    <w:multiLevelType w:val="hybridMultilevel"/>
    <w:tmpl w:val="A86EE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1B3E5598"/>
    <w:multiLevelType w:val="multilevel"/>
    <w:tmpl w:val="B2CE1168"/>
    <w:lvl w:ilvl="0">
      <w:start w:val="1"/>
      <w:numFmt w:val="upperLetter"/>
      <w:pStyle w:val="kapitola2A"/>
      <w:lvlText w:val="2.%1"/>
      <w:lvlJc w:val="left"/>
      <w:pPr>
        <w:ind w:left="432" w:hanging="432"/>
      </w:pPr>
      <w:rPr>
        <w:rFonts w:ascii="Calibri" w:hAnsi="Calibri" w:hint="default"/>
        <w:sz w:val="24"/>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1ED03BD1"/>
    <w:multiLevelType w:val="multilevel"/>
    <w:tmpl w:val="19D8BE0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1F193060"/>
    <w:multiLevelType w:val="multilevel"/>
    <w:tmpl w:val="00C8317C"/>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1FEA1A9D"/>
    <w:multiLevelType w:val="hybridMultilevel"/>
    <w:tmpl w:val="8162FC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22CB0A85"/>
    <w:multiLevelType w:val="hybridMultilevel"/>
    <w:tmpl w:val="6ABE92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24A928ED"/>
    <w:multiLevelType w:val="multilevel"/>
    <w:tmpl w:val="D1623A4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26362730"/>
    <w:multiLevelType w:val="hybridMultilevel"/>
    <w:tmpl w:val="1632E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2A3620A8"/>
    <w:multiLevelType w:val="multilevel"/>
    <w:tmpl w:val="7CE25252"/>
    <w:lvl w:ilvl="0">
      <w:start w:val="1"/>
      <w:numFmt w:val="decimal"/>
      <w:lvlText w:val="KAPITOLA %1."/>
      <w:lvlJc w:val="left"/>
      <w:pPr>
        <w:ind w:left="432" w:hanging="432"/>
      </w:pPr>
      <w:rPr>
        <w:rFonts w:hint="default"/>
        <w:sz w:val="28"/>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B.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2CBD7B9B"/>
    <w:multiLevelType w:val="hybridMultilevel"/>
    <w:tmpl w:val="9A7E3D9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2CC07699"/>
    <w:multiLevelType w:val="multilevel"/>
    <w:tmpl w:val="621E7B6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2F7545D7"/>
    <w:multiLevelType w:val="multilevel"/>
    <w:tmpl w:val="B0B6CC1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30D528F0"/>
    <w:multiLevelType w:val="hybridMultilevel"/>
    <w:tmpl w:val="E4CC0FA2"/>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12223B1"/>
    <w:multiLevelType w:val="multilevel"/>
    <w:tmpl w:val="DA023246"/>
    <w:lvl w:ilvl="0">
      <w:start w:val="1"/>
      <w:numFmt w:val="decimal"/>
      <w:pStyle w:val="Nadpis1"/>
      <w:lvlText w:val="ODDÍL %1"/>
      <w:lvlJc w:val="left"/>
      <w:pPr>
        <w:ind w:left="716" w:hanging="432"/>
      </w:pPr>
      <w:rPr>
        <w:rFonts w:hint="default"/>
        <w:spacing w:val="20"/>
        <w:sz w:val="28"/>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A.2.%4"/>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8">
    <w:nsid w:val="31874933"/>
    <w:multiLevelType w:val="hybridMultilevel"/>
    <w:tmpl w:val="95E877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319D0170"/>
    <w:multiLevelType w:val="hybridMultilevel"/>
    <w:tmpl w:val="7E061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2D95FF5"/>
    <w:multiLevelType w:val="hybridMultilevel"/>
    <w:tmpl w:val="F788C7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3545C03"/>
    <w:multiLevelType w:val="hybridMultilevel"/>
    <w:tmpl w:val="691484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3403176C"/>
    <w:multiLevelType w:val="multilevel"/>
    <w:tmpl w:val="1FC4186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34E45574"/>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4">
    <w:nsid w:val="357F1338"/>
    <w:multiLevelType w:val="hybridMultilevel"/>
    <w:tmpl w:val="0A42FE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39AE0397"/>
    <w:multiLevelType w:val="hybridMultilevel"/>
    <w:tmpl w:val="8B56C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3B142540"/>
    <w:multiLevelType w:val="hybridMultilevel"/>
    <w:tmpl w:val="27CE8772"/>
    <w:lvl w:ilvl="0" w:tplc="DF3A60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3BA736C9"/>
    <w:multiLevelType w:val="singleLevel"/>
    <w:tmpl w:val="9BD81856"/>
    <w:lvl w:ilvl="0">
      <w:start w:val="1"/>
      <w:numFmt w:val="bullet"/>
      <w:lvlRestart w:val="0"/>
      <w:pStyle w:val="Tiret0"/>
      <w:lvlText w:val="–"/>
      <w:lvlJc w:val="left"/>
      <w:pPr>
        <w:tabs>
          <w:tab w:val="num" w:pos="850"/>
        </w:tabs>
        <w:ind w:left="850" w:hanging="850"/>
      </w:pPr>
    </w:lvl>
  </w:abstractNum>
  <w:abstractNum w:abstractNumId="38">
    <w:nsid w:val="3BB12A95"/>
    <w:multiLevelType w:val="hybridMultilevel"/>
    <w:tmpl w:val="89143154"/>
    <w:lvl w:ilvl="0" w:tplc="04050011">
      <w:start w:val="1"/>
      <w:numFmt w:val="decimal"/>
      <w:lvlText w:val="%1)"/>
      <w:lvlJc w:val="left"/>
      <w:pPr>
        <w:ind w:left="720" w:hanging="360"/>
      </w:pPr>
    </w:lvl>
    <w:lvl w:ilvl="1" w:tplc="DF3A60AE">
      <w:numFmt w:val="bullet"/>
      <w:lvlText w:val="•"/>
      <w:lvlJc w:val="left"/>
      <w:pPr>
        <w:ind w:left="1785" w:hanging="705"/>
      </w:pPr>
      <w:rPr>
        <w:rFonts w:ascii="Times New Roman" w:eastAsia="Times New Roman" w:hAnsi="Times New Roman"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3DB4652B"/>
    <w:multiLevelType w:val="hybridMultilevel"/>
    <w:tmpl w:val="D4D45D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3EA05091"/>
    <w:multiLevelType w:val="hybridMultilevel"/>
    <w:tmpl w:val="27A2F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nsid w:val="3EAE5849"/>
    <w:multiLevelType w:val="hybridMultilevel"/>
    <w:tmpl w:val="3E0012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414819B7"/>
    <w:multiLevelType w:val="hybridMultilevel"/>
    <w:tmpl w:val="68C6D9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425029A3"/>
    <w:multiLevelType w:val="hybridMultilevel"/>
    <w:tmpl w:val="23E6B2CA"/>
    <w:lvl w:ilvl="0" w:tplc="DF3A60AE">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42770BBC"/>
    <w:multiLevelType w:val="multilevel"/>
    <w:tmpl w:val="65CEFECA"/>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5">
    <w:nsid w:val="42C12092"/>
    <w:multiLevelType w:val="hybridMultilevel"/>
    <w:tmpl w:val="78C213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446C143B"/>
    <w:multiLevelType w:val="hybridMultilevel"/>
    <w:tmpl w:val="9F10961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44AB1CAF"/>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463A4FC4"/>
    <w:multiLevelType w:val="hybridMultilevel"/>
    <w:tmpl w:val="C338C91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9">
    <w:nsid w:val="46F57269"/>
    <w:multiLevelType w:val="hybridMultilevel"/>
    <w:tmpl w:val="0B88E556"/>
    <w:lvl w:ilvl="0" w:tplc="20C0AB16">
      <w:start w:val="1"/>
      <w:numFmt w:val="lowerLetter"/>
      <w:lvlText w:val="%1)"/>
      <w:lvlJc w:val="left"/>
      <w:pPr>
        <w:ind w:left="1065" w:hanging="360"/>
      </w:pPr>
      <w:rPr>
        <w:rFonts w:hint="default"/>
      </w:rPr>
    </w:lvl>
    <w:lvl w:ilvl="1" w:tplc="04050019" w:tentative="1">
      <w:start w:val="1"/>
      <w:numFmt w:val="lowerLetter"/>
      <w:lvlText w:val="%2."/>
      <w:lvlJc w:val="left"/>
      <w:pPr>
        <w:ind w:left="1785" w:hanging="360"/>
      </w:pPr>
    </w:lvl>
    <w:lvl w:ilvl="2" w:tplc="0405001B" w:tentative="1">
      <w:start w:val="1"/>
      <w:numFmt w:val="lowerRoman"/>
      <w:lvlText w:val="%3."/>
      <w:lvlJc w:val="right"/>
      <w:pPr>
        <w:ind w:left="2505" w:hanging="180"/>
      </w:pPr>
    </w:lvl>
    <w:lvl w:ilvl="3" w:tplc="0405000F" w:tentative="1">
      <w:start w:val="1"/>
      <w:numFmt w:val="decimal"/>
      <w:lvlText w:val="%4."/>
      <w:lvlJc w:val="left"/>
      <w:pPr>
        <w:ind w:left="3225" w:hanging="360"/>
      </w:pPr>
    </w:lvl>
    <w:lvl w:ilvl="4" w:tplc="04050019" w:tentative="1">
      <w:start w:val="1"/>
      <w:numFmt w:val="lowerLetter"/>
      <w:lvlText w:val="%5."/>
      <w:lvlJc w:val="left"/>
      <w:pPr>
        <w:ind w:left="3945" w:hanging="360"/>
      </w:pPr>
    </w:lvl>
    <w:lvl w:ilvl="5" w:tplc="0405001B" w:tentative="1">
      <w:start w:val="1"/>
      <w:numFmt w:val="lowerRoman"/>
      <w:lvlText w:val="%6."/>
      <w:lvlJc w:val="right"/>
      <w:pPr>
        <w:ind w:left="4665" w:hanging="180"/>
      </w:pPr>
    </w:lvl>
    <w:lvl w:ilvl="6" w:tplc="0405000F" w:tentative="1">
      <w:start w:val="1"/>
      <w:numFmt w:val="decimal"/>
      <w:lvlText w:val="%7."/>
      <w:lvlJc w:val="left"/>
      <w:pPr>
        <w:ind w:left="5385" w:hanging="360"/>
      </w:pPr>
    </w:lvl>
    <w:lvl w:ilvl="7" w:tplc="04050019" w:tentative="1">
      <w:start w:val="1"/>
      <w:numFmt w:val="lowerLetter"/>
      <w:lvlText w:val="%8."/>
      <w:lvlJc w:val="left"/>
      <w:pPr>
        <w:ind w:left="6105" w:hanging="360"/>
      </w:pPr>
    </w:lvl>
    <w:lvl w:ilvl="8" w:tplc="0405001B" w:tentative="1">
      <w:start w:val="1"/>
      <w:numFmt w:val="lowerRoman"/>
      <w:lvlText w:val="%9."/>
      <w:lvlJc w:val="right"/>
      <w:pPr>
        <w:ind w:left="6825" w:hanging="180"/>
      </w:pPr>
    </w:lvl>
  </w:abstractNum>
  <w:abstractNum w:abstractNumId="50">
    <w:nsid w:val="47165FAE"/>
    <w:multiLevelType w:val="hybridMultilevel"/>
    <w:tmpl w:val="A4E46A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nsid w:val="494931A5"/>
    <w:multiLevelType w:val="multilevel"/>
    <w:tmpl w:val="CEE4812E"/>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2">
    <w:nsid w:val="4A474A5E"/>
    <w:multiLevelType w:val="multilevel"/>
    <w:tmpl w:val="C294203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3">
    <w:nsid w:val="4A5C7CB1"/>
    <w:multiLevelType w:val="multilevel"/>
    <w:tmpl w:val="93C2E0C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4B5F3A7E"/>
    <w:multiLevelType w:val="hybridMultilevel"/>
    <w:tmpl w:val="657A59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nsid w:val="4B9D7FB2"/>
    <w:multiLevelType w:val="hybridMultilevel"/>
    <w:tmpl w:val="599291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nsid w:val="4C89635E"/>
    <w:multiLevelType w:val="hybridMultilevel"/>
    <w:tmpl w:val="9D42640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nsid w:val="4CC56787"/>
    <w:multiLevelType w:val="hybridMultilevel"/>
    <w:tmpl w:val="0388DF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4E014A45"/>
    <w:multiLevelType w:val="hybridMultilevel"/>
    <w:tmpl w:val="F1F264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nsid w:val="4EBE07BD"/>
    <w:multiLevelType w:val="hybridMultilevel"/>
    <w:tmpl w:val="392E0C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nsid w:val="4F1E0072"/>
    <w:multiLevelType w:val="hybridMultilevel"/>
    <w:tmpl w:val="617E88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nsid w:val="4FCF6B6C"/>
    <w:multiLevelType w:val="hybridMultilevel"/>
    <w:tmpl w:val="C1345A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50B16A0D"/>
    <w:multiLevelType w:val="hybridMultilevel"/>
    <w:tmpl w:val="98544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nsid w:val="50CE3722"/>
    <w:multiLevelType w:val="hybridMultilevel"/>
    <w:tmpl w:val="A89CDE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nsid w:val="510209BC"/>
    <w:multiLevelType w:val="hybridMultilevel"/>
    <w:tmpl w:val="4FF876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nsid w:val="55BB30EB"/>
    <w:multiLevelType w:val="hybridMultilevel"/>
    <w:tmpl w:val="75F47E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55F84D62"/>
    <w:multiLevelType w:val="hybridMultilevel"/>
    <w:tmpl w:val="DED64F54"/>
    <w:lvl w:ilvl="0" w:tplc="04050017">
      <w:start w:val="1"/>
      <w:numFmt w:val="lowerLetter"/>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67">
    <w:nsid w:val="564F5AD7"/>
    <w:multiLevelType w:val="hybridMultilevel"/>
    <w:tmpl w:val="6A7813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nsid w:val="565B27D3"/>
    <w:multiLevelType w:val="hybridMultilevel"/>
    <w:tmpl w:val="1B10775E"/>
    <w:lvl w:ilvl="0" w:tplc="0405000F">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nsid w:val="566E0FA5"/>
    <w:multiLevelType w:val="hybridMultilevel"/>
    <w:tmpl w:val="E050FB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nsid w:val="58AC1817"/>
    <w:multiLevelType w:val="hybridMultilevel"/>
    <w:tmpl w:val="9D148A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nsid w:val="58FA427D"/>
    <w:multiLevelType w:val="multilevel"/>
    <w:tmpl w:val="B9687EC0"/>
    <w:lvl w:ilvl="0">
      <w:start w:val="5"/>
      <w:numFmt w:val="decimal"/>
      <w:lvlText w:val="%1."/>
      <w:lvlJc w:val="left"/>
      <w:pPr>
        <w:ind w:left="540" w:hanging="540"/>
      </w:pPr>
      <w:rPr>
        <w:rFonts w:hint="default"/>
      </w:rPr>
    </w:lvl>
    <w:lvl w:ilvl="1">
      <w:start w:val="1"/>
      <w:numFmt w:val="decimal"/>
      <w:pStyle w:val="NadpisNOK2"/>
      <w:lvlText w:val="%1.%2."/>
      <w:lvlJc w:val="left"/>
      <w:pPr>
        <w:ind w:left="1425" w:hanging="720"/>
      </w:pPr>
      <w:rPr>
        <w:rFonts w:hint="default"/>
      </w:rPr>
    </w:lvl>
    <w:lvl w:ilvl="2">
      <w:start w:val="1"/>
      <w:numFmt w:val="decimal"/>
      <w:lvlText w:val="%1.%2.%3."/>
      <w:lvlJc w:val="left"/>
      <w:pPr>
        <w:ind w:left="2490" w:hanging="1080"/>
      </w:pPr>
      <w:rPr>
        <w:rFonts w:hint="default"/>
      </w:rPr>
    </w:lvl>
    <w:lvl w:ilvl="3">
      <w:start w:val="1"/>
      <w:numFmt w:val="decimal"/>
      <w:lvlText w:val="%1.%2.%3.%4."/>
      <w:lvlJc w:val="left"/>
      <w:pPr>
        <w:ind w:left="3555" w:hanging="1440"/>
      </w:pPr>
      <w:rPr>
        <w:rFonts w:hint="default"/>
      </w:rPr>
    </w:lvl>
    <w:lvl w:ilvl="4">
      <w:start w:val="1"/>
      <w:numFmt w:val="decimal"/>
      <w:lvlText w:val="%1.%2.%3.%4.%5."/>
      <w:lvlJc w:val="left"/>
      <w:pPr>
        <w:ind w:left="4260" w:hanging="1440"/>
      </w:pPr>
      <w:rPr>
        <w:rFonts w:hint="default"/>
      </w:rPr>
    </w:lvl>
    <w:lvl w:ilvl="5">
      <w:start w:val="1"/>
      <w:numFmt w:val="decimal"/>
      <w:lvlText w:val="%1.%2.%3.%4.%5.%6."/>
      <w:lvlJc w:val="left"/>
      <w:pPr>
        <w:ind w:left="5325" w:hanging="1800"/>
      </w:pPr>
      <w:rPr>
        <w:rFonts w:hint="default"/>
      </w:rPr>
    </w:lvl>
    <w:lvl w:ilvl="6">
      <w:start w:val="1"/>
      <w:numFmt w:val="decimal"/>
      <w:lvlText w:val="%1.%2.%3.%4.%5.%6.%7."/>
      <w:lvlJc w:val="left"/>
      <w:pPr>
        <w:ind w:left="6390" w:hanging="2160"/>
      </w:pPr>
      <w:rPr>
        <w:rFonts w:hint="default"/>
      </w:rPr>
    </w:lvl>
    <w:lvl w:ilvl="7">
      <w:start w:val="1"/>
      <w:numFmt w:val="decimal"/>
      <w:lvlText w:val="%1.%2.%3.%4.%5.%6.%7.%8."/>
      <w:lvlJc w:val="left"/>
      <w:pPr>
        <w:ind w:left="7455" w:hanging="2520"/>
      </w:pPr>
      <w:rPr>
        <w:rFonts w:hint="default"/>
      </w:rPr>
    </w:lvl>
    <w:lvl w:ilvl="8">
      <w:start w:val="1"/>
      <w:numFmt w:val="decimal"/>
      <w:lvlText w:val="%1.%2.%3.%4.%5.%6.%7.%8.%9."/>
      <w:lvlJc w:val="left"/>
      <w:pPr>
        <w:ind w:left="8160" w:hanging="2520"/>
      </w:pPr>
      <w:rPr>
        <w:rFonts w:hint="default"/>
      </w:rPr>
    </w:lvl>
  </w:abstractNum>
  <w:abstractNum w:abstractNumId="72">
    <w:nsid w:val="5C4F027F"/>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nsid w:val="5CDD5062"/>
    <w:multiLevelType w:val="hybridMultilevel"/>
    <w:tmpl w:val="A9FA491C"/>
    <w:lvl w:ilvl="0" w:tplc="4878976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4">
    <w:nsid w:val="5DC05E64"/>
    <w:multiLevelType w:val="multilevel"/>
    <w:tmpl w:val="31A4C696"/>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nsid w:val="5DFC6137"/>
    <w:multiLevelType w:val="multilevel"/>
    <w:tmpl w:val="13C4C2C8"/>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nsid w:val="5F8124C6"/>
    <w:multiLevelType w:val="multilevel"/>
    <w:tmpl w:val="CBF88B92"/>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7">
    <w:nsid w:val="61D60F3A"/>
    <w:multiLevelType w:val="hybridMultilevel"/>
    <w:tmpl w:val="1520C76C"/>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nsid w:val="620A6C9B"/>
    <w:multiLevelType w:val="hybridMultilevel"/>
    <w:tmpl w:val="6B2E5A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nsid w:val="62884433"/>
    <w:multiLevelType w:val="hybridMultilevel"/>
    <w:tmpl w:val="435454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nsid w:val="62EA7A0F"/>
    <w:multiLevelType w:val="multilevel"/>
    <w:tmpl w:val="C4EAE37A"/>
    <w:lvl w:ilvl="0">
      <w:start w:val="1"/>
      <w:numFmt w:val="decimal"/>
      <w:lvlText w:val="KAPITOLA %1."/>
      <w:lvlJc w:val="left"/>
      <w:pPr>
        <w:ind w:left="432" w:hanging="432"/>
      </w:pPr>
      <w:rPr>
        <w:rFonts w:hint="default"/>
        <w:sz w:val="28"/>
      </w:rPr>
    </w:lvl>
    <w:lvl w:ilvl="1">
      <w:start w:val="1"/>
      <w:numFmt w:val="decimal"/>
      <w:lvlText w:val="%1.%2"/>
      <w:lvlJc w:val="left"/>
      <w:pPr>
        <w:ind w:left="576" w:hanging="576"/>
      </w:pPr>
      <w:rPr>
        <w:rFonts w:hint="default"/>
      </w:rPr>
    </w:lvl>
    <w:lvl w:ilvl="2">
      <w:start w:val="1"/>
      <w:numFmt w:val="decimal"/>
      <w:lvlText w:val="2.B.%3"/>
      <w:lvlJc w:val="left"/>
      <w:pPr>
        <w:ind w:left="1146" w:hanging="720"/>
      </w:pPr>
      <w:rPr>
        <w:rFonts w:ascii="Calibri" w:hAnsi="Calibri" w:hint="default"/>
        <w:sz w:val="24"/>
      </w:rPr>
    </w:lvl>
    <w:lvl w:ilvl="3">
      <w:start w:val="1"/>
      <w:numFmt w:val="decimal"/>
      <w:lvlText w:val="%1.%2.%3.%4"/>
      <w:lvlJc w:val="left"/>
      <w:pPr>
        <w:ind w:left="864" w:hanging="864"/>
      </w:pPr>
      <w:rPr>
        <w:rFonts w:hint="default"/>
      </w:rPr>
    </w:lvl>
    <w:lvl w:ilvl="4">
      <w:start w:val="1"/>
      <w:numFmt w:val="decimal"/>
      <w:lvlText w:val="%1.A.2.%4"/>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63FE4FF7"/>
    <w:multiLevelType w:val="hybridMultilevel"/>
    <w:tmpl w:val="DE200FC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2">
    <w:nsid w:val="646A0FCF"/>
    <w:multiLevelType w:val="hybridMultilevel"/>
    <w:tmpl w:val="2A7668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3">
    <w:nsid w:val="64875DAB"/>
    <w:multiLevelType w:val="hybridMultilevel"/>
    <w:tmpl w:val="6A8CFC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nsid w:val="64DA3C43"/>
    <w:multiLevelType w:val="hybridMultilevel"/>
    <w:tmpl w:val="5E6E2BF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5">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86">
    <w:nsid w:val="680C5655"/>
    <w:multiLevelType w:val="multilevel"/>
    <w:tmpl w:val="60D0A0B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7">
    <w:nsid w:val="680E1DB2"/>
    <w:multiLevelType w:val="hybridMultilevel"/>
    <w:tmpl w:val="DF0668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nsid w:val="68472EC2"/>
    <w:multiLevelType w:val="hybridMultilevel"/>
    <w:tmpl w:val="2F7618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9">
    <w:nsid w:val="68794823"/>
    <w:multiLevelType w:val="hybridMultilevel"/>
    <w:tmpl w:val="469EA7B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0">
    <w:nsid w:val="6AD825F8"/>
    <w:multiLevelType w:val="multilevel"/>
    <w:tmpl w:val="A356B81C"/>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A.6.%5"/>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1">
    <w:nsid w:val="6C5B2851"/>
    <w:multiLevelType w:val="hybridMultilevel"/>
    <w:tmpl w:val="C3BA35E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2">
    <w:nsid w:val="6D1A4167"/>
    <w:multiLevelType w:val="multilevel"/>
    <w:tmpl w:val="E7FC521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3">
    <w:nsid w:val="6DB5785F"/>
    <w:multiLevelType w:val="hybridMultilevel"/>
    <w:tmpl w:val="4330D464"/>
    <w:lvl w:ilvl="0" w:tplc="0405001B">
      <w:start w:val="1"/>
      <w:numFmt w:val="low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4">
    <w:nsid w:val="71AE7B29"/>
    <w:multiLevelType w:val="multilevel"/>
    <w:tmpl w:val="6D3E42A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5">
    <w:nsid w:val="729871BF"/>
    <w:multiLevelType w:val="multilevel"/>
    <w:tmpl w:val="4078CD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6">
    <w:nsid w:val="73833FDB"/>
    <w:multiLevelType w:val="multilevel"/>
    <w:tmpl w:val="DB502ACC"/>
    <w:styleLink w:val="Styl1"/>
    <w:lvl w:ilvl="0">
      <w:start w:val="1"/>
      <w:numFmt w:val="decimal"/>
      <w:lvlText w:val="KAPITOLA %1."/>
      <w:lvlJc w:val="left"/>
      <w:pPr>
        <w:ind w:left="432" w:hanging="432"/>
      </w:pPr>
      <w:rPr>
        <w:rFonts w:hint="default"/>
        <w:sz w:val="28"/>
      </w:rPr>
    </w:lvl>
    <w:lvl w:ilvl="1">
      <w:start w:val="1"/>
      <w:numFmt w:val="upperLetter"/>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2.B.%5.1"/>
      <w:lvlJc w:val="left"/>
      <w:pPr>
        <w:ind w:left="1008" w:hanging="1008"/>
      </w:pPr>
      <w:rPr>
        <w:rFonts w:ascii="Calibri" w:hAnsi="Calibri" w:hint="default"/>
        <w:sz w:val="24"/>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nsid w:val="744A7944"/>
    <w:multiLevelType w:val="hybridMultilevel"/>
    <w:tmpl w:val="0D60925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8">
    <w:nsid w:val="750341EB"/>
    <w:multiLevelType w:val="hybridMultilevel"/>
    <w:tmpl w:val="20467D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9">
    <w:nsid w:val="751C0887"/>
    <w:multiLevelType w:val="hybridMultilevel"/>
    <w:tmpl w:val="71FA22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nsid w:val="75522D5B"/>
    <w:multiLevelType w:val="hybridMultilevel"/>
    <w:tmpl w:val="0B4E0E6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1">
    <w:nsid w:val="76B015B5"/>
    <w:multiLevelType w:val="hybridMultilevel"/>
    <w:tmpl w:val="D834E31C"/>
    <w:lvl w:ilvl="0" w:tplc="04050011">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nsid w:val="78B04E74"/>
    <w:multiLevelType w:val="hybridMultilevel"/>
    <w:tmpl w:val="57B40C9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nsid w:val="79784929"/>
    <w:multiLevelType w:val="hybridMultilevel"/>
    <w:tmpl w:val="DB0C0962"/>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79D074D9"/>
    <w:multiLevelType w:val="hybridMultilevel"/>
    <w:tmpl w:val="EACC45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nsid w:val="7A130D86"/>
    <w:multiLevelType w:val="hybridMultilevel"/>
    <w:tmpl w:val="DDC20692"/>
    <w:lvl w:ilvl="0" w:tplc="0405000B">
      <w:start w:val="1"/>
      <w:numFmt w:val="bullet"/>
      <w:lvlText w:val=""/>
      <w:lvlJc w:val="left"/>
      <w:pPr>
        <w:ind w:left="36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6">
    <w:nsid w:val="7A642EA6"/>
    <w:multiLevelType w:val="hybridMultilevel"/>
    <w:tmpl w:val="F1AAD0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7">
    <w:nsid w:val="7A8C0EDB"/>
    <w:multiLevelType w:val="multilevel"/>
    <w:tmpl w:val="63AE8D4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4"/>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8">
    <w:nsid w:val="7B9C54AB"/>
    <w:multiLevelType w:val="multilevel"/>
    <w:tmpl w:val="9072E02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2.A.%3 "/>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9">
    <w:nsid w:val="7D587767"/>
    <w:multiLevelType w:val="hybridMultilevel"/>
    <w:tmpl w:val="0B505C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nsid w:val="7FE00DF2"/>
    <w:multiLevelType w:val="hybridMultilevel"/>
    <w:tmpl w:val="6792E65A"/>
    <w:lvl w:ilvl="0" w:tplc="7696D498">
      <w:start w:val="1"/>
      <w:numFmt w:val="upperRoman"/>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7"/>
  </w:num>
  <w:num w:numId="2">
    <w:abstractNumId w:val="71"/>
  </w:num>
  <w:num w:numId="3">
    <w:abstractNumId w:val="0"/>
  </w:num>
  <w:num w:numId="4">
    <w:abstractNumId w:val="106"/>
  </w:num>
  <w:num w:numId="5">
    <w:abstractNumId w:val="85"/>
  </w:num>
  <w:num w:numId="6">
    <w:abstractNumId w:val="48"/>
  </w:num>
  <w:num w:numId="7">
    <w:abstractNumId w:val="34"/>
  </w:num>
  <w:num w:numId="8">
    <w:abstractNumId w:val="6"/>
  </w:num>
  <w:num w:numId="9">
    <w:abstractNumId w:val="15"/>
  </w:num>
  <w:num w:numId="10">
    <w:abstractNumId w:val="72"/>
  </w:num>
  <w:num w:numId="11">
    <w:abstractNumId w:val="17"/>
  </w:num>
  <w:num w:numId="12">
    <w:abstractNumId w:val="80"/>
  </w:num>
  <w:num w:numId="13">
    <w:abstractNumId w:val="22"/>
  </w:num>
  <w:num w:numId="14">
    <w:abstractNumId w:val="96"/>
  </w:num>
  <w:num w:numId="15">
    <w:abstractNumId w:val="86"/>
  </w:num>
  <w:num w:numId="16">
    <w:abstractNumId w:val="90"/>
  </w:num>
  <w:num w:numId="17">
    <w:abstractNumId w:val="47"/>
  </w:num>
  <w:num w:numId="18">
    <w:abstractNumId w:val="76"/>
  </w:num>
  <w:num w:numId="19">
    <w:abstractNumId w:val="32"/>
  </w:num>
  <w:num w:numId="20">
    <w:abstractNumId w:val="16"/>
  </w:num>
  <w:num w:numId="21">
    <w:abstractNumId w:val="44"/>
  </w:num>
  <w:num w:numId="22">
    <w:abstractNumId w:val="74"/>
  </w:num>
  <w:num w:numId="23">
    <w:abstractNumId w:val="53"/>
  </w:num>
  <w:num w:numId="24">
    <w:abstractNumId w:val="3"/>
  </w:num>
  <w:num w:numId="25">
    <w:abstractNumId w:val="33"/>
  </w:num>
  <w:num w:numId="26">
    <w:abstractNumId w:val="25"/>
  </w:num>
  <w:num w:numId="27">
    <w:abstractNumId w:val="51"/>
  </w:num>
  <w:num w:numId="28">
    <w:abstractNumId w:val="89"/>
  </w:num>
  <w:num w:numId="29">
    <w:abstractNumId w:val="7"/>
  </w:num>
  <w:num w:numId="30">
    <w:abstractNumId w:val="26"/>
  </w:num>
  <w:num w:numId="31">
    <w:abstractNumId w:val="73"/>
  </w:num>
  <w:num w:numId="32">
    <w:abstractNumId w:val="28"/>
  </w:num>
  <w:num w:numId="33">
    <w:abstractNumId w:val="102"/>
  </w:num>
  <w:num w:numId="34">
    <w:abstractNumId w:val="38"/>
  </w:num>
  <w:num w:numId="35">
    <w:abstractNumId w:val="103"/>
  </w:num>
  <w:num w:numId="36">
    <w:abstractNumId w:val="101"/>
  </w:num>
  <w:num w:numId="37">
    <w:abstractNumId w:val="77"/>
  </w:num>
  <w:num w:numId="38">
    <w:abstractNumId w:val="70"/>
  </w:num>
  <w:num w:numId="39">
    <w:abstractNumId w:val="1"/>
  </w:num>
  <w:num w:numId="40">
    <w:abstractNumId w:val="21"/>
  </w:num>
  <w:num w:numId="41">
    <w:abstractNumId w:val="79"/>
  </w:num>
  <w:num w:numId="42">
    <w:abstractNumId w:val="63"/>
  </w:num>
  <w:num w:numId="43">
    <w:abstractNumId w:val="2"/>
  </w:num>
  <w:num w:numId="44">
    <w:abstractNumId w:val="99"/>
  </w:num>
  <w:num w:numId="45">
    <w:abstractNumId w:val="50"/>
  </w:num>
  <w:num w:numId="46">
    <w:abstractNumId w:val="19"/>
  </w:num>
  <w:num w:numId="47">
    <w:abstractNumId w:val="104"/>
  </w:num>
  <w:num w:numId="48">
    <w:abstractNumId w:val="45"/>
  </w:num>
  <w:num w:numId="49">
    <w:abstractNumId w:val="14"/>
  </w:num>
  <w:num w:numId="50">
    <w:abstractNumId w:val="59"/>
  </w:num>
  <w:num w:numId="51">
    <w:abstractNumId w:val="62"/>
  </w:num>
  <w:num w:numId="52">
    <w:abstractNumId w:val="98"/>
  </w:num>
  <w:num w:numId="53">
    <w:abstractNumId w:val="39"/>
  </w:num>
  <w:num w:numId="54">
    <w:abstractNumId w:val="29"/>
  </w:num>
  <w:num w:numId="55">
    <w:abstractNumId w:val="35"/>
  </w:num>
  <w:num w:numId="56">
    <w:abstractNumId w:val="87"/>
  </w:num>
  <w:num w:numId="57">
    <w:abstractNumId w:val="4"/>
  </w:num>
  <w:num w:numId="58">
    <w:abstractNumId w:val="83"/>
  </w:num>
  <w:num w:numId="59">
    <w:abstractNumId w:val="88"/>
  </w:num>
  <w:num w:numId="60">
    <w:abstractNumId w:val="30"/>
  </w:num>
  <w:num w:numId="61">
    <w:abstractNumId w:val="69"/>
  </w:num>
  <w:num w:numId="62">
    <w:abstractNumId w:val="58"/>
  </w:num>
  <w:num w:numId="63">
    <w:abstractNumId w:val="37"/>
  </w:num>
  <w:num w:numId="64">
    <w:abstractNumId w:val="57"/>
  </w:num>
  <w:num w:numId="65">
    <w:abstractNumId w:val="60"/>
  </w:num>
  <w:num w:numId="66">
    <w:abstractNumId w:val="46"/>
  </w:num>
  <w:num w:numId="67">
    <w:abstractNumId w:val="40"/>
  </w:num>
  <w:num w:numId="68">
    <w:abstractNumId w:val="108"/>
  </w:num>
  <w:num w:numId="69">
    <w:abstractNumId w:val="94"/>
  </w:num>
  <w:num w:numId="70">
    <w:abstractNumId w:val="24"/>
  </w:num>
  <w:num w:numId="71">
    <w:abstractNumId w:val="20"/>
  </w:num>
  <w:num w:numId="72">
    <w:abstractNumId w:val="92"/>
  </w:num>
  <w:num w:numId="73">
    <w:abstractNumId w:val="52"/>
  </w:num>
  <w:num w:numId="74">
    <w:abstractNumId w:val="107"/>
  </w:num>
  <w:num w:numId="75">
    <w:abstractNumId w:val="9"/>
  </w:num>
  <w:num w:numId="76">
    <w:abstractNumId w:val="95"/>
  </w:num>
  <w:num w:numId="77">
    <w:abstractNumId w:val="75"/>
  </w:num>
  <w:num w:numId="78">
    <w:abstractNumId w:val="8"/>
  </w:num>
  <w:num w:numId="79">
    <w:abstractNumId w:val="10"/>
  </w:num>
  <w:num w:numId="80">
    <w:abstractNumId w:val="81"/>
  </w:num>
  <w:num w:numId="81">
    <w:abstractNumId w:val="12"/>
  </w:num>
  <w:num w:numId="82">
    <w:abstractNumId w:val="110"/>
  </w:num>
  <w:num w:numId="83">
    <w:abstractNumId w:val="105"/>
  </w:num>
  <w:num w:numId="84">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97"/>
  </w:num>
  <w:num w:numId="86">
    <w:abstractNumId w:val="65"/>
  </w:num>
  <w:num w:numId="87">
    <w:abstractNumId w:val="41"/>
  </w:num>
  <w:num w:numId="88">
    <w:abstractNumId w:val="66"/>
  </w:num>
  <w:num w:numId="89">
    <w:abstractNumId w:val="61"/>
  </w:num>
  <w:num w:numId="90">
    <w:abstractNumId w:val="31"/>
  </w:num>
  <w:num w:numId="91">
    <w:abstractNumId w:val="23"/>
  </w:num>
  <w:num w:numId="92">
    <w:abstractNumId w:val="68"/>
  </w:num>
  <w:num w:numId="93">
    <w:abstractNumId w:val="91"/>
  </w:num>
  <w:num w:numId="94">
    <w:abstractNumId w:val="49"/>
  </w:num>
  <w:num w:numId="95">
    <w:abstractNumId w:val="5"/>
  </w:num>
  <w:num w:numId="96">
    <w:abstractNumId w:val="100"/>
  </w:num>
  <w:num w:numId="97">
    <w:abstractNumId w:val="84"/>
  </w:num>
  <w:num w:numId="98">
    <w:abstractNumId w:val="36"/>
  </w:num>
  <w:num w:numId="99">
    <w:abstractNumId w:val="93"/>
  </w:num>
  <w:num w:numId="100">
    <w:abstractNumId w:val="56"/>
  </w:num>
  <w:num w:numId="101">
    <w:abstractNumId w:val="18"/>
  </w:num>
  <w:num w:numId="102">
    <w:abstractNumId w:val="13"/>
  </w:num>
  <w:num w:numId="103">
    <w:abstractNumId w:val="54"/>
  </w:num>
  <w:num w:numId="104">
    <w:abstractNumId w:val="109"/>
  </w:num>
  <w:num w:numId="105">
    <w:abstractNumId w:val="82"/>
  </w:num>
  <w:num w:numId="106">
    <w:abstractNumId w:val="11"/>
  </w:num>
  <w:num w:numId="107">
    <w:abstractNumId w:val="67"/>
  </w:num>
  <w:num w:numId="108">
    <w:abstractNumId w:val="55"/>
  </w:num>
  <w:num w:numId="109">
    <w:abstractNumId w:val="78"/>
  </w:num>
  <w:num w:numId="110">
    <w:abstractNumId w:val="42"/>
  </w:num>
  <w:num w:numId="111">
    <w:abstractNumId w:val="64"/>
  </w:num>
  <w:num w:numId="112">
    <w:abstractNumId w:val="43"/>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defaultTabStop w:val="708"/>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0D6A"/>
    <w:rsid w:val="0000126A"/>
    <w:rsid w:val="00001B83"/>
    <w:rsid w:val="00001CCB"/>
    <w:rsid w:val="00002031"/>
    <w:rsid w:val="00002278"/>
    <w:rsid w:val="000022FB"/>
    <w:rsid w:val="0000319F"/>
    <w:rsid w:val="00003615"/>
    <w:rsid w:val="00003E04"/>
    <w:rsid w:val="00003F40"/>
    <w:rsid w:val="0000407E"/>
    <w:rsid w:val="000043B4"/>
    <w:rsid w:val="00004CEF"/>
    <w:rsid w:val="00006015"/>
    <w:rsid w:val="0000679D"/>
    <w:rsid w:val="0000733C"/>
    <w:rsid w:val="000075B7"/>
    <w:rsid w:val="00007987"/>
    <w:rsid w:val="00007BC1"/>
    <w:rsid w:val="00007D50"/>
    <w:rsid w:val="00011EE8"/>
    <w:rsid w:val="000123E0"/>
    <w:rsid w:val="000124DB"/>
    <w:rsid w:val="00012F9F"/>
    <w:rsid w:val="00014F0D"/>
    <w:rsid w:val="00014FFD"/>
    <w:rsid w:val="00015039"/>
    <w:rsid w:val="000155D3"/>
    <w:rsid w:val="000155F5"/>
    <w:rsid w:val="00015717"/>
    <w:rsid w:val="00015AFA"/>
    <w:rsid w:val="000162CE"/>
    <w:rsid w:val="000163B1"/>
    <w:rsid w:val="00016480"/>
    <w:rsid w:val="0001714A"/>
    <w:rsid w:val="00017522"/>
    <w:rsid w:val="00017692"/>
    <w:rsid w:val="00017D76"/>
    <w:rsid w:val="0002004E"/>
    <w:rsid w:val="00020185"/>
    <w:rsid w:val="000201D0"/>
    <w:rsid w:val="0002026F"/>
    <w:rsid w:val="00020BD2"/>
    <w:rsid w:val="00021295"/>
    <w:rsid w:val="00021736"/>
    <w:rsid w:val="000220B9"/>
    <w:rsid w:val="0002217B"/>
    <w:rsid w:val="000221D9"/>
    <w:rsid w:val="00022228"/>
    <w:rsid w:val="0002282F"/>
    <w:rsid w:val="00022856"/>
    <w:rsid w:val="00022D48"/>
    <w:rsid w:val="00023054"/>
    <w:rsid w:val="000239E7"/>
    <w:rsid w:val="00024687"/>
    <w:rsid w:val="00024C51"/>
    <w:rsid w:val="00024E53"/>
    <w:rsid w:val="000265A3"/>
    <w:rsid w:val="00026B1C"/>
    <w:rsid w:val="00027768"/>
    <w:rsid w:val="000305FB"/>
    <w:rsid w:val="00030CAB"/>
    <w:rsid w:val="00031ABA"/>
    <w:rsid w:val="00032047"/>
    <w:rsid w:val="00032697"/>
    <w:rsid w:val="000343A0"/>
    <w:rsid w:val="00034EA7"/>
    <w:rsid w:val="0003571F"/>
    <w:rsid w:val="00036843"/>
    <w:rsid w:val="00036F2B"/>
    <w:rsid w:val="00037221"/>
    <w:rsid w:val="000373F5"/>
    <w:rsid w:val="000374FF"/>
    <w:rsid w:val="00040122"/>
    <w:rsid w:val="00040910"/>
    <w:rsid w:val="00040D22"/>
    <w:rsid w:val="0004199E"/>
    <w:rsid w:val="00043818"/>
    <w:rsid w:val="00044470"/>
    <w:rsid w:val="0004496A"/>
    <w:rsid w:val="0004568E"/>
    <w:rsid w:val="0004681B"/>
    <w:rsid w:val="00046D4B"/>
    <w:rsid w:val="00046F11"/>
    <w:rsid w:val="00047389"/>
    <w:rsid w:val="00047773"/>
    <w:rsid w:val="00047CEE"/>
    <w:rsid w:val="00047CFA"/>
    <w:rsid w:val="000506D1"/>
    <w:rsid w:val="000508E1"/>
    <w:rsid w:val="00050A91"/>
    <w:rsid w:val="00050E1B"/>
    <w:rsid w:val="000512B5"/>
    <w:rsid w:val="0005230A"/>
    <w:rsid w:val="00052713"/>
    <w:rsid w:val="000534DA"/>
    <w:rsid w:val="0005361C"/>
    <w:rsid w:val="0005408E"/>
    <w:rsid w:val="00054159"/>
    <w:rsid w:val="00055143"/>
    <w:rsid w:val="000554D1"/>
    <w:rsid w:val="000561F7"/>
    <w:rsid w:val="00056D4E"/>
    <w:rsid w:val="00057203"/>
    <w:rsid w:val="0005724B"/>
    <w:rsid w:val="0005757C"/>
    <w:rsid w:val="00057840"/>
    <w:rsid w:val="000603C7"/>
    <w:rsid w:val="00060CF3"/>
    <w:rsid w:val="0006102D"/>
    <w:rsid w:val="000610C4"/>
    <w:rsid w:val="00061251"/>
    <w:rsid w:val="000620DB"/>
    <w:rsid w:val="00062C8D"/>
    <w:rsid w:val="00063487"/>
    <w:rsid w:val="00063F06"/>
    <w:rsid w:val="000646C0"/>
    <w:rsid w:val="000646CF"/>
    <w:rsid w:val="00064816"/>
    <w:rsid w:val="00064C48"/>
    <w:rsid w:val="0006505D"/>
    <w:rsid w:val="00065476"/>
    <w:rsid w:val="000657E8"/>
    <w:rsid w:val="00065A87"/>
    <w:rsid w:val="00066396"/>
    <w:rsid w:val="00066E6B"/>
    <w:rsid w:val="00066FAA"/>
    <w:rsid w:val="000672B4"/>
    <w:rsid w:val="00067702"/>
    <w:rsid w:val="000677D5"/>
    <w:rsid w:val="00067982"/>
    <w:rsid w:val="00067BAC"/>
    <w:rsid w:val="00067FC5"/>
    <w:rsid w:val="000702FD"/>
    <w:rsid w:val="000704CD"/>
    <w:rsid w:val="0007086E"/>
    <w:rsid w:val="00070AC6"/>
    <w:rsid w:val="00070ADC"/>
    <w:rsid w:val="00070B86"/>
    <w:rsid w:val="00070EE7"/>
    <w:rsid w:val="0007115B"/>
    <w:rsid w:val="0007268F"/>
    <w:rsid w:val="00072816"/>
    <w:rsid w:val="00072934"/>
    <w:rsid w:val="00072C64"/>
    <w:rsid w:val="000733A8"/>
    <w:rsid w:val="00073A01"/>
    <w:rsid w:val="00073FF7"/>
    <w:rsid w:val="0007453C"/>
    <w:rsid w:val="00075073"/>
    <w:rsid w:val="0007513C"/>
    <w:rsid w:val="0007562B"/>
    <w:rsid w:val="000757E9"/>
    <w:rsid w:val="00076A2E"/>
    <w:rsid w:val="00076B84"/>
    <w:rsid w:val="00076B8A"/>
    <w:rsid w:val="00076EC0"/>
    <w:rsid w:val="00077249"/>
    <w:rsid w:val="00080B8E"/>
    <w:rsid w:val="00080D6C"/>
    <w:rsid w:val="00081051"/>
    <w:rsid w:val="0008119B"/>
    <w:rsid w:val="000816D8"/>
    <w:rsid w:val="00081A31"/>
    <w:rsid w:val="00081C0D"/>
    <w:rsid w:val="00081C97"/>
    <w:rsid w:val="000820AA"/>
    <w:rsid w:val="00082BCC"/>
    <w:rsid w:val="0008303A"/>
    <w:rsid w:val="000835C2"/>
    <w:rsid w:val="00084401"/>
    <w:rsid w:val="000844DE"/>
    <w:rsid w:val="00084ED8"/>
    <w:rsid w:val="00085D12"/>
    <w:rsid w:val="00086437"/>
    <w:rsid w:val="0008693C"/>
    <w:rsid w:val="00086CE2"/>
    <w:rsid w:val="000876CC"/>
    <w:rsid w:val="00087CE7"/>
    <w:rsid w:val="00090786"/>
    <w:rsid w:val="0009134D"/>
    <w:rsid w:val="00091C87"/>
    <w:rsid w:val="00092326"/>
    <w:rsid w:val="00093116"/>
    <w:rsid w:val="00093576"/>
    <w:rsid w:val="000946E5"/>
    <w:rsid w:val="00094846"/>
    <w:rsid w:val="000948E6"/>
    <w:rsid w:val="00095133"/>
    <w:rsid w:val="0009521C"/>
    <w:rsid w:val="00095B63"/>
    <w:rsid w:val="000961BF"/>
    <w:rsid w:val="000966EC"/>
    <w:rsid w:val="00096AA0"/>
    <w:rsid w:val="00096C52"/>
    <w:rsid w:val="000978F9"/>
    <w:rsid w:val="000979A5"/>
    <w:rsid w:val="00097C27"/>
    <w:rsid w:val="00097D48"/>
    <w:rsid w:val="00097DAB"/>
    <w:rsid w:val="000A02E8"/>
    <w:rsid w:val="000A073D"/>
    <w:rsid w:val="000A08C6"/>
    <w:rsid w:val="000A09AB"/>
    <w:rsid w:val="000A143B"/>
    <w:rsid w:val="000A1CC0"/>
    <w:rsid w:val="000A2034"/>
    <w:rsid w:val="000A2CE5"/>
    <w:rsid w:val="000A3436"/>
    <w:rsid w:val="000A3524"/>
    <w:rsid w:val="000A3C70"/>
    <w:rsid w:val="000A3D0F"/>
    <w:rsid w:val="000A44AF"/>
    <w:rsid w:val="000A54B7"/>
    <w:rsid w:val="000A667D"/>
    <w:rsid w:val="000A6AA7"/>
    <w:rsid w:val="000A72AA"/>
    <w:rsid w:val="000B16DC"/>
    <w:rsid w:val="000B1709"/>
    <w:rsid w:val="000B1CBB"/>
    <w:rsid w:val="000B20CD"/>
    <w:rsid w:val="000B2315"/>
    <w:rsid w:val="000B2527"/>
    <w:rsid w:val="000B2C1F"/>
    <w:rsid w:val="000B2F79"/>
    <w:rsid w:val="000B2FC9"/>
    <w:rsid w:val="000B34E4"/>
    <w:rsid w:val="000B426C"/>
    <w:rsid w:val="000B47C0"/>
    <w:rsid w:val="000B48D3"/>
    <w:rsid w:val="000B4A51"/>
    <w:rsid w:val="000B4ABE"/>
    <w:rsid w:val="000B53DB"/>
    <w:rsid w:val="000B5AFD"/>
    <w:rsid w:val="000B63A4"/>
    <w:rsid w:val="000B73E1"/>
    <w:rsid w:val="000B7605"/>
    <w:rsid w:val="000B7670"/>
    <w:rsid w:val="000C080E"/>
    <w:rsid w:val="000C1224"/>
    <w:rsid w:val="000C182F"/>
    <w:rsid w:val="000C19F4"/>
    <w:rsid w:val="000C1B34"/>
    <w:rsid w:val="000C1DA2"/>
    <w:rsid w:val="000C1E8A"/>
    <w:rsid w:val="000C3371"/>
    <w:rsid w:val="000C37B9"/>
    <w:rsid w:val="000C3F14"/>
    <w:rsid w:val="000C44FC"/>
    <w:rsid w:val="000C45D5"/>
    <w:rsid w:val="000C5A23"/>
    <w:rsid w:val="000C5A5B"/>
    <w:rsid w:val="000C5A8D"/>
    <w:rsid w:val="000C5CD5"/>
    <w:rsid w:val="000C6224"/>
    <w:rsid w:val="000C6576"/>
    <w:rsid w:val="000C6BEF"/>
    <w:rsid w:val="000C6C38"/>
    <w:rsid w:val="000C6E9C"/>
    <w:rsid w:val="000C6EF2"/>
    <w:rsid w:val="000C759B"/>
    <w:rsid w:val="000C75DD"/>
    <w:rsid w:val="000C79FC"/>
    <w:rsid w:val="000C7B9A"/>
    <w:rsid w:val="000C7DEA"/>
    <w:rsid w:val="000C7ED1"/>
    <w:rsid w:val="000D07F6"/>
    <w:rsid w:val="000D11AD"/>
    <w:rsid w:val="000D1307"/>
    <w:rsid w:val="000D138F"/>
    <w:rsid w:val="000D1505"/>
    <w:rsid w:val="000D1F5D"/>
    <w:rsid w:val="000D201D"/>
    <w:rsid w:val="000D28F9"/>
    <w:rsid w:val="000D2E9F"/>
    <w:rsid w:val="000D30CB"/>
    <w:rsid w:val="000D4CE0"/>
    <w:rsid w:val="000D4D60"/>
    <w:rsid w:val="000D4E8C"/>
    <w:rsid w:val="000D542C"/>
    <w:rsid w:val="000D5649"/>
    <w:rsid w:val="000D5686"/>
    <w:rsid w:val="000D5D46"/>
    <w:rsid w:val="000D6113"/>
    <w:rsid w:val="000D6224"/>
    <w:rsid w:val="000D70DC"/>
    <w:rsid w:val="000D738D"/>
    <w:rsid w:val="000D74C5"/>
    <w:rsid w:val="000E015D"/>
    <w:rsid w:val="000E0E9B"/>
    <w:rsid w:val="000E1211"/>
    <w:rsid w:val="000E1824"/>
    <w:rsid w:val="000E1A9C"/>
    <w:rsid w:val="000E22AD"/>
    <w:rsid w:val="000E2818"/>
    <w:rsid w:val="000E2AD0"/>
    <w:rsid w:val="000E346C"/>
    <w:rsid w:val="000E34B1"/>
    <w:rsid w:val="000E3FBB"/>
    <w:rsid w:val="000E42C6"/>
    <w:rsid w:val="000E47D9"/>
    <w:rsid w:val="000E4FD0"/>
    <w:rsid w:val="000E5CD5"/>
    <w:rsid w:val="000E5EB4"/>
    <w:rsid w:val="000E634D"/>
    <w:rsid w:val="000E6955"/>
    <w:rsid w:val="000E6B68"/>
    <w:rsid w:val="000E6C1E"/>
    <w:rsid w:val="000E6F0A"/>
    <w:rsid w:val="000E72CD"/>
    <w:rsid w:val="000E7F90"/>
    <w:rsid w:val="000F1DFD"/>
    <w:rsid w:val="000F239F"/>
    <w:rsid w:val="000F25D1"/>
    <w:rsid w:val="000F27C1"/>
    <w:rsid w:val="000F3A2E"/>
    <w:rsid w:val="000F423E"/>
    <w:rsid w:val="000F4B86"/>
    <w:rsid w:val="000F4D69"/>
    <w:rsid w:val="000F4F4C"/>
    <w:rsid w:val="000F6567"/>
    <w:rsid w:val="000F754C"/>
    <w:rsid w:val="000F7680"/>
    <w:rsid w:val="000F778E"/>
    <w:rsid w:val="000F7A57"/>
    <w:rsid w:val="000F7B0A"/>
    <w:rsid w:val="00100005"/>
    <w:rsid w:val="00100C90"/>
    <w:rsid w:val="00100E48"/>
    <w:rsid w:val="001011C8"/>
    <w:rsid w:val="001011D6"/>
    <w:rsid w:val="00101594"/>
    <w:rsid w:val="00101C09"/>
    <w:rsid w:val="00101D4E"/>
    <w:rsid w:val="00101DBB"/>
    <w:rsid w:val="0010210A"/>
    <w:rsid w:val="001028DE"/>
    <w:rsid w:val="0010295B"/>
    <w:rsid w:val="001034C1"/>
    <w:rsid w:val="00104286"/>
    <w:rsid w:val="00104BB5"/>
    <w:rsid w:val="00104D86"/>
    <w:rsid w:val="001059FF"/>
    <w:rsid w:val="00105F19"/>
    <w:rsid w:val="001062D3"/>
    <w:rsid w:val="00106DA7"/>
    <w:rsid w:val="00107255"/>
    <w:rsid w:val="00110D95"/>
    <w:rsid w:val="00111415"/>
    <w:rsid w:val="00112C3A"/>
    <w:rsid w:val="00112D3A"/>
    <w:rsid w:val="00113025"/>
    <w:rsid w:val="00113E40"/>
    <w:rsid w:val="00114021"/>
    <w:rsid w:val="00114156"/>
    <w:rsid w:val="00115568"/>
    <w:rsid w:val="0011565A"/>
    <w:rsid w:val="00115A81"/>
    <w:rsid w:val="00116A3E"/>
    <w:rsid w:val="001174FF"/>
    <w:rsid w:val="0011760E"/>
    <w:rsid w:val="0012001C"/>
    <w:rsid w:val="00120476"/>
    <w:rsid w:val="00120489"/>
    <w:rsid w:val="00120744"/>
    <w:rsid w:val="00120AA3"/>
    <w:rsid w:val="00120BBD"/>
    <w:rsid w:val="00120EC2"/>
    <w:rsid w:val="00121E41"/>
    <w:rsid w:val="00122D80"/>
    <w:rsid w:val="00122F44"/>
    <w:rsid w:val="001231B7"/>
    <w:rsid w:val="001234B6"/>
    <w:rsid w:val="0012396B"/>
    <w:rsid w:val="00123FFA"/>
    <w:rsid w:val="00124401"/>
    <w:rsid w:val="0012443D"/>
    <w:rsid w:val="001245C0"/>
    <w:rsid w:val="001245E3"/>
    <w:rsid w:val="001246F3"/>
    <w:rsid w:val="00125ED9"/>
    <w:rsid w:val="00126408"/>
    <w:rsid w:val="001268AD"/>
    <w:rsid w:val="00126942"/>
    <w:rsid w:val="001269C3"/>
    <w:rsid w:val="00127389"/>
    <w:rsid w:val="00127537"/>
    <w:rsid w:val="00130027"/>
    <w:rsid w:val="001305B4"/>
    <w:rsid w:val="0013174D"/>
    <w:rsid w:val="00131FD8"/>
    <w:rsid w:val="001328A4"/>
    <w:rsid w:val="00132E15"/>
    <w:rsid w:val="00133DC7"/>
    <w:rsid w:val="00134015"/>
    <w:rsid w:val="001341FC"/>
    <w:rsid w:val="0013430E"/>
    <w:rsid w:val="001346EF"/>
    <w:rsid w:val="00134C91"/>
    <w:rsid w:val="00134EEA"/>
    <w:rsid w:val="001366EB"/>
    <w:rsid w:val="00136D1D"/>
    <w:rsid w:val="0013744F"/>
    <w:rsid w:val="00137E93"/>
    <w:rsid w:val="00137ED7"/>
    <w:rsid w:val="001413CE"/>
    <w:rsid w:val="00141410"/>
    <w:rsid w:val="00141981"/>
    <w:rsid w:val="001419C6"/>
    <w:rsid w:val="00141D6D"/>
    <w:rsid w:val="00142414"/>
    <w:rsid w:val="00142A82"/>
    <w:rsid w:val="001437DD"/>
    <w:rsid w:val="001440BC"/>
    <w:rsid w:val="00144E13"/>
    <w:rsid w:val="0014564F"/>
    <w:rsid w:val="001461C1"/>
    <w:rsid w:val="001461F3"/>
    <w:rsid w:val="00146DC1"/>
    <w:rsid w:val="00147D28"/>
    <w:rsid w:val="00147EE2"/>
    <w:rsid w:val="00150199"/>
    <w:rsid w:val="00150310"/>
    <w:rsid w:val="00150B70"/>
    <w:rsid w:val="00151666"/>
    <w:rsid w:val="0015170B"/>
    <w:rsid w:val="00151831"/>
    <w:rsid w:val="00152841"/>
    <w:rsid w:val="00152A0D"/>
    <w:rsid w:val="00152FBD"/>
    <w:rsid w:val="00153975"/>
    <w:rsid w:val="00153E93"/>
    <w:rsid w:val="00153F2D"/>
    <w:rsid w:val="0015444C"/>
    <w:rsid w:val="00154A8F"/>
    <w:rsid w:val="00155505"/>
    <w:rsid w:val="00155981"/>
    <w:rsid w:val="00155F36"/>
    <w:rsid w:val="001560D3"/>
    <w:rsid w:val="0015648D"/>
    <w:rsid w:val="0015657B"/>
    <w:rsid w:val="00156EE9"/>
    <w:rsid w:val="0015733D"/>
    <w:rsid w:val="00157629"/>
    <w:rsid w:val="00157951"/>
    <w:rsid w:val="00157ABA"/>
    <w:rsid w:val="00157DC6"/>
    <w:rsid w:val="001600FB"/>
    <w:rsid w:val="00160E34"/>
    <w:rsid w:val="00160E8B"/>
    <w:rsid w:val="001610AF"/>
    <w:rsid w:val="00161EFA"/>
    <w:rsid w:val="0016271E"/>
    <w:rsid w:val="001636E5"/>
    <w:rsid w:val="00163F12"/>
    <w:rsid w:val="00164320"/>
    <w:rsid w:val="0016443B"/>
    <w:rsid w:val="001648B3"/>
    <w:rsid w:val="00164AF0"/>
    <w:rsid w:val="00165003"/>
    <w:rsid w:val="0016532E"/>
    <w:rsid w:val="001653A7"/>
    <w:rsid w:val="00165558"/>
    <w:rsid w:val="00165B3C"/>
    <w:rsid w:val="00166264"/>
    <w:rsid w:val="0016639B"/>
    <w:rsid w:val="00166446"/>
    <w:rsid w:val="001668E3"/>
    <w:rsid w:val="001669BE"/>
    <w:rsid w:val="00166CC2"/>
    <w:rsid w:val="00167303"/>
    <w:rsid w:val="00170A59"/>
    <w:rsid w:val="00170DAF"/>
    <w:rsid w:val="00171578"/>
    <w:rsid w:val="0017188B"/>
    <w:rsid w:val="00171A1D"/>
    <w:rsid w:val="0017225A"/>
    <w:rsid w:val="0017264F"/>
    <w:rsid w:val="001726BD"/>
    <w:rsid w:val="001727A3"/>
    <w:rsid w:val="00173037"/>
    <w:rsid w:val="00173176"/>
    <w:rsid w:val="00173BCB"/>
    <w:rsid w:val="00173C7A"/>
    <w:rsid w:val="00173FEB"/>
    <w:rsid w:val="00174180"/>
    <w:rsid w:val="00174D53"/>
    <w:rsid w:val="00175029"/>
    <w:rsid w:val="0017524E"/>
    <w:rsid w:val="0017527B"/>
    <w:rsid w:val="00176615"/>
    <w:rsid w:val="001768FD"/>
    <w:rsid w:val="001770C6"/>
    <w:rsid w:val="00177462"/>
    <w:rsid w:val="001779BC"/>
    <w:rsid w:val="00177CDA"/>
    <w:rsid w:val="00180561"/>
    <w:rsid w:val="00180DD6"/>
    <w:rsid w:val="00181442"/>
    <w:rsid w:val="00181683"/>
    <w:rsid w:val="00181F41"/>
    <w:rsid w:val="00182623"/>
    <w:rsid w:val="00182C5E"/>
    <w:rsid w:val="00182F6A"/>
    <w:rsid w:val="001836A5"/>
    <w:rsid w:val="00184133"/>
    <w:rsid w:val="00184371"/>
    <w:rsid w:val="00184391"/>
    <w:rsid w:val="00184621"/>
    <w:rsid w:val="00184A61"/>
    <w:rsid w:val="0018500E"/>
    <w:rsid w:val="001861DB"/>
    <w:rsid w:val="0018675F"/>
    <w:rsid w:val="00186B37"/>
    <w:rsid w:val="00186D10"/>
    <w:rsid w:val="001871BE"/>
    <w:rsid w:val="00187282"/>
    <w:rsid w:val="00187DDD"/>
    <w:rsid w:val="00187F8D"/>
    <w:rsid w:val="001900F1"/>
    <w:rsid w:val="0019115B"/>
    <w:rsid w:val="001911D7"/>
    <w:rsid w:val="00191DFF"/>
    <w:rsid w:val="001925CB"/>
    <w:rsid w:val="00192FBA"/>
    <w:rsid w:val="00193331"/>
    <w:rsid w:val="00193742"/>
    <w:rsid w:val="001937D2"/>
    <w:rsid w:val="00193874"/>
    <w:rsid w:val="00194157"/>
    <w:rsid w:val="00194795"/>
    <w:rsid w:val="00194BA2"/>
    <w:rsid w:val="00194C25"/>
    <w:rsid w:val="0019543E"/>
    <w:rsid w:val="00195DD6"/>
    <w:rsid w:val="00195FEB"/>
    <w:rsid w:val="001963EC"/>
    <w:rsid w:val="00196574"/>
    <w:rsid w:val="001966C8"/>
    <w:rsid w:val="00197326"/>
    <w:rsid w:val="00197903"/>
    <w:rsid w:val="001A011A"/>
    <w:rsid w:val="001A0B14"/>
    <w:rsid w:val="001A189B"/>
    <w:rsid w:val="001A1CDC"/>
    <w:rsid w:val="001A215B"/>
    <w:rsid w:val="001A228C"/>
    <w:rsid w:val="001A27FC"/>
    <w:rsid w:val="001A289D"/>
    <w:rsid w:val="001A30AA"/>
    <w:rsid w:val="001A3181"/>
    <w:rsid w:val="001A32C7"/>
    <w:rsid w:val="001A349C"/>
    <w:rsid w:val="001A3904"/>
    <w:rsid w:val="001A41D0"/>
    <w:rsid w:val="001A4C8F"/>
    <w:rsid w:val="001A4D18"/>
    <w:rsid w:val="001A4EFB"/>
    <w:rsid w:val="001A588E"/>
    <w:rsid w:val="001A5C2A"/>
    <w:rsid w:val="001A665D"/>
    <w:rsid w:val="001A6DEF"/>
    <w:rsid w:val="001A72F2"/>
    <w:rsid w:val="001A794C"/>
    <w:rsid w:val="001A79F7"/>
    <w:rsid w:val="001A7A00"/>
    <w:rsid w:val="001A7CB8"/>
    <w:rsid w:val="001B0574"/>
    <w:rsid w:val="001B092B"/>
    <w:rsid w:val="001B0B94"/>
    <w:rsid w:val="001B0F8C"/>
    <w:rsid w:val="001B1C2C"/>
    <w:rsid w:val="001B1FD9"/>
    <w:rsid w:val="001B2D77"/>
    <w:rsid w:val="001B2DC3"/>
    <w:rsid w:val="001B2E5C"/>
    <w:rsid w:val="001B36DC"/>
    <w:rsid w:val="001B38DF"/>
    <w:rsid w:val="001B39F3"/>
    <w:rsid w:val="001B40CE"/>
    <w:rsid w:val="001B46B6"/>
    <w:rsid w:val="001B4E71"/>
    <w:rsid w:val="001B557B"/>
    <w:rsid w:val="001B6F7C"/>
    <w:rsid w:val="001B7120"/>
    <w:rsid w:val="001B7590"/>
    <w:rsid w:val="001B7C6F"/>
    <w:rsid w:val="001C0209"/>
    <w:rsid w:val="001C0A76"/>
    <w:rsid w:val="001C0D6A"/>
    <w:rsid w:val="001C1209"/>
    <w:rsid w:val="001C1B2C"/>
    <w:rsid w:val="001C1BC3"/>
    <w:rsid w:val="001C1F65"/>
    <w:rsid w:val="001C36DE"/>
    <w:rsid w:val="001C38E4"/>
    <w:rsid w:val="001C4308"/>
    <w:rsid w:val="001C47EE"/>
    <w:rsid w:val="001C4C18"/>
    <w:rsid w:val="001C51E1"/>
    <w:rsid w:val="001C5297"/>
    <w:rsid w:val="001C52A9"/>
    <w:rsid w:val="001C5CBF"/>
    <w:rsid w:val="001C66E1"/>
    <w:rsid w:val="001C77FE"/>
    <w:rsid w:val="001D0934"/>
    <w:rsid w:val="001D0CAF"/>
    <w:rsid w:val="001D1607"/>
    <w:rsid w:val="001D1D3C"/>
    <w:rsid w:val="001D2299"/>
    <w:rsid w:val="001D27DD"/>
    <w:rsid w:val="001D2D40"/>
    <w:rsid w:val="001D33A3"/>
    <w:rsid w:val="001D35B1"/>
    <w:rsid w:val="001D3A37"/>
    <w:rsid w:val="001D3C18"/>
    <w:rsid w:val="001D3C89"/>
    <w:rsid w:val="001D4583"/>
    <w:rsid w:val="001D4923"/>
    <w:rsid w:val="001D75BA"/>
    <w:rsid w:val="001D7A35"/>
    <w:rsid w:val="001D7C5F"/>
    <w:rsid w:val="001D7D9F"/>
    <w:rsid w:val="001D7E6E"/>
    <w:rsid w:val="001E07AD"/>
    <w:rsid w:val="001E08D2"/>
    <w:rsid w:val="001E0AA2"/>
    <w:rsid w:val="001E0EAC"/>
    <w:rsid w:val="001E12B2"/>
    <w:rsid w:val="001E1351"/>
    <w:rsid w:val="001E1457"/>
    <w:rsid w:val="001E2583"/>
    <w:rsid w:val="001E2C6F"/>
    <w:rsid w:val="001E312C"/>
    <w:rsid w:val="001E4258"/>
    <w:rsid w:val="001E5FB8"/>
    <w:rsid w:val="001E7456"/>
    <w:rsid w:val="001F045D"/>
    <w:rsid w:val="001F0603"/>
    <w:rsid w:val="001F0C50"/>
    <w:rsid w:val="001F0D74"/>
    <w:rsid w:val="001F1EF5"/>
    <w:rsid w:val="001F1F32"/>
    <w:rsid w:val="001F235F"/>
    <w:rsid w:val="001F250D"/>
    <w:rsid w:val="001F2A61"/>
    <w:rsid w:val="001F2ADD"/>
    <w:rsid w:val="001F2BBC"/>
    <w:rsid w:val="001F2DED"/>
    <w:rsid w:val="001F30BF"/>
    <w:rsid w:val="001F3224"/>
    <w:rsid w:val="001F3B71"/>
    <w:rsid w:val="001F446C"/>
    <w:rsid w:val="001F4588"/>
    <w:rsid w:val="001F45D4"/>
    <w:rsid w:val="001F4842"/>
    <w:rsid w:val="001F4E35"/>
    <w:rsid w:val="001F5742"/>
    <w:rsid w:val="001F59E8"/>
    <w:rsid w:val="001F66E4"/>
    <w:rsid w:val="001F6899"/>
    <w:rsid w:val="001F7140"/>
    <w:rsid w:val="001F7361"/>
    <w:rsid w:val="001F7CAF"/>
    <w:rsid w:val="001F7DE9"/>
    <w:rsid w:val="001F7F98"/>
    <w:rsid w:val="002000A9"/>
    <w:rsid w:val="002002C5"/>
    <w:rsid w:val="0020038E"/>
    <w:rsid w:val="002006FA"/>
    <w:rsid w:val="0020084D"/>
    <w:rsid w:val="00201994"/>
    <w:rsid w:val="002027FB"/>
    <w:rsid w:val="00203552"/>
    <w:rsid w:val="002038C1"/>
    <w:rsid w:val="002039A5"/>
    <w:rsid w:val="00203D70"/>
    <w:rsid w:val="00205224"/>
    <w:rsid w:val="0020550B"/>
    <w:rsid w:val="00205584"/>
    <w:rsid w:val="00205757"/>
    <w:rsid w:val="00205BB2"/>
    <w:rsid w:val="00206051"/>
    <w:rsid w:val="00206150"/>
    <w:rsid w:val="0020636D"/>
    <w:rsid w:val="00206375"/>
    <w:rsid w:val="00207357"/>
    <w:rsid w:val="0020777C"/>
    <w:rsid w:val="00207B03"/>
    <w:rsid w:val="00210104"/>
    <w:rsid w:val="002102A0"/>
    <w:rsid w:val="00210411"/>
    <w:rsid w:val="002104FB"/>
    <w:rsid w:val="0021052F"/>
    <w:rsid w:val="00210E9A"/>
    <w:rsid w:val="00211207"/>
    <w:rsid w:val="00211678"/>
    <w:rsid w:val="00211E95"/>
    <w:rsid w:val="00211F8E"/>
    <w:rsid w:val="002124D7"/>
    <w:rsid w:val="002125A4"/>
    <w:rsid w:val="0021280B"/>
    <w:rsid w:val="002135EE"/>
    <w:rsid w:val="002135F1"/>
    <w:rsid w:val="00213AA3"/>
    <w:rsid w:val="00213B3B"/>
    <w:rsid w:val="002147E6"/>
    <w:rsid w:val="002153F2"/>
    <w:rsid w:val="00215C54"/>
    <w:rsid w:val="002163C8"/>
    <w:rsid w:val="00216426"/>
    <w:rsid w:val="002165AD"/>
    <w:rsid w:val="002171D3"/>
    <w:rsid w:val="0021723E"/>
    <w:rsid w:val="00217549"/>
    <w:rsid w:val="00217E0C"/>
    <w:rsid w:val="0022028B"/>
    <w:rsid w:val="00220C58"/>
    <w:rsid w:val="00220F73"/>
    <w:rsid w:val="002212FA"/>
    <w:rsid w:val="00221632"/>
    <w:rsid w:val="00221E40"/>
    <w:rsid w:val="00221FD6"/>
    <w:rsid w:val="00223250"/>
    <w:rsid w:val="0022325B"/>
    <w:rsid w:val="0022384B"/>
    <w:rsid w:val="00223884"/>
    <w:rsid w:val="00223936"/>
    <w:rsid w:val="00223D40"/>
    <w:rsid w:val="0022503D"/>
    <w:rsid w:val="00225109"/>
    <w:rsid w:val="002252D2"/>
    <w:rsid w:val="002253C7"/>
    <w:rsid w:val="00225806"/>
    <w:rsid w:val="002262CF"/>
    <w:rsid w:val="00226516"/>
    <w:rsid w:val="0022698D"/>
    <w:rsid w:val="002274F1"/>
    <w:rsid w:val="0023153A"/>
    <w:rsid w:val="002316F1"/>
    <w:rsid w:val="00231B6C"/>
    <w:rsid w:val="00232534"/>
    <w:rsid w:val="00232DA1"/>
    <w:rsid w:val="0023359B"/>
    <w:rsid w:val="00233AD1"/>
    <w:rsid w:val="0023454C"/>
    <w:rsid w:val="0023509E"/>
    <w:rsid w:val="002356D6"/>
    <w:rsid w:val="002363E7"/>
    <w:rsid w:val="0023642B"/>
    <w:rsid w:val="0023733C"/>
    <w:rsid w:val="002379A9"/>
    <w:rsid w:val="00237BC6"/>
    <w:rsid w:val="00237C89"/>
    <w:rsid w:val="00237E81"/>
    <w:rsid w:val="0024089E"/>
    <w:rsid w:val="00240F89"/>
    <w:rsid w:val="002418E5"/>
    <w:rsid w:val="00241CA3"/>
    <w:rsid w:val="00242229"/>
    <w:rsid w:val="00242541"/>
    <w:rsid w:val="00242935"/>
    <w:rsid w:val="002429E5"/>
    <w:rsid w:val="00242E72"/>
    <w:rsid w:val="002449A8"/>
    <w:rsid w:val="00244C79"/>
    <w:rsid w:val="00245787"/>
    <w:rsid w:val="00246B5E"/>
    <w:rsid w:val="002471EA"/>
    <w:rsid w:val="002474C1"/>
    <w:rsid w:val="00247D8E"/>
    <w:rsid w:val="00250A5D"/>
    <w:rsid w:val="0025142D"/>
    <w:rsid w:val="002514A8"/>
    <w:rsid w:val="00251525"/>
    <w:rsid w:val="00251F30"/>
    <w:rsid w:val="00252D4F"/>
    <w:rsid w:val="00253374"/>
    <w:rsid w:val="00253CE7"/>
    <w:rsid w:val="0025434D"/>
    <w:rsid w:val="00254C42"/>
    <w:rsid w:val="00254E1C"/>
    <w:rsid w:val="00256510"/>
    <w:rsid w:val="0025663C"/>
    <w:rsid w:val="0025697F"/>
    <w:rsid w:val="002572F4"/>
    <w:rsid w:val="0025731A"/>
    <w:rsid w:val="00260981"/>
    <w:rsid w:val="0026132C"/>
    <w:rsid w:val="00261E1D"/>
    <w:rsid w:val="00261F8F"/>
    <w:rsid w:val="002638C2"/>
    <w:rsid w:val="00263964"/>
    <w:rsid w:val="00263E78"/>
    <w:rsid w:val="002641C7"/>
    <w:rsid w:val="00264514"/>
    <w:rsid w:val="00264662"/>
    <w:rsid w:val="00264672"/>
    <w:rsid w:val="00264A0F"/>
    <w:rsid w:val="00264A34"/>
    <w:rsid w:val="002651EC"/>
    <w:rsid w:val="002656B0"/>
    <w:rsid w:val="00267430"/>
    <w:rsid w:val="002676EF"/>
    <w:rsid w:val="0027012B"/>
    <w:rsid w:val="002709C9"/>
    <w:rsid w:val="00270C7E"/>
    <w:rsid w:val="00271197"/>
    <w:rsid w:val="002716D1"/>
    <w:rsid w:val="00271B83"/>
    <w:rsid w:val="0027274C"/>
    <w:rsid w:val="00272AE4"/>
    <w:rsid w:val="00272B7D"/>
    <w:rsid w:val="00272F74"/>
    <w:rsid w:val="002730C3"/>
    <w:rsid w:val="002736EF"/>
    <w:rsid w:val="00273B02"/>
    <w:rsid w:val="00273CF8"/>
    <w:rsid w:val="002743DB"/>
    <w:rsid w:val="002748C8"/>
    <w:rsid w:val="00275058"/>
    <w:rsid w:val="00276B99"/>
    <w:rsid w:val="00276BAE"/>
    <w:rsid w:val="00276C6E"/>
    <w:rsid w:val="00277182"/>
    <w:rsid w:val="002771D5"/>
    <w:rsid w:val="00280384"/>
    <w:rsid w:val="002803F9"/>
    <w:rsid w:val="00280786"/>
    <w:rsid w:val="002809C4"/>
    <w:rsid w:val="0028147E"/>
    <w:rsid w:val="00281F90"/>
    <w:rsid w:val="00282A6A"/>
    <w:rsid w:val="00282C68"/>
    <w:rsid w:val="00282CC6"/>
    <w:rsid w:val="00282CE4"/>
    <w:rsid w:val="0028449B"/>
    <w:rsid w:val="00284F9E"/>
    <w:rsid w:val="002855B1"/>
    <w:rsid w:val="00285BA0"/>
    <w:rsid w:val="00285DCF"/>
    <w:rsid w:val="0028650B"/>
    <w:rsid w:val="0028670D"/>
    <w:rsid w:val="00287658"/>
    <w:rsid w:val="00287B23"/>
    <w:rsid w:val="00287CB4"/>
    <w:rsid w:val="0029120E"/>
    <w:rsid w:val="002917F8"/>
    <w:rsid w:val="00292374"/>
    <w:rsid w:val="0029278B"/>
    <w:rsid w:val="00292B8D"/>
    <w:rsid w:val="002930EA"/>
    <w:rsid w:val="00293671"/>
    <w:rsid w:val="00293715"/>
    <w:rsid w:val="00294529"/>
    <w:rsid w:val="00294766"/>
    <w:rsid w:val="00294BD5"/>
    <w:rsid w:val="00294C9C"/>
    <w:rsid w:val="00295517"/>
    <w:rsid w:val="00295566"/>
    <w:rsid w:val="00295899"/>
    <w:rsid w:val="00296837"/>
    <w:rsid w:val="0029795B"/>
    <w:rsid w:val="00297A5A"/>
    <w:rsid w:val="002A004F"/>
    <w:rsid w:val="002A0A52"/>
    <w:rsid w:val="002A0FA2"/>
    <w:rsid w:val="002A1059"/>
    <w:rsid w:val="002A10E0"/>
    <w:rsid w:val="002A142C"/>
    <w:rsid w:val="002A1792"/>
    <w:rsid w:val="002A1E7C"/>
    <w:rsid w:val="002A222E"/>
    <w:rsid w:val="002A3493"/>
    <w:rsid w:val="002A3BA8"/>
    <w:rsid w:val="002A3D51"/>
    <w:rsid w:val="002A3D6F"/>
    <w:rsid w:val="002A46AD"/>
    <w:rsid w:val="002A4D1D"/>
    <w:rsid w:val="002A5159"/>
    <w:rsid w:val="002A530F"/>
    <w:rsid w:val="002A573B"/>
    <w:rsid w:val="002A5D41"/>
    <w:rsid w:val="002A5DE8"/>
    <w:rsid w:val="002A6C87"/>
    <w:rsid w:val="002A71BE"/>
    <w:rsid w:val="002A7237"/>
    <w:rsid w:val="002A72A0"/>
    <w:rsid w:val="002A76F2"/>
    <w:rsid w:val="002A7774"/>
    <w:rsid w:val="002A7D79"/>
    <w:rsid w:val="002B0AB0"/>
    <w:rsid w:val="002B0AB9"/>
    <w:rsid w:val="002B15A3"/>
    <w:rsid w:val="002B1BEA"/>
    <w:rsid w:val="002B2836"/>
    <w:rsid w:val="002B32E7"/>
    <w:rsid w:val="002B35EE"/>
    <w:rsid w:val="002B3F69"/>
    <w:rsid w:val="002B4A3A"/>
    <w:rsid w:val="002B5024"/>
    <w:rsid w:val="002B5411"/>
    <w:rsid w:val="002B62DD"/>
    <w:rsid w:val="002B7C06"/>
    <w:rsid w:val="002C07FB"/>
    <w:rsid w:val="002C0B9C"/>
    <w:rsid w:val="002C0D5A"/>
    <w:rsid w:val="002C1023"/>
    <w:rsid w:val="002C15B3"/>
    <w:rsid w:val="002C2DDC"/>
    <w:rsid w:val="002C42B5"/>
    <w:rsid w:val="002C4358"/>
    <w:rsid w:val="002C4477"/>
    <w:rsid w:val="002C4AD1"/>
    <w:rsid w:val="002C4DA9"/>
    <w:rsid w:val="002C4F7B"/>
    <w:rsid w:val="002C4FCB"/>
    <w:rsid w:val="002C5541"/>
    <w:rsid w:val="002C5F35"/>
    <w:rsid w:val="002C5F83"/>
    <w:rsid w:val="002C63ED"/>
    <w:rsid w:val="002C7C18"/>
    <w:rsid w:val="002C7FDD"/>
    <w:rsid w:val="002D013D"/>
    <w:rsid w:val="002D0157"/>
    <w:rsid w:val="002D1A9A"/>
    <w:rsid w:val="002D1B8D"/>
    <w:rsid w:val="002D2F2D"/>
    <w:rsid w:val="002D312B"/>
    <w:rsid w:val="002D340B"/>
    <w:rsid w:val="002D35BA"/>
    <w:rsid w:val="002D36E9"/>
    <w:rsid w:val="002D42D7"/>
    <w:rsid w:val="002D4D69"/>
    <w:rsid w:val="002D5206"/>
    <w:rsid w:val="002D6088"/>
    <w:rsid w:val="002D66D6"/>
    <w:rsid w:val="002D6A05"/>
    <w:rsid w:val="002D6BE5"/>
    <w:rsid w:val="002D6D64"/>
    <w:rsid w:val="002D7AD5"/>
    <w:rsid w:val="002E0473"/>
    <w:rsid w:val="002E05B7"/>
    <w:rsid w:val="002E0DA0"/>
    <w:rsid w:val="002E0DC8"/>
    <w:rsid w:val="002E0E7A"/>
    <w:rsid w:val="002E176F"/>
    <w:rsid w:val="002E1C78"/>
    <w:rsid w:val="002E1CB2"/>
    <w:rsid w:val="002E24EB"/>
    <w:rsid w:val="002E27F7"/>
    <w:rsid w:val="002E2DCD"/>
    <w:rsid w:val="002E36B7"/>
    <w:rsid w:val="002E3DBF"/>
    <w:rsid w:val="002E3E02"/>
    <w:rsid w:val="002E4100"/>
    <w:rsid w:val="002E4794"/>
    <w:rsid w:val="002E4CA7"/>
    <w:rsid w:val="002E4E3F"/>
    <w:rsid w:val="002E523E"/>
    <w:rsid w:val="002E5AC8"/>
    <w:rsid w:val="002E5B8A"/>
    <w:rsid w:val="002E6737"/>
    <w:rsid w:val="002E6DE5"/>
    <w:rsid w:val="002E75FF"/>
    <w:rsid w:val="002E77D4"/>
    <w:rsid w:val="002F092C"/>
    <w:rsid w:val="002F1C31"/>
    <w:rsid w:val="002F23E5"/>
    <w:rsid w:val="002F2718"/>
    <w:rsid w:val="002F4154"/>
    <w:rsid w:val="002F5A67"/>
    <w:rsid w:val="002F5DB8"/>
    <w:rsid w:val="002F5FB0"/>
    <w:rsid w:val="002F63A9"/>
    <w:rsid w:val="002F6873"/>
    <w:rsid w:val="002F6CB3"/>
    <w:rsid w:val="00300004"/>
    <w:rsid w:val="00300283"/>
    <w:rsid w:val="00300D64"/>
    <w:rsid w:val="0030164D"/>
    <w:rsid w:val="003018F9"/>
    <w:rsid w:val="00301B17"/>
    <w:rsid w:val="003027A0"/>
    <w:rsid w:val="0030405B"/>
    <w:rsid w:val="0030421A"/>
    <w:rsid w:val="0030490E"/>
    <w:rsid w:val="00304A4E"/>
    <w:rsid w:val="00304B5E"/>
    <w:rsid w:val="00305A9C"/>
    <w:rsid w:val="00305ABE"/>
    <w:rsid w:val="00305C77"/>
    <w:rsid w:val="00307448"/>
    <w:rsid w:val="00310096"/>
    <w:rsid w:val="00310A87"/>
    <w:rsid w:val="00310D5D"/>
    <w:rsid w:val="00310E56"/>
    <w:rsid w:val="0031231B"/>
    <w:rsid w:val="003127F5"/>
    <w:rsid w:val="003128E1"/>
    <w:rsid w:val="00312A51"/>
    <w:rsid w:val="00313601"/>
    <w:rsid w:val="00314D81"/>
    <w:rsid w:val="00314F05"/>
    <w:rsid w:val="00315690"/>
    <w:rsid w:val="00316F4F"/>
    <w:rsid w:val="0031762F"/>
    <w:rsid w:val="0031799A"/>
    <w:rsid w:val="0032023E"/>
    <w:rsid w:val="0032030E"/>
    <w:rsid w:val="00320B4B"/>
    <w:rsid w:val="00320CEA"/>
    <w:rsid w:val="00320FE6"/>
    <w:rsid w:val="00321454"/>
    <w:rsid w:val="003215B7"/>
    <w:rsid w:val="003218B1"/>
    <w:rsid w:val="00321D92"/>
    <w:rsid w:val="00322C22"/>
    <w:rsid w:val="00322DED"/>
    <w:rsid w:val="00323B67"/>
    <w:rsid w:val="00323D1C"/>
    <w:rsid w:val="00323F9E"/>
    <w:rsid w:val="00324171"/>
    <w:rsid w:val="003252E1"/>
    <w:rsid w:val="003261C8"/>
    <w:rsid w:val="0032680C"/>
    <w:rsid w:val="00326986"/>
    <w:rsid w:val="00330E3C"/>
    <w:rsid w:val="00331099"/>
    <w:rsid w:val="0033186D"/>
    <w:rsid w:val="00332048"/>
    <w:rsid w:val="00332A3E"/>
    <w:rsid w:val="00332CC5"/>
    <w:rsid w:val="00333EB2"/>
    <w:rsid w:val="003343DA"/>
    <w:rsid w:val="0033467C"/>
    <w:rsid w:val="00334B68"/>
    <w:rsid w:val="00334B73"/>
    <w:rsid w:val="00334BD2"/>
    <w:rsid w:val="00334C3B"/>
    <w:rsid w:val="00334D91"/>
    <w:rsid w:val="00335024"/>
    <w:rsid w:val="00336829"/>
    <w:rsid w:val="00336F76"/>
    <w:rsid w:val="00337030"/>
    <w:rsid w:val="003375F5"/>
    <w:rsid w:val="00337F2C"/>
    <w:rsid w:val="00337F43"/>
    <w:rsid w:val="003400B2"/>
    <w:rsid w:val="00340828"/>
    <w:rsid w:val="00340B8B"/>
    <w:rsid w:val="003412FC"/>
    <w:rsid w:val="00341678"/>
    <w:rsid w:val="003418FF"/>
    <w:rsid w:val="00341E86"/>
    <w:rsid w:val="003427EC"/>
    <w:rsid w:val="00342C2D"/>
    <w:rsid w:val="00342C68"/>
    <w:rsid w:val="00343256"/>
    <w:rsid w:val="003435B9"/>
    <w:rsid w:val="003435F1"/>
    <w:rsid w:val="00343AD6"/>
    <w:rsid w:val="0034429B"/>
    <w:rsid w:val="00344427"/>
    <w:rsid w:val="00344AEB"/>
    <w:rsid w:val="00344F90"/>
    <w:rsid w:val="0034513C"/>
    <w:rsid w:val="00346C12"/>
    <w:rsid w:val="00346EF4"/>
    <w:rsid w:val="00346FC8"/>
    <w:rsid w:val="0034716C"/>
    <w:rsid w:val="00347984"/>
    <w:rsid w:val="003479A6"/>
    <w:rsid w:val="00350755"/>
    <w:rsid w:val="0035086B"/>
    <w:rsid w:val="003508A9"/>
    <w:rsid w:val="00350F5A"/>
    <w:rsid w:val="0035189B"/>
    <w:rsid w:val="00351C2F"/>
    <w:rsid w:val="00351DE5"/>
    <w:rsid w:val="00351DF7"/>
    <w:rsid w:val="00351EAC"/>
    <w:rsid w:val="00351F2F"/>
    <w:rsid w:val="003520F2"/>
    <w:rsid w:val="00352703"/>
    <w:rsid w:val="0035272A"/>
    <w:rsid w:val="003536D2"/>
    <w:rsid w:val="00353E50"/>
    <w:rsid w:val="00353FEE"/>
    <w:rsid w:val="00354027"/>
    <w:rsid w:val="00354B17"/>
    <w:rsid w:val="00354BE1"/>
    <w:rsid w:val="00355C62"/>
    <w:rsid w:val="00355CBB"/>
    <w:rsid w:val="00356127"/>
    <w:rsid w:val="003568A9"/>
    <w:rsid w:val="003569E6"/>
    <w:rsid w:val="00356BE6"/>
    <w:rsid w:val="00357531"/>
    <w:rsid w:val="00357B33"/>
    <w:rsid w:val="003605A8"/>
    <w:rsid w:val="00360BED"/>
    <w:rsid w:val="00360F4A"/>
    <w:rsid w:val="00361345"/>
    <w:rsid w:val="00361807"/>
    <w:rsid w:val="00361B89"/>
    <w:rsid w:val="0036276B"/>
    <w:rsid w:val="00363809"/>
    <w:rsid w:val="00364290"/>
    <w:rsid w:val="003642FC"/>
    <w:rsid w:val="0036460A"/>
    <w:rsid w:val="00364700"/>
    <w:rsid w:val="0036474D"/>
    <w:rsid w:val="00364A97"/>
    <w:rsid w:val="00364CAA"/>
    <w:rsid w:val="00365885"/>
    <w:rsid w:val="00365DE1"/>
    <w:rsid w:val="00365E60"/>
    <w:rsid w:val="0036610F"/>
    <w:rsid w:val="003669F4"/>
    <w:rsid w:val="00366E8D"/>
    <w:rsid w:val="00366EEE"/>
    <w:rsid w:val="00367218"/>
    <w:rsid w:val="00370461"/>
    <w:rsid w:val="0037051E"/>
    <w:rsid w:val="0037131F"/>
    <w:rsid w:val="0037165E"/>
    <w:rsid w:val="00372E27"/>
    <w:rsid w:val="00373206"/>
    <w:rsid w:val="003736F7"/>
    <w:rsid w:val="00373F94"/>
    <w:rsid w:val="00374449"/>
    <w:rsid w:val="00374B2F"/>
    <w:rsid w:val="00374E75"/>
    <w:rsid w:val="0037504E"/>
    <w:rsid w:val="003752F8"/>
    <w:rsid w:val="00376385"/>
    <w:rsid w:val="003767D9"/>
    <w:rsid w:val="0037684D"/>
    <w:rsid w:val="00376A25"/>
    <w:rsid w:val="00377988"/>
    <w:rsid w:val="00377E31"/>
    <w:rsid w:val="00380F31"/>
    <w:rsid w:val="00380FE9"/>
    <w:rsid w:val="00381155"/>
    <w:rsid w:val="003815F6"/>
    <w:rsid w:val="00381B75"/>
    <w:rsid w:val="00381DA0"/>
    <w:rsid w:val="00382E89"/>
    <w:rsid w:val="00383382"/>
    <w:rsid w:val="0038384A"/>
    <w:rsid w:val="00384B1E"/>
    <w:rsid w:val="003858C4"/>
    <w:rsid w:val="00385D89"/>
    <w:rsid w:val="00385E18"/>
    <w:rsid w:val="0038738E"/>
    <w:rsid w:val="00387A88"/>
    <w:rsid w:val="00390313"/>
    <w:rsid w:val="00390877"/>
    <w:rsid w:val="00390A8C"/>
    <w:rsid w:val="00390B56"/>
    <w:rsid w:val="00390E21"/>
    <w:rsid w:val="00391928"/>
    <w:rsid w:val="003929E7"/>
    <w:rsid w:val="00392D2A"/>
    <w:rsid w:val="0039342A"/>
    <w:rsid w:val="003937C9"/>
    <w:rsid w:val="00394685"/>
    <w:rsid w:val="003951CA"/>
    <w:rsid w:val="003952AE"/>
    <w:rsid w:val="003957A5"/>
    <w:rsid w:val="003959C5"/>
    <w:rsid w:val="00396141"/>
    <w:rsid w:val="00396DB9"/>
    <w:rsid w:val="00397992"/>
    <w:rsid w:val="00397D72"/>
    <w:rsid w:val="00397DE0"/>
    <w:rsid w:val="003A01C6"/>
    <w:rsid w:val="003A03E8"/>
    <w:rsid w:val="003A0CCD"/>
    <w:rsid w:val="003A0DEC"/>
    <w:rsid w:val="003A169B"/>
    <w:rsid w:val="003A1914"/>
    <w:rsid w:val="003A1E28"/>
    <w:rsid w:val="003A21FC"/>
    <w:rsid w:val="003A22CC"/>
    <w:rsid w:val="003A239A"/>
    <w:rsid w:val="003A26FE"/>
    <w:rsid w:val="003A51E0"/>
    <w:rsid w:val="003A58B4"/>
    <w:rsid w:val="003A5BAE"/>
    <w:rsid w:val="003A6D9C"/>
    <w:rsid w:val="003A6FFF"/>
    <w:rsid w:val="003A7558"/>
    <w:rsid w:val="003A76F0"/>
    <w:rsid w:val="003B0448"/>
    <w:rsid w:val="003B05CA"/>
    <w:rsid w:val="003B096F"/>
    <w:rsid w:val="003B1989"/>
    <w:rsid w:val="003B1E54"/>
    <w:rsid w:val="003B277C"/>
    <w:rsid w:val="003B2A3E"/>
    <w:rsid w:val="003B2E44"/>
    <w:rsid w:val="003B3F84"/>
    <w:rsid w:val="003B4048"/>
    <w:rsid w:val="003B47AF"/>
    <w:rsid w:val="003B497B"/>
    <w:rsid w:val="003B4AD3"/>
    <w:rsid w:val="003B4B86"/>
    <w:rsid w:val="003B55CB"/>
    <w:rsid w:val="003B60A0"/>
    <w:rsid w:val="003B639C"/>
    <w:rsid w:val="003B6570"/>
    <w:rsid w:val="003B6929"/>
    <w:rsid w:val="003B795C"/>
    <w:rsid w:val="003B7DC0"/>
    <w:rsid w:val="003C0399"/>
    <w:rsid w:val="003C071F"/>
    <w:rsid w:val="003C12DD"/>
    <w:rsid w:val="003C28C9"/>
    <w:rsid w:val="003C2D69"/>
    <w:rsid w:val="003C32E3"/>
    <w:rsid w:val="003C34BF"/>
    <w:rsid w:val="003C433A"/>
    <w:rsid w:val="003C4CDB"/>
    <w:rsid w:val="003C5B5D"/>
    <w:rsid w:val="003C5F88"/>
    <w:rsid w:val="003C7897"/>
    <w:rsid w:val="003C796E"/>
    <w:rsid w:val="003C7B93"/>
    <w:rsid w:val="003D0A72"/>
    <w:rsid w:val="003D0DB9"/>
    <w:rsid w:val="003D138D"/>
    <w:rsid w:val="003D1519"/>
    <w:rsid w:val="003D1937"/>
    <w:rsid w:val="003D1B35"/>
    <w:rsid w:val="003D2182"/>
    <w:rsid w:val="003D2733"/>
    <w:rsid w:val="003D2CBE"/>
    <w:rsid w:val="003D2CDE"/>
    <w:rsid w:val="003D3341"/>
    <w:rsid w:val="003D33BE"/>
    <w:rsid w:val="003D3A17"/>
    <w:rsid w:val="003D4179"/>
    <w:rsid w:val="003D4480"/>
    <w:rsid w:val="003D48FC"/>
    <w:rsid w:val="003D4D3F"/>
    <w:rsid w:val="003D545A"/>
    <w:rsid w:val="003D5681"/>
    <w:rsid w:val="003D5CED"/>
    <w:rsid w:val="003D6566"/>
    <w:rsid w:val="003D6734"/>
    <w:rsid w:val="003D6763"/>
    <w:rsid w:val="003D6A85"/>
    <w:rsid w:val="003D7163"/>
    <w:rsid w:val="003D7BAA"/>
    <w:rsid w:val="003E0A86"/>
    <w:rsid w:val="003E0F8E"/>
    <w:rsid w:val="003E0FC9"/>
    <w:rsid w:val="003E1029"/>
    <w:rsid w:val="003E14D5"/>
    <w:rsid w:val="003E187B"/>
    <w:rsid w:val="003E189B"/>
    <w:rsid w:val="003E1F87"/>
    <w:rsid w:val="003E2285"/>
    <w:rsid w:val="003E294F"/>
    <w:rsid w:val="003E2E14"/>
    <w:rsid w:val="003E2F37"/>
    <w:rsid w:val="003E384D"/>
    <w:rsid w:val="003E3D99"/>
    <w:rsid w:val="003E3F4C"/>
    <w:rsid w:val="003E401D"/>
    <w:rsid w:val="003E4416"/>
    <w:rsid w:val="003E4B85"/>
    <w:rsid w:val="003E56BD"/>
    <w:rsid w:val="003E5CF9"/>
    <w:rsid w:val="003E6376"/>
    <w:rsid w:val="003E654D"/>
    <w:rsid w:val="003E6744"/>
    <w:rsid w:val="003E6766"/>
    <w:rsid w:val="003E6C79"/>
    <w:rsid w:val="003E7AE6"/>
    <w:rsid w:val="003F0354"/>
    <w:rsid w:val="003F0442"/>
    <w:rsid w:val="003F0D38"/>
    <w:rsid w:val="003F0D5C"/>
    <w:rsid w:val="003F1172"/>
    <w:rsid w:val="003F1378"/>
    <w:rsid w:val="003F155C"/>
    <w:rsid w:val="003F1589"/>
    <w:rsid w:val="003F181C"/>
    <w:rsid w:val="003F1E47"/>
    <w:rsid w:val="003F2186"/>
    <w:rsid w:val="003F2E99"/>
    <w:rsid w:val="003F2F6A"/>
    <w:rsid w:val="003F4488"/>
    <w:rsid w:val="003F489F"/>
    <w:rsid w:val="003F5232"/>
    <w:rsid w:val="003F5937"/>
    <w:rsid w:val="003F59D2"/>
    <w:rsid w:val="003F6ABF"/>
    <w:rsid w:val="003F6EA6"/>
    <w:rsid w:val="003F73E7"/>
    <w:rsid w:val="003F7559"/>
    <w:rsid w:val="004002EE"/>
    <w:rsid w:val="00400319"/>
    <w:rsid w:val="00400435"/>
    <w:rsid w:val="00400DD1"/>
    <w:rsid w:val="00401064"/>
    <w:rsid w:val="004012BC"/>
    <w:rsid w:val="004014B2"/>
    <w:rsid w:val="004015EF"/>
    <w:rsid w:val="00401EC9"/>
    <w:rsid w:val="004032A6"/>
    <w:rsid w:val="004038F0"/>
    <w:rsid w:val="004038FF"/>
    <w:rsid w:val="00403BC4"/>
    <w:rsid w:val="004044A1"/>
    <w:rsid w:val="004047C8"/>
    <w:rsid w:val="0040489E"/>
    <w:rsid w:val="0040523A"/>
    <w:rsid w:val="004052CF"/>
    <w:rsid w:val="00405487"/>
    <w:rsid w:val="00406206"/>
    <w:rsid w:val="00407815"/>
    <w:rsid w:val="00407D0C"/>
    <w:rsid w:val="004104AA"/>
    <w:rsid w:val="00410CCF"/>
    <w:rsid w:val="00411440"/>
    <w:rsid w:val="0041144F"/>
    <w:rsid w:val="00411C31"/>
    <w:rsid w:val="00411CCA"/>
    <w:rsid w:val="00411D73"/>
    <w:rsid w:val="0041207F"/>
    <w:rsid w:val="004120E1"/>
    <w:rsid w:val="004126CC"/>
    <w:rsid w:val="00413F69"/>
    <w:rsid w:val="0041411E"/>
    <w:rsid w:val="00414568"/>
    <w:rsid w:val="00414DB4"/>
    <w:rsid w:val="00415712"/>
    <w:rsid w:val="00415776"/>
    <w:rsid w:val="00415811"/>
    <w:rsid w:val="00415837"/>
    <w:rsid w:val="0041588A"/>
    <w:rsid w:val="00416445"/>
    <w:rsid w:val="0041657E"/>
    <w:rsid w:val="004166BF"/>
    <w:rsid w:val="0041692A"/>
    <w:rsid w:val="00416952"/>
    <w:rsid w:val="004170ED"/>
    <w:rsid w:val="00417D92"/>
    <w:rsid w:val="004200AA"/>
    <w:rsid w:val="00420132"/>
    <w:rsid w:val="0042083D"/>
    <w:rsid w:val="00420F28"/>
    <w:rsid w:val="00424089"/>
    <w:rsid w:val="00424382"/>
    <w:rsid w:val="004247FC"/>
    <w:rsid w:val="0042487A"/>
    <w:rsid w:val="004251CE"/>
    <w:rsid w:val="0042545A"/>
    <w:rsid w:val="004256EE"/>
    <w:rsid w:val="00426119"/>
    <w:rsid w:val="00426AC6"/>
    <w:rsid w:val="00427723"/>
    <w:rsid w:val="00427993"/>
    <w:rsid w:val="00427FAF"/>
    <w:rsid w:val="0043010F"/>
    <w:rsid w:val="004301ED"/>
    <w:rsid w:val="004307E4"/>
    <w:rsid w:val="00430ED6"/>
    <w:rsid w:val="004316EB"/>
    <w:rsid w:val="004329A3"/>
    <w:rsid w:val="00432F1F"/>
    <w:rsid w:val="0043362E"/>
    <w:rsid w:val="00433A6C"/>
    <w:rsid w:val="00433BD4"/>
    <w:rsid w:val="00434475"/>
    <w:rsid w:val="0043450D"/>
    <w:rsid w:val="004350CB"/>
    <w:rsid w:val="00435275"/>
    <w:rsid w:val="00435528"/>
    <w:rsid w:val="004357EB"/>
    <w:rsid w:val="004358FC"/>
    <w:rsid w:val="00435AB7"/>
    <w:rsid w:val="004360D5"/>
    <w:rsid w:val="004366E3"/>
    <w:rsid w:val="00436849"/>
    <w:rsid w:val="00436868"/>
    <w:rsid w:val="00436FDF"/>
    <w:rsid w:val="00437671"/>
    <w:rsid w:val="00437751"/>
    <w:rsid w:val="004378C5"/>
    <w:rsid w:val="0044014F"/>
    <w:rsid w:val="00440257"/>
    <w:rsid w:val="00441488"/>
    <w:rsid w:val="0044213E"/>
    <w:rsid w:val="0044254C"/>
    <w:rsid w:val="00442BFC"/>
    <w:rsid w:val="00443385"/>
    <w:rsid w:val="004433ED"/>
    <w:rsid w:val="004436DA"/>
    <w:rsid w:val="004445C2"/>
    <w:rsid w:val="00445A35"/>
    <w:rsid w:val="00445D4B"/>
    <w:rsid w:val="004460E9"/>
    <w:rsid w:val="0044640B"/>
    <w:rsid w:val="00446466"/>
    <w:rsid w:val="004472EF"/>
    <w:rsid w:val="0045030C"/>
    <w:rsid w:val="00450475"/>
    <w:rsid w:val="00450588"/>
    <w:rsid w:val="00453006"/>
    <w:rsid w:val="00453052"/>
    <w:rsid w:val="004534E1"/>
    <w:rsid w:val="004561EC"/>
    <w:rsid w:val="004564C3"/>
    <w:rsid w:val="00456806"/>
    <w:rsid w:val="00456A2D"/>
    <w:rsid w:val="00456ABD"/>
    <w:rsid w:val="004578DA"/>
    <w:rsid w:val="00457BD9"/>
    <w:rsid w:val="00457EF9"/>
    <w:rsid w:val="004611C2"/>
    <w:rsid w:val="00461B6C"/>
    <w:rsid w:val="004621F2"/>
    <w:rsid w:val="00462A6A"/>
    <w:rsid w:val="004636E2"/>
    <w:rsid w:val="00463F47"/>
    <w:rsid w:val="0046425C"/>
    <w:rsid w:val="00464941"/>
    <w:rsid w:val="00464D09"/>
    <w:rsid w:val="0046575C"/>
    <w:rsid w:val="0046592C"/>
    <w:rsid w:val="00465A3B"/>
    <w:rsid w:val="00465C6C"/>
    <w:rsid w:val="00465E51"/>
    <w:rsid w:val="00467562"/>
    <w:rsid w:val="00467BD2"/>
    <w:rsid w:val="00467D73"/>
    <w:rsid w:val="00470A54"/>
    <w:rsid w:val="00471031"/>
    <w:rsid w:val="00471055"/>
    <w:rsid w:val="0047160E"/>
    <w:rsid w:val="0047168F"/>
    <w:rsid w:val="004723D4"/>
    <w:rsid w:val="00472C60"/>
    <w:rsid w:val="00472E04"/>
    <w:rsid w:val="004731D0"/>
    <w:rsid w:val="00473446"/>
    <w:rsid w:val="00473AE1"/>
    <w:rsid w:val="0047425B"/>
    <w:rsid w:val="00474A37"/>
    <w:rsid w:val="00474A73"/>
    <w:rsid w:val="00475D39"/>
    <w:rsid w:val="00476967"/>
    <w:rsid w:val="00480383"/>
    <w:rsid w:val="0048212D"/>
    <w:rsid w:val="004826FD"/>
    <w:rsid w:val="00482990"/>
    <w:rsid w:val="00482A26"/>
    <w:rsid w:val="00483234"/>
    <w:rsid w:val="0048329A"/>
    <w:rsid w:val="00485D01"/>
    <w:rsid w:val="00485DA3"/>
    <w:rsid w:val="004862A0"/>
    <w:rsid w:val="00487365"/>
    <w:rsid w:val="00487897"/>
    <w:rsid w:val="00490178"/>
    <w:rsid w:val="004909F6"/>
    <w:rsid w:val="00490FAF"/>
    <w:rsid w:val="004917E9"/>
    <w:rsid w:val="00491AA4"/>
    <w:rsid w:val="00491B66"/>
    <w:rsid w:val="00492022"/>
    <w:rsid w:val="0049211A"/>
    <w:rsid w:val="0049251C"/>
    <w:rsid w:val="0049262D"/>
    <w:rsid w:val="0049315C"/>
    <w:rsid w:val="0049370C"/>
    <w:rsid w:val="00493710"/>
    <w:rsid w:val="0049432A"/>
    <w:rsid w:val="0049441C"/>
    <w:rsid w:val="00494C00"/>
    <w:rsid w:val="00495275"/>
    <w:rsid w:val="0049529E"/>
    <w:rsid w:val="00495B3E"/>
    <w:rsid w:val="00495D74"/>
    <w:rsid w:val="004963B9"/>
    <w:rsid w:val="00496E86"/>
    <w:rsid w:val="004977E8"/>
    <w:rsid w:val="00497C7C"/>
    <w:rsid w:val="004A002A"/>
    <w:rsid w:val="004A17B3"/>
    <w:rsid w:val="004A1CD5"/>
    <w:rsid w:val="004A3257"/>
    <w:rsid w:val="004A326E"/>
    <w:rsid w:val="004A3ABC"/>
    <w:rsid w:val="004A3D52"/>
    <w:rsid w:val="004A432E"/>
    <w:rsid w:val="004A4F9F"/>
    <w:rsid w:val="004A4FE5"/>
    <w:rsid w:val="004A515E"/>
    <w:rsid w:val="004A5635"/>
    <w:rsid w:val="004A6DD1"/>
    <w:rsid w:val="004A7124"/>
    <w:rsid w:val="004A73A4"/>
    <w:rsid w:val="004A756B"/>
    <w:rsid w:val="004B0854"/>
    <w:rsid w:val="004B0D2A"/>
    <w:rsid w:val="004B0D33"/>
    <w:rsid w:val="004B1419"/>
    <w:rsid w:val="004B1504"/>
    <w:rsid w:val="004B1F9C"/>
    <w:rsid w:val="004B2602"/>
    <w:rsid w:val="004B29DA"/>
    <w:rsid w:val="004B2B4D"/>
    <w:rsid w:val="004B2D7D"/>
    <w:rsid w:val="004B2E22"/>
    <w:rsid w:val="004B2EFF"/>
    <w:rsid w:val="004B321F"/>
    <w:rsid w:val="004B33B9"/>
    <w:rsid w:val="004B3A91"/>
    <w:rsid w:val="004B3C30"/>
    <w:rsid w:val="004B428B"/>
    <w:rsid w:val="004B4505"/>
    <w:rsid w:val="004B4B82"/>
    <w:rsid w:val="004B5246"/>
    <w:rsid w:val="004B5801"/>
    <w:rsid w:val="004B58FE"/>
    <w:rsid w:val="004B5A6C"/>
    <w:rsid w:val="004B6609"/>
    <w:rsid w:val="004B69A2"/>
    <w:rsid w:val="004B7860"/>
    <w:rsid w:val="004B787D"/>
    <w:rsid w:val="004B7DB1"/>
    <w:rsid w:val="004C042F"/>
    <w:rsid w:val="004C08A9"/>
    <w:rsid w:val="004C09A9"/>
    <w:rsid w:val="004C1B90"/>
    <w:rsid w:val="004C2491"/>
    <w:rsid w:val="004C2EE3"/>
    <w:rsid w:val="004C345F"/>
    <w:rsid w:val="004C3774"/>
    <w:rsid w:val="004C4C46"/>
    <w:rsid w:val="004C53C6"/>
    <w:rsid w:val="004C54D5"/>
    <w:rsid w:val="004C5E78"/>
    <w:rsid w:val="004C6151"/>
    <w:rsid w:val="004C6162"/>
    <w:rsid w:val="004C6C8E"/>
    <w:rsid w:val="004C7346"/>
    <w:rsid w:val="004C7793"/>
    <w:rsid w:val="004D0CBC"/>
    <w:rsid w:val="004D0D1E"/>
    <w:rsid w:val="004D11CA"/>
    <w:rsid w:val="004D1A04"/>
    <w:rsid w:val="004D1CA1"/>
    <w:rsid w:val="004D1FD6"/>
    <w:rsid w:val="004D277D"/>
    <w:rsid w:val="004D34CD"/>
    <w:rsid w:val="004D3935"/>
    <w:rsid w:val="004D39C5"/>
    <w:rsid w:val="004D3D6E"/>
    <w:rsid w:val="004D4373"/>
    <w:rsid w:val="004D45D3"/>
    <w:rsid w:val="004D4838"/>
    <w:rsid w:val="004D488E"/>
    <w:rsid w:val="004D5120"/>
    <w:rsid w:val="004D52A1"/>
    <w:rsid w:val="004D5AB4"/>
    <w:rsid w:val="004D6238"/>
    <w:rsid w:val="004D6272"/>
    <w:rsid w:val="004D6E40"/>
    <w:rsid w:val="004D733F"/>
    <w:rsid w:val="004D74A2"/>
    <w:rsid w:val="004D7D09"/>
    <w:rsid w:val="004D7EA4"/>
    <w:rsid w:val="004E0100"/>
    <w:rsid w:val="004E0C3C"/>
    <w:rsid w:val="004E0F70"/>
    <w:rsid w:val="004E17AA"/>
    <w:rsid w:val="004E1B49"/>
    <w:rsid w:val="004E218D"/>
    <w:rsid w:val="004E30E2"/>
    <w:rsid w:val="004E3102"/>
    <w:rsid w:val="004E4383"/>
    <w:rsid w:val="004E4870"/>
    <w:rsid w:val="004E4E46"/>
    <w:rsid w:val="004E4E99"/>
    <w:rsid w:val="004E5B78"/>
    <w:rsid w:val="004E6583"/>
    <w:rsid w:val="004E658D"/>
    <w:rsid w:val="004E680E"/>
    <w:rsid w:val="004E68E5"/>
    <w:rsid w:val="004E6DD3"/>
    <w:rsid w:val="004E7005"/>
    <w:rsid w:val="004F07E6"/>
    <w:rsid w:val="004F0927"/>
    <w:rsid w:val="004F0CCA"/>
    <w:rsid w:val="004F1254"/>
    <w:rsid w:val="004F17FE"/>
    <w:rsid w:val="004F1820"/>
    <w:rsid w:val="004F2013"/>
    <w:rsid w:val="004F250E"/>
    <w:rsid w:val="004F28B3"/>
    <w:rsid w:val="004F2C68"/>
    <w:rsid w:val="004F2E78"/>
    <w:rsid w:val="004F2EB2"/>
    <w:rsid w:val="004F368A"/>
    <w:rsid w:val="004F385C"/>
    <w:rsid w:val="004F385E"/>
    <w:rsid w:val="004F4097"/>
    <w:rsid w:val="004F438F"/>
    <w:rsid w:val="004F4533"/>
    <w:rsid w:val="004F45C9"/>
    <w:rsid w:val="004F4735"/>
    <w:rsid w:val="004F5267"/>
    <w:rsid w:val="004F5ECB"/>
    <w:rsid w:val="004F6C73"/>
    <w:rsid w:val="004F6E04"/>
    <w:rsid w:val="00500850"/>
    <w:rsid w:val="00500D0E"/>
    <w:rsid w:val="005017B4"/>
    <w:rsid w:val="0050189A"/>
    <w:rsid w:val="00501D54"/>
    <w:rsid w:val="00501DC8"/>
    <w:rsid w:val="00502079"/>
    <w:rsid w:val="005021A2"/>
    <w:rsid w:val="005025A1"/>
    <w:rsid w:val="00502C2B"/>
    <w:rsid w:val="0050318D"/>
    <w:rsid w:val="005047B6"/>
    <w:rsid w:val="00504C3F"/>
    <w:rsid w:val="00504D07"/>
    <w:rsid w:val="00504EB8"/>
    <w:rsid w:val="00505570"/>
    <w:rsid w:val="005059CC"/>
    <w:rsid w:val="00505C00"/>
    <w:rsid w:val="00505E76"/>
    <w:rsid w:val="00505F15"/>
    <w:rsid w:val="00506285"/>
    <w:rsid w:val="00506650"/>
    <w:rsid w:val="005066D6"/>
    <w:rsid w:val="00506734"/>
    <w:rsid w:val="00506B31"/>
    <w:rsid w:val="00507A3D"/>
    <w:rsid w:val="005101F4"/>
    <w:rsid w:val="005102BB"/>
    <w:rsid w:val="00510368"/>
    <w:rsid w:val="005106AB"/>
    <w:rsid w:val="00510783"/>
    <w:rsid w:val="00510F3B"/>
    <w:rsid w:val="00511660"/>
    <w:rsid w:val="00512747"/>
    <w:rsid w:val="00512B9C"/>
    <w:rsid w:val="005137F3"/>
    <w:rsid w:val="00514066"/>
    <w:rsid w:val="00514AFF"/>
    <w:rsid w:val="00514FEC"/>
    <w:rsid w:val="005154A8"/>
    <w:rsid w:val="0051614E"/>
    <w:rsid w:val="00516566"/>
    <w:rsid w:val="005172DD"/>
    <w:rsid w:val="0051756E"/>
    <w:rsid w:val="00517CAB"/>
    <w:rsid w:val="005206C3"/>
    <w:rsid w:val="00520841"/>
    <w:rsid w:val="0052128C"/>
    <w:rsid w:val="005218DA"/>
    <w:rsid w:val="00521DCF"/>
    <w:rsid w:val="0052262E"/>
    <w:rsid w:val="00522651"/>
    <w:rsid w:val="00522F02"/>
    <w:rsid w:val="005234FA"/>
    <w:rsid w:val="00523FA3"/>
    <w:rsid w:val="00524396"/>
    <w:rsid w:val="00524406"/>
    <w:rsid w:val="00524E40"/>
    <w:rsid w:val="00525113"/>
    <w:rsid w:val="00525611"/>
    <w:rsid w:val="005265AF"/>
    <w:rsid w:val="005266FD"/>
    <w:rsid w:val="00526C60"/>
    <w:rsid w:val="00526D4C"/>
    <w:rsid w:val="00526F51"/>
    <w:rsid w:val="00527055"/>
    <w:rsid w:val="00527292"/>
    <w:rsid w:val="005272B2"/>
    <w:rsid w:val="005275B9"/>
    <w:rsid w:val="0052766E"/>
    <w:rsid w:val="00527A16"/>
    <w:rsid w:val="00527A4C"/>
    <w:rsid w:val="00527C0A"/>
    <w:rsid w:val="00527C1A"/>
    <w:rsid w:val="00527C4C"/>
    <w:rsid w:val="00530623"/>
    <w:rsid w:val="00530742"/>
    <w:rsid w:val="0053148E"/>
    <w:rsid w:val="00531694"/>
    <w:rsid w:val="00531D61"/>
    <w:rsid w:val="0053261C"/>
    <w:rsid w:val="00532945"/>
    <w:rsid w:val="00532A12"/>
    <w:rsid w:val="0053372F"/>
    <w:rsid w:val="00534AAC"/>
    <w:rsid w:val="005351D5"/>
    <w:rsid w:val="005357FB"/>
    <w:rsid w:val="0053585B"/>
    <w:rsid w:val="005359A1"/>
    <w:rsid w:val="00535A78"/>
    <w:rsid w:val="00535AB5"/>
    <w:rsid w:val="00535FC5"/>
    <w:rsid w:val="00536034"/>
    <w:rsid w:val="005362CD"/>
    <w:rsid w:val="005365DF"/>
    <w:rsid w:val="00536678"/>
    <w:rsid w:val="00536688"/>
    <w:rsid w:val="005367C0"/>
    <w:rsid w:val="005368EE"/>
    <w:rsid w:val="00536909"/>
    <w:rsid w:val="0053703C"/>
    <w:rsid w:val="005378FD"/>
    <w:rsid w:val="00537A98"/>
    <w:rsid w:val="00537B82"/>
    <w:rsid w:val="00537D8D"/>
    <w:rsid w:val="005407AC"/>
    <w:rsid w:val="0054178C"/>
    <w:rsid w:val="00541B33"/>
    <w:rsid w:val="00541E85"/>
    <w:rsid w:val="0054260A"/>
    <w:rsid w:val="005429E8"/>
    <w:rsid w:val="00542E17"/>
    <w:rsid w:val="0054421D"/>
    <w:rsid w:val="005444BD"/>
    <w:rsid w:val="00544683"/>
    <w:rsid w:val="005447D8"/>
    <w:rsid w:val="00544CBA"/>
    <w:rsid w:val="00545498"/>
    <w:rsid w:val="0054632C"/>
    <w:rsid w:val="00547205"/>
    <w:rsid w:val="005473E3"/>
    <w:rsid w:val="005474B5"/>
    <w:rsid w:val="005475F2"/>
    <w:rsid w:val="00547B2C"/>
    <w:rsid w:val="00547E02"/>
    <w:rsid w:val="005516F5"/>
    <w:rsid w:val="005516F9"/>
    <w:rsid w:val="00552023"/>
    <w:rsid w:val="005522AA"/>
    <w:rsid w:val="005530D1"/>
    <w:rsid w:val="005548CC"/>
    <w:rsid w:val="005549FF"/>
    <w:rsid w:val="00554ED3"/>
    <w:rsid w:val="005553E9"/>
    <w:rsid w:val="00555BA7"/>
    <w:rsid w:val="00555FDF"/>
    <w:rsid w:val="00556342"/>
    <w:rsid w:val="00556501"/>
    <w:rsid w:val="005566D0"/>
    <w:rsid w:val="005566D2"/>
    <w:rsid w:val="005567F7"/>
    <w:rsid w:val="005572A3"/>
    <w:rsid w:val="00557339"/>
    <w:rsid w:val="00560655"/>
    <w:rsid w:val="00560710"/>
    <w:rsid w:val="0056085D"/>
    <w:rsid w:val="0056242B"/>
    <w:rsid w:val="00562643"/>
    <w:rsid w:val="005644D4"/>
    <w:rsid w:val="00564523"/>
    <w:rsid w:val="005646AC"/>
    <w:rsid w:val="005646B0"/>
    <w:rsid w:val="00564750"/>
    <w:rsid w:val="005653CC"/>
    <w:rsid w:val="005656C2"/>
    <w:rsid w:val="0056661C"/>
    <w:rsid w:val="00566935"/>
    <w:rsid w:val="00566C41"/>
    <w:rsid w:val="00566D94"/>
    <w:rsid w:val="00567CB4"/>
    <w:rsid w:val="005702C4"/>
    <w:rsid w:val="005702C5"/>
    <w:rsid w:val="005704F8"/>
    <w:rsid w:val="00570773"/>
    <w:rsid w:val="005710EE"/>
    <w:rsid w:val="00571956"/>
    <w:rsid w:val="00572B69"/>
    <w:rsid w:val="0057331F"/>
    <w:rsid w:val="00573942"/>
    <w:rsid w:val="005746C1"/>
    <w:rsid w:val="00574840"/>
    <w:rsid w:val="00574E65"/>
    <w:rsid w:val="005756B7"/>
    <w:rsid w:val="005759C2"/>
    <w:rsid w:val="005765D6"/>
    <w:rsid w:val="005765F1"/>
    <w:rsid w:val="00577026"/>
    <w:rsid w:val="005775DA"/>
    <w:rsid w:val="005802ED"/>
    <w:rsid w:val="0058033A"/>
    <w:rsid w:val="00580655"/>
    <w:rsid w:val="00581110"/>
    <w:rsid w:val="00581332"/>
    <w:rsid w:val="005821F5"/>
    <w:rsid w:val="005823A6"/>
    <w:rsid w:val="00582535"/>
    <w:rsid w:val="00582D48"/>
    <w:rsid w:val="0058304C"/>
    <w:rsid w:val="00583219"/>
    <w:rsid w:val="00583C10"/>
    <w:rsid w:val="00583E19"/>
    <w:rsid w:val="0058402E"/>
    <w:rsid w:val="00584363"/>
    <w:rsid w:val="0058445F"/>
    <w:rsid w:val="0058467B"/>
    <w:rsid w:val="005856E9"/>
    <w:rsid w:val="0058598F"/>
    <w:rsid w:val="00586901"/>
    <w:rsid w:val="00586CEE"/>
    <w:rsid w:val="00587A0C"/>
    <w:rsid w:val="00587C0E"/>
    <w:rsid w:val="00587C2D"/>
    <w:rsid w:val="00587D1D"/>
    <w:rsid w:val="00590139"/>
    <w:rsid w:val="00590B07"/>
    <w:rsid w:val="00590B3B"/>
    <w:rsid w:val="00590CE4"/>
    <w:rsid w:val="00591ED4"/>
    <w:rsid w:val="0059287E"/>
    <w:rsid w:val="00592BFC"/>
    <w:rsid w:val="00592ED7"/>
    <w:rsid w:val="00593839"/>
    <w:rsid w:val="00593B21"/>
    <w:rsid w:val="00594AC7"/>
    <w:rsid w:val="00594BD9"/>
    <w:rsid w:val="00594FC4"/>
    <w:rsid w:val="005952B2"/>
    <w:rsid w:val="005955E0"/>
    <w:rsid w:val="005956B1"/>
    <w:rsid w:val="00595CF3"/>
    <w:rsid w:val="00596062"/>
    <w:rsid w:val="005970E5"/>
    <w:rsid w:val="00597751"/>
    <w:rsid w:val="005978E6"/>
    <w:rsid w:val="005A0240"/>
    <w:rsid w:val="005A082C"/>
    <w:rsid w:val="005A09CF"/>
    <w:rsid w:val="005A0B97"/>
    <w:rsid w:val="005A1BCF"/>
    <w:rsid w:val="005A1D8D"/>
    <w:rsid w:val="005A20B4"/>
    <w:rsid w:val="005A27CF"/>
    <w:rsid w:val="005A2D48"/>
    <w:rsid w:val="005A3907"/>
    <w:rsid w:val="005A3C1C"/>
    <w:rsid w:val="005A3DC9"/>
    <w:rsid w:val="005A40EE"/>
    <w:rsid w:val="005A41AA"/>
    <w:rsid w:val="005A474B"/>
    <w:rsid w:val="005A4C4F"/>
    <w:rsid w:val="005A4C8E"/>
    <w:rsid w:val="005A5CFF"/>
    <w:rsid w:val="005A5DEE"/>
    <w:rsid w:val="005A5E1A"/>
    <w:rsid w:val="005A64A9"/>
    <w:rsid w:val="005A6B88"/>
    <w:rsid w:val="005A765B"/>
    <w:rsid w:val="005B01DB"/>
    <w:rsid w:val="005B0F57"/>
    <w:rsid w:val="005B0FF9"/>
    <w:rsid w:val="005B16BC"/>
    <w:rsid w:val="005B16F0"/>
    <w:rsid w:val="005B1A3E"/>
    <w:rsid w:val="005B37F7"/>
    <w:rsid w:val="005B457C"/>
    <w:rsid w:val="005B4863"/>
    <w:rsid w:val="005B495A"/>
    <w:rsid w:val="005B550A"/>
    <w:rsid w:val="005B60F1"/>
    <w:rsid w:val="005B6E3E"/>
    <w:rsid w:val="005B730F"/>
    <w:rsid w:val="005B7415"/>
    <w:rsid w:val="005B7AE8"/>
    <w:rsid w:val="005B7E25"/>
    <w:rsid w:val="005C0606"/>
    <w:rsid w:val="005C13C8"/>
    <w:rsid w:val="005C1834"/>
    <w:rsid w:val="005C1BA7"/>
    <w:rsid w:val="005C31CB"/>
    <w:rsid w:val="005C372A"/>
    <w:rsid w:val="005C4BA0"/>
    <w:rsid w:val="005C553D"/>
    <w:rsid w:val="005C561C"/>
    <w:rsid w:val="005C57E3"/>
    <w:rsid w:val="005C6502"/>
    <w:rsid w:val="005C6726"/>
    <w:rsid w:val="005C6946"/>
    <w:rsid w:val="005C6C53"/>
    <w:rsid w:val="005C702E"/>
    <w:rsid w:val="005C7153"/>
    <w:rsid w:val="005C7949"/>
    <w:rsid w:val="005D026E"/>
    <w:rsid w:val="005D0EAA"/>
    <w:rsid w:val="005D0ED6"/>
    <w:rsid w:val="005D178C"/>
    <w:rsid w:val="005D1DCA"/>
    <w:rsid w:val="005D2396"/>
    <w:rsid w:val="005D2AC3"/>
    <w:rsid w:val="005D2B0E"/>
    <w:rsid w:val="005D2CB2"/>
    <w:rsid w:val="005D3A36"/>
    <w:rsid w:val="005D4217"/>
    <w:rsid w:val="005D43A4"/>
    <w:rsid w:val="005D61CE"/>
    <w:rsid w:val="005D67DD"/>
    <w:rsid w:val="005D6A0A"/>
    <w:rsid w:val="005D7031"/>
    <w:rsid w:val="005D718B"/>
    <w:rsid w:val="005E041E"/>
    <w:rsid w:val="005E0458"/>
    <w:rsid w:val="005E09C3"/>
    <w:rsid w:val="005E0C42"/>
    <w:rsid w:val="005E0DCA"/>
    <w:rsid w:val="005E12AF"/>
    <w:rsid w:val="005E130E"/>
    <w:rsid w:val="005E250B"/>
    <w:rsid w:val="005E2BA9"/>
    <w:rsid w:val="005E33BD"/>
    <w:rsid w:val="005E3597"/>
    <w:rsid w:val="005E45B6"/>
    <w:rsid w:val="005E5720"/>
    <w:rsid w:val="005E6F75"/>
    <w:rsid w:val="005E720F"/>
    <w:rsid w:val="005F09E4"/>
    <w:rsid w:val="005F12F3"/>
    <w:rsid w:val="005F1729"/>
    <w:rsid w:val="005F2634"/>
    <w:rsid w:val="005F2E5E"/>
    <w:rsid w:val="005F43D3"/>
    <w:rsid w:val="005F43DF"/>
    <w:rsid w:val="005F4735"/>
    <w:rsid w:val="005F49F6"/>
    <w:rsid w:val="005F4AE9"/>
    <w:rsid w:val="005F5593"/>
    <w:rsid w:val="005F561C"/>
    <w:rsid w:val="005F5D7B"/>
    <w:rsid w:val="005F5F0A"/>
    <w:rsid w:val="005F61B3"/>
    <w:rsid w:val="005F65A2"/>
    <w:rsid w:val="005F66E5"/>
    <w:rsid w:val="005F73F8"/>
    <w:rsid w:val="005F7472"/>
    <w:rsid w:val="005F74B6"/>
    <w:rsid w:val="005F78B9"/>
    <w:rsid w:val="005F7B8D"/>
    <w:rsid w:val="005F7F3F"/>
    <w:rsid w:val="00600E4E"/>
    <w:rsid w:val="0060140E"/>
    <w:rsid w:val="00601CB4"/>
    <w:rsid w:val="0060277F"/>
    <w:rsid w:val="006035B0"/>
    <w:rsid w:val="0060388A"/>
    <w:rsid w:val="006038B8"/>
    <w:rsid w:val="00603C1E"/>
    <w:rsid w:val="00604263"/>
    <w:rsid w:val="0060450B"/>
    <w:rsid w:val="00606523"/>
    <w:rsid w:val="00606577"/>
    <w:rsid w:val="006065A2"/>
    <w:rsid w:val="006067ED"/>
    <w:rsid w:val="00606989"/>
    <w:rsid w:val="00607254"/>
    <w:rsid w:val="006073B8"/>
    <w:rsid w:val="00607521"/>
    <w:rsid w:val="00607A06"/>
    <w:rsid w:val="006101CE"/>
    <w:rsid w:val="006103E6"/>
    <w:rsid w:val="00610693"/>
    <w:rsid w:val="00610E01"/>
    <w:rsid w:val="00611498"/>
    <w:rsid w:val="00611C97"/>
    <w:rsid w:val="006121DE"/>
    <w:rsid w:val="0061298E"/>
    <w:rsid w:val="00613184"/>
    <w:rsid w:val="00613AB8"/>
    <w:rsid w:val="00613F43"/>
    <w:rsid w:val="00614F6E"/>
    <w:rsid w:val="006155A8"/>
    <w:rsid w:val="006155F9"/>
    <w:rsid w:val="00615C34"/>
    <w:rsid w:val="00616148"/>
    <w:rsid w:val="0061630C"/>
    <w:rsid w:val="006169F9"/>
    <w:rsid w:val="00616ED9"/>
    <w:rsid w:val="00617790"/>
    <w:rsid w:val="00617B7C"/>
    <w:rsid w:val="00620030"/>
    <w:rsid w:val="0062043C"/>
    <w:rsid w:val="006205C5"/>
    <w:rsid w:val="00620C3A"/>
    <w:rsid w:val="0062150E"/>
    <w:rsid w:val="00621AB1"/>
    <w:rsid w:val="006222F9"/>
    <w:rsid w:val="00622C4A"/>
    <w:rsid w:val="00623013"/>
    <w:rsid w:val="00623AD4"/>
    <w:rsid w:val="00624179"/>
    <w:rsid w:val="00624855"/>
    <w:rsid w:val="00624911"/>
    <w:rsid w:val="00624F1F"/>
    <w:rsid w:val="0062540E"/>
    <w:rsid w:val="00625632"/>
    <w:rsid w:val="00626192"/>
    <w:rsid w:val="00626646"/>
    <w:rsid w:val="006271CC"/>
    <w:rsid w:val="00627385"/>
    <w:rsid w:val="00627958"/>
    <w:rsid w:val="00627EE8"/>
    <w:rsid w:val="00627F71"/>
    <w:rsid w:val="00631387"/>
    <w:rsid w:val="00631A48"/>
    <w:rsid w:val="00631F6C"/>
    <w:rsid w:val="0063236A"/>
    <w:rsid w:val="0063253C"/>
    <w:rsid w:val="006329E9"/>
    <w:rsid w:val="00632A07"/>
    <w:rsid w:val="00632C00"/>
    <w:rsid w:val="006334E4"/>
    <w:rsid w:val="0063418D"/>
    <w:rsid w:val="00634541"/>
    <w:rsid w:val="00634B2D"/>
    <w:rsid w:val="00635695"/>
    <w:rsid w:val="00635CCF"/>
    <w:rsid w:val="00635DFA"/>
    <w:rsid w:val="00636AE4"/>
    <w:rsid w:val="00636BAA"/>
    <w:rsid w:val="006378DA"/>
    <w:rsid w:val="0064012D"/>
    <w:rsid w:val="00640467"/>
    <w:rsid w:val="00640A3F"/>
    <w:rsid w:val="00640AF5"/>
    <w:rsid w:val="00640C61"/>
    <w:rsid w:val="006419EF"/>
    <w:rsid w:val="00641EA3"/>
    <w:rsid w:val="00641FA4"/>
    <w:rsid w:val="006420D6"/>
    <w:rsid w:val="006429CD"/>
    <w:rsid w:val="00642A20"/>
    <w:rsid w:val="00643331"/>
    <w:rsid w:val="00643C23"/>
    <w:rsid w:val="00644BC8"/>
    <w:rsid w:val="00645DFE"/>
    <w:rsid w:val="00645E52"/>
    <w:rsid w:val="00645F77"/>
    <w:rsid w:val="006466F4"/>
    <w:rsid w:val="00646DF8"/>
    <w:rsid w:val="006478D2"/>
    <w:rsid w:val="00647C1D"/>
    <w:rsid w:val="00647F3A"/>
    <w:rsid w:val="006504B0"/>
    <w:rsid w:val="00650DC1"/>
    <w:rsid w:val="00651018"/>
    <w:rsid w:val="0065179B"/>
    <w:rsid w:val="00651ED4"/>
    <w:rsid w:val="00652335"/>
    <w:rsid w:val="006525D0"/>
    <w:rsid w:val="0065292F"/>
    <w:rsid w:val="00652AA4"/>
    <w:rsid w:val="00652AAB"/>
    <w:rsid w:val="0065318C"/>
    <w:rsid w:val="006531AE"/>
    <w:rsid w:val="006531D2"/>
    <w:rsid w:val="00653654"/>
    <w:rsid w:val="00653A6A"/>
    <w:rsid w:val="00653DEE"/>
    <w:rsid w:val="00654113"/>
    <w:rsid w:val="00654375"/>
    <w:rsid w:val="006545F1"/>
    <w:rsid w:val="0065467A"/>
    <w:rsid w:val="0065476E"/>
    <w:rsid w:val="00654B13"/>
    <w:rsid w:val="006552AD"/>
    <w:rsid w:val="006553AB"/>
    <w:rsid w:val="006554C4"/>
    <w:rsid w:val="00655537"/>
    <w:rsid w:val="00655DC1"/>
    <w:rsid w:val="00656249"/>
    <w:rsid w:val="00656592"/>
    <w:rsid w:val="006568FC"/>
    <w:rsid w:val="006572AF"/>
    <w:rsid w:val="0066024C"/>
    <w:rsid w:val="006615DA"/>
    <w:rsid w:val="006620F4"/>
    <w:rsid w:val="006633A5"/>
    <w:rsid w:val="0066347A"/>
    <w:rsid w:val="006634D2"/>
    <w:rsid w:val="0066370C"/>
    <w:rsid w:val="00664719"/>
    <w:rsid w:val="00664D06"/>
    <w:rsid w:val="00665BF2"/>
    <w:rsid w:val="006661F8"/>
    <w:rsid w:val="00666B5D"/>
    <w:rsid w:val="00666B70"/>
    <w:rsid w:val="00666C11"/>
    <w:rsid w:val="00666C81"/>
    <w:rsid w:val="00667493"/>
    <w:rsid w:val="0066758D"/>
    <w:rsid w:val="0067008A"/>
    <w:rsid w:val="00670A1C"/>
    <w:rsid w:val="00671261"/>
    <w:rsid w:val="00671B9B"/>
    <w:rsid w:val="00671F0E"/>
    <w:rsid w:val="006724B2"/>
    <w:rsid w:val="0067250B"/>
    <w:rsid w:val="00672F46"/>
    <w:rsid w:val="00672F5A"/>
    <w:rsid w:val="00673465"/>
    <w:rsid w:val="006739EE"/>
    <w:rsid w:val="006749C0"/>
    <w:rsid w:val="00674E89"/>
    <w:rsid w:val="0067546B"/>
    <w:rsid w:val="00675BC0"/>
    <w:rsid w:val="00676955"/>
    <w:rsid w:val="00676A10"/>
    <w:rsid w:val="00676B15"/>
    <w:rsid w:val="00676B8B"/>
    <w:rsid w:val="00676C59"/>
    <w:rsid w:val="00677BC0"/>
    <w:rsid w:val="00677F53"/>
    <w:rsid w:val="0068016C"/>
    <w:rsid w:val="0068032B"/>
    <w:rsid w:val="006812AA"/>
    <w:rsid w:val="00681577"/>
    <w:rsid w:val="0068226F"/>
    <w:rsid w:val="006825FF"/>
    <w:rsid w:val="00682A1E"/>
    <w:rsid w:val="00684289"/>
    <w:rsid w:val="00684DB9"/>
    <w:rsid w:val="006850F6"/>
    <w:rsid w:val="006851AA"/>
    <w:rsid w:val="006853C5"/>
    <w:rsid w:val="0068570A"/>
    <w:rsid w:val="00685DCD"/>
    <w:rsid w:val="00686589"/>
    <w:rsid w:val="0068667C"/>
    <w:rsid w:val="00686722"/>
    <w:rsid w:val="00686830"/>
    <w:rsid w:val="00686E64"/>
    <w:rsid w:val="00686E8A"/>
    <w:rsid w:val="00686FF6"/>
    <w:rsid w:val="00687183"/>
    <w:rsid w:val="00693151"/>
    <w:rsid w:val="00693B57"/>
    <w:rsid w:val="00693CA0"/>
    <w:rsid w:val="00693FA8"/>
    <w:rsid w:val="00694248"/>
    <w:rsid w:val="006955F0"/>
    <w:rsid w:val="006A0400"/>
    <w:rsid w:val="006A0677"/>
    <w:rsid w:val="006A09AD"/>
    <w:rsid w:val="006A127B"/>
    <w:rsid w:val="006A14BF"/>
    <w:rsid w:val="006A17B4"/>
    <w:rsid w:val="006A2A56"/>
    <w:rsid w:val="006A2D8F"/>
    <w:rsid w:val="006A2DAC"/>
    <w:rsid w:val="006A2F20"/>
    <w:rsid w:val="006A3907"/>
    <w:rsid w:val="006A4943"/>
    <w:rsid w:val="006A4BC7"/>
    <w:rsid w:val="006A5E19"/>
    <w:rsid w:val="006A5E3C"/>
    <w:rsid w:val="006A5FCC"/>
    <w:rsid w:val="006A7068"/>
    <w:rsid w:val="006A7841"/>
    <w:rsid w:val="006B0099"/>
    <w:rsid w:val="006B0BF0"/>
    <w:rsid w:val="006B0C46"/>
    <w:rsid w:val="006B1039"/>
    <w:rsid w:val="006B12A1"/>
    <w:rsid w:val="006B1324"/>
    <w:rsid w:val="006B1736"/>
    <w:rsid w:val="006B198F"/>
    <w:rsid w:val="006B284B"/>
    <w:rsid w:val="006B31B5"/>
    <w:rsid w:val="006B3259"/>
    <w:rsid w:val="006B36F6"/>
    <w:rsid w:val="006B3A43"/>
    <w:rsid w:val="006B3B6A"/>
    <w:rsid w:val="006B41A8"/>
    <w:rsid w:val="006B4793"/>
    <w:rsid w:val="006B4E74"/>
    <w:rsid w:val="006B529E"/>
    <w:rsid w:val="006B55DC"/>
    <w:rsid w:val="006B5CEA"/>
    <w:rsid w:val="006B5F01"/>
    <w:rsid w:val="006B6307"/>
    <w:rsid w:val="006B67E0"/>
    <w:rsid w:val="006B691E"/>
    <w:rsid w:val="006B7890"/>
    <w:rsid w:val="006B7AB3"/>
    <w:rsid w:val="006C00B8"/>
    <w:rsid w:val="006C05E1"/>
    <w:rsid w:val="006C0BF1"/>
    <w:rsid w:val="006C10CF"/>
    <w:rsid w:val="006C1350"/>
    <w:rsid w:val="006C17A1"/>
    <w:rsid w:val="006C18DB"/>
    <w:rsid w:val="006C1F43"/>
    <w:rsid w:val="006C2049"/>
    <w:rsid w:val="006C2096"/>
    <w:rsid w:val="006C2664"/>
    <w:rsid w:val="006C272E"/>
    <w:rsid w:val="006C27F1"/>
    <w:rsid w:val="006C2E7C"/>
    <w:rsid w:val="006C3009"/>
    <w:rsid w:val="006C37FE"/>
    <w:rsid w:val="006C3903"/>
    <w:rsid w:val="006C3B3D"/>
    <w:rsid w:val="006C3D90"/>
    <w:rsid w:val="006C3F85"/>
    <w:rsid w:val="006C401B"/>
    <w:rsid w:val="006C4199"/>
    <w:rsid w:val="006C4E34"/>
    <w:rsid w:val="006C5178"/>
    <w:rsid w:val="006C59FF"/>
    <w:rsid w:val="006C5E3B"/>
    <w:rsid w:val="006C5FA0"/>
    <w:rsid w:val="006C634D"/>
    <w:rsid w:val="006C6EC1"/>
    <w:rsid w:val="006C7221"/>
    <w:rsid w:val="006D000D"/>
    <w:rsid w:val="006D08D8"/>
    <w:rsid w:val="006D0B8B"/>
    <w:rsid w:val="006D13A1"/>
    <w:rsid w:val="006D140C"/>
    <w:rsid w:val="006D148E"/>
    <w:rsid w:val="006D168E"/>
    <w:rsid w:val="006D1774"/>
    <w:rsid w:val="006D1839"/>
    <w:rsid w:val="006D193A"/>
    <w:rsid w:val="006D1D4D"/>
    <w:rsid w:val="006D1D59"/>
    <w:rsid w:val="006D2630"/>
    <w:rsid w:val="006D2C35"/>
    <w:rsid w:val="006D3187"/>
    <w:rsid w:val="006D376C"/>
    <w:rsid w:val="006D3D67"/>
    <w:rsid w:val="006D44D3"/>
    <w:rsid w:val="006D5926"/>
    <w:rsid w:val="006D65F1"/>
    <w:rsid w:val="006D68F6"/>
    <w:rsid w:val="006D7824"/>
    <w:rsid w:val="006D7DBE"/>
    <w:rsid w:val="006D7F75"/>
    <w:rsid w:val="006E086A"/>
    <w:rsid w:val="006E0C32"/>
    <w:rsid w:val="006E19EB"/>
    <w:rsid w:val="006E1D20"/>
    <w:rsid w:val="006E2389"/>
    <w:rsid w:val="006E2961"/>
    <w:rsid w:val="006E2C53"/>
    <w:rsid w:val="006E3542"/>
    <w:rsid w:val="006E35FB"/>
    <w:rsid w:val="006E3639"/>
    <w:rsid w:val="006E4E18"/>
    <w:rsid w:val="006E55DA"/>
    <w:rsid w:val="006E5A0A"/>
    <w:rsid w:val="006E5A85"/>
    <w:rsid w:val="006E5AB3"/>
    <w:rsid w:val="006E6323"/>
    <w:rsid w:val="006E6581"/>
    <w:rsid w:val="006E695D"/>
    <w:rsid w:val="006E7921"/>
    <w:rsid w:val="006E7D09"/>
    <w:rsid w:val="006F0492"/>
    <w:rsid w:val="006F0D33"/>
    <w:rsid w:val="006F0E58"/>
    <w:rsid w:val="006F1161"/>
    <w:rsid w:val="006F1FD6"/>
    <w:rsid w:val="006F258E"/>
    <w:rsid w:val="006F2F2A"/>
    <w:rsid w:val="006F359A"/>
    <w:rsid w:val="006F3601"/>
    <w:rsid w:val="006F4590"/>
    <w:rsid w:val="006F5CA2"/>
    <w:rsid w:val="006F7785"/>
    <w:rsid w:val="007001C9"/>
    <w:rsid w:val="007003FD"/>
    <w:rsid w:val="007005A2"/>
    <w:rsid w:val="00700AC9"/>
    <w:rsid w:val="00700BC9"/>
    <w:rsid w:val="00700EE6"/>
    <w:rsid w:val="00701032"/>
    <w:rsid w:val="0070103E"/>
    <w:rsid w:val="0070166B"/>
    <w:rsid w:val="00701CA2"/>
    <w:rsid w:val="00701D44"/>
    <w:rsid w:val="00702500"/>
    <w:rsid w:val="007025C5"/>
    <w:rsid w:val="00703630"/>
    <w:rsid w:val="00704234"/>
    <w:rsid w:val="00704459"/>
    <w:rsid w:val="00704750"/>
    <w:rsid w:val="00704997"/>
    <w:rsid w:val="007049DD"/>
    <w:rsid w:val="00705479"/>
    <w:rsid w:val="00705A8E"/>
    <w:rsid w:val="00706740"/>
    <w:rsid w:val="00710A2E"/>
    <w:rsid w:val="00710D23"/>
    <w:rsid w:val="00711111"/>
    <w:rsid w:val="00711219"/>
    <w:rsid w:val="00711B4C"/>
    <w:rsid w:val="00712D3C"/>
    <w:rsid w:val="00712D4B"/>
    <w:rsid w:val="00712D59"/>
    <w:rsid w:val="007130F6"/>
    <w:rsid w:val="00713149"/>
    <w:rsid w:val="00713701"/>
    <w:rsid w:val="00714270"/>
    <w:rsid w:val="007146A7"/>
    <w:rsid w:val="007153E0"/>
    <w:rsid w:val="00715578"/>
    <w:rsid w:val="0071595D"/>
    <w:rsid w:val="00715E45"/>
    <w:rsid w:val="00716E6F"/>
    <w:rsid w:val="007173FC"/>
    <w:rsid w:val="00717990"/>
    <w:rsid w:val="00717FAB"/>
    <w:rsid w:val="00720FC6"/>
    <w:rsid w:val="00720FD1"/>
    <w:rsid w:val="00721EE4"/>
    <w:rsid w:val="00722D7B"/>
    <w:rsid w:val="00722E2A"/>
    <w:rsid w:val="00722EC8"/>
    <w:rsid w:val="00722F74"/>
    <w:rsid w:val="007232D4"/>
    <w:rsid w:val="007232DA"/>
    <w:rsid w:val="00723AC4"/>
    <w:rsid w:val="00723E37"/>
    <w:rsid w:val="0072468D"/>
    <w:rsid w:val="00724A93"/>
    <w:rsid w:val="00724BEA"/>
    <w:rsid w:val="0072643F"/>
    <w:rsid w:val="00727202"/>
    <w:rsid w:val="00727231"/>
    <w:rsid w:val="00727C15"/>
    <w:rsid w:val="00727CCA"/>
    <w:rsid w:val="0073018C"/>
    <w:rsid w:val="007304C2"/>
    <w:rsid w:val="0073092F"/>
    <w:rsid w:val="00730B13"/>
    <w:rsid w:val="0073167C"/>
    <w:rsid w:val="00731AE2"/>
    <w:rsid w:val="00731DD8"/>
    <w:rsid w:val="00732320"/>
    <w:rsid w:val="00733A95"/>
    <w:rsid w:val="00733CF5"/>
    <w:rsid w:val="00734C9D"/>
    <w:rsid w:val="00735014"/>
    <w:rsid w:val="00735782"/>
    <w:rsid w:val="007359FB"/>
    <w:rsid w:val="007360C2"/>
    <w:rsid w:val="007368E6"/>
    <w:rsid w:val="007408D9"/>
    <w:rsid w:val="00740953"/>
    <w:rsid w:val="0074104A"/>
    <w:rsid w:val="007419E7"/>
    <w:rsid w:val="00741EF6"/>
    <w:rsid w:val="0074208D"/>
    <w:rsid w:val="0074273A"/>
    <w:rsid w:val="00742CC0"/>
    <w:rsid w:val="00742ECE"/>
    <w:rsid w:val="007433A3"/>
    <w:rsid w:val="00745191"/>
    <w:rsid w:val="0074560D"/>
    <w:rsid w:val="00745916"/>
    <w:rsid w:val="007459FF"/>
    <w:rsid w:val="00745ADC"/>
    <w:rsid w:val="007467CB"/>
    <w:rsid w:val="00746B38"/>
    <w:rsid w:val="007475FF"/>
    <w:rsid w:val="00747BB7"/>
    <w:rsid w:val="0075135C"/>
    <w:rsid w:val="00751418"/>
    <w:rsid w:val="00751953"/>
    <w:rsid w:val="00751ACD"/>
    <w:rsid w:val="0075217F"/>
    <w:rsid w:val="00752339"/>
    <w:rsid w:val="007523D6"/>
    <w:rsid w:val="00752DD2"/>
    <w:rsid w:val="00752E36"/>
    <w:rsid w:val="00753B7F"/>
    <w:rsid w:val="00754072"/>
    <w:rsid w:val="0075459A"/>
    <w:rsid w:val="00754B1E"/>
    <w:rsid w:val="00755C72"/>
    <w:rsid w:val="00755C7E"/>
    <w:rsid w:val="00756229"/>
    <w:rsid w:val="00756568"/>
    <w:rsid w:val="007568AB"/>
    <w:rsid w:val="00756A97"/>
    <w:rsid w:val="007572B3"/>
    <w:rsid w:val="007575BF"/>
    <w:rsid w:val="00757916"/>
    <w:rsid w:val="00757F45"/>
    <w:rsid w:val="00760850"/>
    <w:rsid w:val="00760884"/>
    <w:rsid w:val="00760F8F"/>
    <w:rsid w:val="007618EB"/>
    <w:rsid w:val="00761E6F"/>
    <w:rsid w:val="007625EA"/>
    <w:rsid w:val="00762C1B"/>
    <w:rsid w:val="00762E3C"/>
    <w:rsid w:val="0076319D"/>
    <w:rsid w:val="0076346A"/>
    <w:rsid w:val="007635A2"/>
    <w:rsid w:val="0076364D"/>
    <w:rsid w:val="007638ED"/>
    <w:rsid w:val="00763D95"/>
    <w:rsid w:val="00764394"/>
    <w:rsid w:val="00764502"/>
    <w:rsid w:val="00764AC0"/>
    <w:rsid w:val="007679F7"/>
    <w:rsid w:val="00767EEA"/>
    <w:rsid w:val="0077063C"/>
    <w:rsid w:val="00770B82"/>
    <w:rsid w:val="00770F4B"/>
    <w:rsid w:val="00771056"/>
    <w:rsid w:val="00771951"/>
    <w:rsid w:val="00771C05"/>
    <w:rsid w:val="00771E47"/>
    <w:rsid w:val="00772444"/>
    <w:rsid w:val="00773F1E"/>
    <w:rsid w:val="00773FB8"/>
    <w:rsid w:val="0077441E"/>
    <w:rsid w:val="007744E0"/>
    <w:rsid w:val="00774539"/>
    <w:rsid w:val="00774584"/>
    <w:rsid w:val="00774A13"/>
    <w:rsid w:val="0077549C"/>
    <w:rsid w:val="0077553D"/>
    <w:rsid w:val="00775795"/>
    <w:rsid w:val="00775E69"/>
    <w:rsid w:val="007768F1"/>
    <w:rsid w:val="007808D6"/>
    <w:rsid w:val="00780FD3"/>
    <w:rsid w:val="007810B6"/>
    <w:rsid w:val="0078124A"/>
    <w:rsid w:val="00783114"/>
    <w:rsid w:val="00783AD0"/>
    <w:rsid w:val="00783EE0"/>
    <w:rsid w:val="007841E3"/>
    <w:rsid w:val="00784526"/>
    <w:rsid w:val="0078470C"/>
    <w:rsid w:val="007847B1"/>
    <w:rsid w:val="0078486E"/>
    <w:rsid w:val="00784B26"/>
    <w:rsid w:val="00784E02"/>
    <w:rsid w:val="00785460"/>
    <w:rsid w:val="00786A58"/>
    <w:rsid w:val="00786F1A"/>
    <w:rsid w:val="00787800"/>
    <w:rsid w:val="00787BBF"/>
    <w:rsid w:val="00787E39"/>
    <w:rsid w:val="0079010C"/>
    <w:rsid w:val="00790150"/>
    <w:rsid w:val="00790C94"/>
    <w:rsid w:val="00791C72"/>
    <w:rsid w:val="00792317"/>
    <w:rsid w:val="00792328"/>
    <w:rsid w:val="00792861"/>
    <w:rsid w:val="00793229"/>
    <w:rsid w:val="0079334B"/>
    <w:rsid w:val="007940BA"/>
    <w:rsid w:val="00794B1F"/>
    <w:rsid w:val="00794BE8"/>
    <w:rsid w:val="007954D2"/>
    <w:rsid w:val="007957E8"/>
    <w:rsid w:val="00795EB8"/>
    <w:rsid w:val="0079609A"/>
    <w:rsid w:val="00796127"/>
    <w:rsid w:val="00796685"/>
    <w:rsid w:val="0079721E"/>
    <w:rsid w:val="0079793C"/>
    <w:rsid w:val="00797AE1"/>
    <w:rsid w:val="007A0304"/>
    <w:rsid w:val="007A0BCD"/>
    <w:rsid w:val="007A1429"/>
    <w:rsid w:val="007A18B1"/>
    <w:rsid w:val="007A32C8"/>
    <w:rsid w:val="007A32E6"/>
    <w:rsid w:val="007A336D"/>
    <w:rsid w:val="007A357A"/>
    <w:rsid w:val="007A37E5"/>
    <w:rsid w:val="007A414C"/>
    <w:rsid w:val="007A451D"/>
    <w:rsid w:val="007A45F6"/>
    <w:rsid w:val="007A4F30"/>
    <w:rsid w:val="007A4F55"/>
    <w:rsid w:val="007A5135"/>
    <w:rsid w:val="007A54A2"/>
    <w:rsid w:val="007A59E1"/>
    <w:rsid w:val="007A5A61"/>
    <w:rsid w:val="007A6725"/>
    <w:rsid w:val="007A6873"/>
    <w:rsid w:val="007A697F"/>
    <w:rsid w:val="007A74A6"/>
    <w:rsid w:val="007A7549"/>
    <w:rsid w:val="007A778A"/>
    <w:rsid w:val="007A793C"/>
    <w:rsid w:val="007A79DD"/>
    <w:rsid w:val="007B07F2"/>
    <w:rsid w:val="007B1CC6"/>
    <w:rsid w:val="007B1DAF"/>
    <w:rsid w:val="007B2031"/>
    <w:rsid w:val="007B21A9"/>
    <w:rsid w:val="007B234F"/>
    <w:rsid w:val="007B2515"/>
    <w:rsid w:val="007B2535"/>
    <w:rsid w:val="007B3483"/>
    <w:rsid w:val="007B391E"/>
    <w:rsid w:val="007B3A57"/>
    <w:rsid w:val="007B4354"/>
    <w:rsid w:val="007B5013"/>
    <w:rsid w:val="007B683F"/>
    <w:rsid w:val="007C04E3"/>
    <w:rsid w:val="007C0DE2"/>
    <w:rsid w:val="007C0FCD"/>
    <w:rsid w:val="007C134F"/>
    <w:rsid w:val="007C194B"/>
    <w:rsid w:val="007C1BD3"/>
    <w:rsid w:val="007C1FF4"/>
    <w:rsid w:val="007C2124"/>
    <w:rsid w:val="007C21CB"/>
    <w:rsid w:val="007C2785"/>
    <w:rsid w:val="007C3506"/>
    <w:rsid w:val="007C48EE"/>
    <w:rsid w:val="007C4C8E"/>
    <w:rsid w:val="007C5EF8"/>
    <w:rsid w:val="007C65C1"/>
    <w:rsid w:val="007D0179"/>
    <w:rsid w:val="007D05E8"/>
    <w:rsid w:val="007D0917"/>
    <w:rsid w:val="007D0B58"/>
    <w:rsid w:val="007D0CBF"/>
    <w:rsid w:val="007D0E83"/>
    <w:rsid w:val="007D0E8E"/>
    <w:rsid w:val="007D1007"/>
    <w:rsid w:val="007D14ED"/>
    <w:rsid w:val="007D1D56"/>
    <w:rsid w:val="007D2005"/>
    <w:rsid w:val="007D20BD"/>
    <w:rsid w:val="007D2BCB"/>
    <w:rsid w:val="007D2C42"/>
    <w:rsid w:val="007D2CA4"/>
    <w:rsid w:val="007D3914"/>
    <w:rsid w:val="007D3CCE"/>
    <w:rsid w:val="007D439D"/>
    <w:rsid w:val="007D4A07"/>
    <w:rsid w:val="007D502C"/>
    <w:rsid w:val="007D5585"/>
    <w:rsid w:val="007D5FD2"/>
    <w:rsid w:val="007D6298"/>
    <w:rsid w:val="007D70B5"/>
    <w:rsid w:val="007D7309"/>
    <w:rsid w:val="007D7444"/>
    <w:rsid w:val="007D7CAF"/>
    <w:rsid w:val="007D7EDD"/>
    <w:rsid w:val="007E09E1"/>
    <w:rsid w:val="007E152B"/>
    <w:rsid w:val="007E355B"/>
    <w:rsid w:val="007E3732"/>
    <w:rsid w:val="007E38FF"/>
    <w:rsid w:val="007E40DB"/>
    <w:rsid w:val="007E444D"/>
    <w:rsid w:val="007E50E0"/>
    <w:rsid w:val="007E50FF"/>
    <w:rsid w:val="007E5195"/>
    <w:rsid w:val="007E5278"/>
    <w:rsid w:val="007E566C"/>
    <w:rsid w:val="007E5763"/>
    <w:rsid w:val="007E578A"/>
    <w:rsid w:val="007E5845"/>
    <w:rsid w:val="007E5BD0"/>
    <w:rsid w:val="007E646A"/>
    <w:rsid w:val="007E6584"/>
    <w:rsid w:val="007E6815"/>
    <w:rsid w:val="007E7041"/>
    <w:rsid w:val="007E70E9"/>
    <w:rsid w:val="007E739F"/>
    <w:rsid w:val="007E77AA"/>
    <w:rsid w:val="007E7F4D"/>
    <w:rsid w:val="007F002C"/>
    <w:rsid w:val="007F021A"/>
    <w:rsid w:val="007F122B"/>
    <w:rsid w:val="007F125E"/>
    <w:rsid w:val="007F169C"/>
    <w:rsid w:val="007F2F60"/>
    <w:rsid w:val="007F38CC"/>
    <w:rsid w:val="007F47BC"/>
    <w:rsid w:val="007F5159"/>
    <w:rsid w:val="007F55D2"/>
    <w:rsid w:val="007F61BF"/>
    <w:rsid w:val="007F749C"/>
    <w:rsid w:val="007F7C7F"/>
    <w:rsid w:val="007F7F81"/>
    <w:rsid w:val="007F7FE1"/>
    <w:rsid w:val="008000BE"/>
    <w:rsid w:val="0080069F"/>
    <w:rsid w:val="008010E1"/>
    <w:rsid w:val="00801F27"/>
    <w:rsid w:val="00802191"/>
    <w:rsid w:val="008022FA"/>
    <w:rsid w:val="00802639"/>
    <w:rsid w:val="00802850"/>
    <w:rsid w:val="00802F4D"/>
    <w:rsid w:val="0080302D"/>
    <w:rsid w:val="00803061"/>
    <w:rsid w:val="008037DE"/>
    <w:rsid w:val="00803C8E"/>
    <w:rsid w:val="008040A4"/>
    <w:rsid w:val="00804219"/>
    <w:rsid w:val="00804607"/>
    <w:rsid w:val="008046C9"/>
    <w:rsid w:val="00804EA9"/>
    <w:rsid w:val="008068AA"/>
    <w:rsid w:val="00806FCA"/>
    <w:rsid w:val="00807360"/>
    <w:rsid w:val="00807439"/>
    <w:rsid w:val="0080747D"/>
    <w:rsid w:val="008076C9"/>
    <w:rsid w:val="00807C80"/>
    <w:rsid w:val="00807E7C"/>
    <w:rsid w:val="00810495"/>
    <w:rsid w:val="00810903"/>
    <w:rsid w:val="00810CEE"/>
    <w:rsid w:val="008111F6"/>
    <w:rsid w:val="0081146A"/>
    <w:rsid w:val="00811581"/>
    <w:rsid w:val="008117E6"/>
    <w:rsid w:val="008118DB"/>
    <w:rsid w:val="008120C1"/>
    <w:rsid w:val="008121F5"/>
    <w:rsid w:val="008122BB"/>
    <w:rsid w:val="00812DB4"/>
    <w:rsid w:val="00813A80"/>
    <w:rsid w:val="00814322"/>
    <w:rsid w:val="008144B7"/>
    <w:rsid w:val="00814828"/>
    <w:rsid w:val="0081489A"/>
    <w:rsid w:val="008151BF"/>
    <w:rsid w:val="008158A1"/>
    <w:rsid w:val="00816362"/>
    <w:rsid w:val="008165DC"/>
    <w:rsid w:val="00816CFA"/>
    <w:rsid w:val="008176F6"/>
    <w:rsid w:val="008178A5"/>
    <w:rsid w:val="0082061D"/>
    <w:rsid w:val="008208C3"/>
    <w:rsid w:val="008213E8"/>
    <w:rsid w:val="00821D0D"/>
    <w:rsid w:val="00822836"/>
    <w:rsid w:val="00822BDC"/>
    <w:rsid w:val="00823B94"/>
    <w:rsid w:val="00823E5F"/>
    <w:rsid w:val="00823ED6"/>
    <w:rsid w:val="00824A4A"/>
    <w:rsid w:val="00824EF5"/>
    <w:rsid w:val="0082506C"/>
    <w:rsid w:val="00825104"/>
    <w:rsid w:val="00826071"/>
    <w:rsid w:val="00826891"/>
    <w:rsid w:val="008268CB"/>
    <w:rsid w:val="00826B6B"/>
    <w:rsid w:val="00826D00"/>
    <w:rsid w:val="008274FA"/>
    <w:rsid w:val="00830482"/>
    <w:rsid w:val="008304E2"/>
    <w:rsid w:val="00830565"/>
    <w:rsid w:val="00830963"/>
    <w:rsid w:val="00831E82"/>
    <w:rsid w:val="0083211D"/>
    <w:rsid w:val="00832372"/>
    <w:rsid w:val="00832B96"/>
    <w:rsid w:val="00832CB9"/>
    <w:rsid w:val="00832D31"/>
    <w:rsid w:val="00832DF9"/>
    <w:rsid w:val="00832FA2"/>
    <w:rsid w:val="008333FD"/>
    <w:rsid w:val="00833413"/>
    <w:rsid w:val="00833697"/>
    <w:rsid w:val="0083370E"/>
    <w:rsid w:val="0083373C"/>
    <w:rsid w:val="00834092"/>
    <w:rsid w:val="00834669"/>
    <w:rsid w:val="00834E81"/>
    <w:rsid w:val="008351D1"/>
    <w:rsid w:val="00835369"/>
    <w:rsid w:val="00835421"/>
    <w:rsid w:val="0083593D"/>
    <w:rsid w:val="00835A40"/>
    <w:rsid w:val="00835E38"/>
    <w:rsid w:val="008364D9"/>
    <w:rsid w:val="008367B8"/>
    <w:rsid w:val="008367DB"/>
    <w:rsid w:val="00836EF3"/>
    <w:rsid w:val="008408C4"/>
    <w:rsid w:val="00840AC4"/>
    <w:rsid w:val="00841C6A"/>
    <w:rsid w:val="008428E3"/>
    <w:rsid w:val="00843120"/>
    <w:rsid w:val="00843336"/>
    <w:rsid w:val="0084403D"/>
    <w:rsid w:val="00844304"/>
    <w:rsid w:val="0084446C"/>
    <w:rsid w:val="00846421"/>
    <w:rsid w:val="00846532"/>
    <w:rsid w:val="00846748"/>
    <w:rsid w:val="00846C82"/>
    <w:rsid w:val="00847094"/>
    <w:rsid w:val="00847395"/>
    <w:rsid w:val="0084765A"/>
    <w:rsid w:val="008476DD"/>
    <w:rsid w:val="00850113"/>
    <w:rsid w:val="00850184"/>
    <w:rsid w:val="008506B1"/>
    <w:rsid w:val="008517A3"/>
    <w:rsid w:val="00851889"/>
    <w:rsid w:val="00851C60"/>
    <w:rsid w:val="00851C7E"/>
    <w:rsid w:val="00851D6E"/>
    <w:rsid w:val="00852093"/>
    <w:rsid w:val="00852157"/>
    <w:rsid w:val="008521CD"/>
    <w:rsid w:val="0085332F"/>
    <w:rsid w:val="008539C6"/>
    <w:rsid w:val="00853A45"/>
    <w:rsid w:val="00853AEF"/>
    <w:rsid w:val="00853FE9"/>
    <w:rsid w:val="00855348"/>
    <w:rsid w:val="008553AB"/>
    <w:rsid w:val="0085545E"/>
    <w:rsid w:val="00855A0B"/>
    <w:rsid w:val="00855CCA"/>
    <w:rsid w:val="008564E2"/>
    <w:rsid w:val="008565D3"/>
    <w:rsid w:val="00856CC3"/>
    <w:rsid w:val="008579E6"/>
    <w:rsid w:val="00857B0D"/>
    <w:rsid w:val="00860DB3"/>
    <w:rsid w:val="0086152F"/>
    <w:rsid w:val="0086157D"/>
    <w:rsid w:val="008620CA"/>
    <w:rsid w:val="00862837"/>
    <w:rsid w:val="008628B5"/>
    <w:rsid w:val="0086479D"/>
    <w:rsid w:val="00865673"/>
    <w:rsid w:val="00865BD9"/>
    <w:rsid w:val="00865DC2"/>
    <w:rsid w:val="00865E1A"/>
    <w:rsid w:val="008668C8"/>
    <w:rsid w:val="00867AA2"/>
    <w:rsid w:val="008701AF"/>
    <w:rsid w:val="00870D9E"/>
    <w:rsid w:val="0087102E"/>
    <w:rsid w:val="008713E1"/>
    <w:rsid w:val="00871C11"/>
    <w:rsid w:val="008723DE"/>
    <w:rsid w:val="00872D9A"/>
    <w:rsid w:val="00873DA7"/>
    <w:rsid w:val="00873E77"/>
    <w:rsid w:val="00874107"/>
    <w:rsid w:val="00874E66"/>
    <w:rsid w:val="0087562E"/>
    <w:rsid w:val="0087575B"/>
    <w:rsid w:val="00875784"/>
    <w:rsid w:val="008758C8"/>
    <w:rsid w:val="008762CE"/>
    <w:rsid w:val="008763FD"/>
    <w:rsid w:val="00876AEA"/>
    <w:rsid w:val="008771A4"/>
    <w:rsid w:val="00877F19"/>
    <w:rsid w:val="0088090F"/>
    <w:rsid w:val="00880CE9"/>
    <w:rsid w:val="00880EC8"/>
    <w:rsid w:val="00880F20"/>
    <w:rsid w:val="0088121B"/>
    <w:rsid w:val="008813D4"/>
    <w:rsid w:val="008819EE"/>
    <w:rsid w:val="00882B4B"/>
    <w:rsid w:val="008832B8"/>
    <w:rsid w:val="00883588"/>
    <w:rsid w:val="00883666"/>
    <w:rsid w:val="0088380F"/>
    <w:rsid w:val="00883E8F"/>
    <w:rsid w:val="008847D5"/>
    <w:rsid w:val="00884FB7"/>
    <w:rsid w:val="008852D7"/>
    <w:rsid w:val="00885407"/>
    <w:rsid w:val="00885F01"/>
    <w:rsid w:val="00886028"/>
    <w:rsid w:val="0088604E"/>
    <w:rsid w:val="00886924"/>
    <w:rsid w:val="00886A52"/>
    <w:rsid w:val="00887D87"/>
    <w:rsid w:val="00887E04"/>
    <w:rsid w:val="0089121B"/>
    <w:rsid w:val="0089122B"/>
    <w:rsid w:val="00891E8C"/>
    <w:rsid w:val="0089275D"/>
    <w:rsid w:val="00892816"/>
    <w:rsid w:val="00892B0E"/>
    <w:rsid w:val="00892E28"/>
    <w:rsid w:val="008932E3"/>
    <w:rsid w:val="00893D7F"/>
    <w:rsid w:val="008941C5"/>
    <w:rsid w:val="008943E6"/>
    <w:rsid w:val="0089457F"/>
    <w:rsid w:val="00894626"/>
    <w:rsid w:val="00894A4C"/>
    <w:rsid w:val="0089502D"/>
    <w:rsid w:val="00895285"/>
    <w:rsid w:val="00895996"/>
    <w:rsid w:val="00895F74"/>
    <w:rsid w:val="00896004"/>
    <w:rsid w:val="0089670B"/>
    <w:rsid w:val="00896A1D"/>
    <w:rsid w:val="00896EDF"/>
    <w:rsid w:val="008A0216"/>
    <w:rsid w:val="008A0A14"/>
    <w:rsid w:val="008A0C51"/>
    <w:rsid w:val="008A186B"/>
    <w:rsid w:val="008A18EF"/>
    <w:rsid w:val="008A1B77"/>
    <w:rsid w:val="008A1D90"/>
    <w:rsid w:val="008A2746"/>
    <w:rsid w:val="008A3638"/>
    <w:rsid w:val="008A41A4"/>
    <w:rsid w:val="008A45BC"/>
    <w:rsid w:val="008A4E31"/>
    <w:rsid w:val="008A50E3"/>
    <w:rsid w:val="008A521C"/>
    <w:rsid w:val="008A5760"/>
    <w:rsid w:val="008A5AE3"/>
    <w:rsid w:val="008A5C76"/>
    <w:rsid w:val="008A5FCE"/>
    <w:rsid w:val="008A6337"/>
    <w:rsid w:val="008A674D"/>
    <w:rsid w:val="008A6DEE"/>
    <w:rsid w:val="008A7CB8"/>
    <w:rsid w:val="008A7F64"/>
    <w:rsid w:val="008B0C24"/>
    <w:rsid w:val="008B1029"/>
    <w:rsid w:val="008B1576"/>
    <w:rsid w:val="008B1782"/>
    <w:rsid w:val="008B1F5E"/>
    <w:rsid w:val="008B22F1"/>
    <w:rsid w:val="008B3280"/>
    <w:rsid w:val="008B336C"/>
    <w:rsid w:val="008B49A9"/>
    <w:rsid w:val="008B4B8B"/>
    <w:rsid w:val="008B4F22"/>
    <w:rsid w:val="008B53A9"/>
    <w:rsid w:val="008B5448"/>
    <w:rsid w:val="008B5752"/>
    <w:rsid w:val="008B66E2"/>
    <w:rsid w:val="008B6A65"/>
    <w:rsid w:val="008B778F"/>
    <w:rsid w:val="008B7929"/>
    <w:rsid w:val="008C0001"/>
    <w:rsid w:val="008C0B10"/>
    <w:rsid w:val="008C0DA0"/>
    <w:rsid w:val="008C0E3B"/>
    <w:rsid w:val="008C0E45"/>
    <w:rsid w:val="008C0F45"/>
    <w:rsid w:val="008C1551"/>
    <w:rsid w:val="008C16AE"/>
    <w:rsid w:val="008C1E31"/>
    <w:rsid w:val="008C3691"/>
    <w:rsid w:val="008C3714"/>
    <w:rsid w:val="008C3D8C"/>
    <w:rsid w:val="008C3E51"/>
    <w:rsid w:val="008C56B4"/>
    <w:rsid w:val="008C578E"/>
    <w:rsid w:val="008C5B7E"/>
    <w:rsid w:val="008C5C80"/>
    <w:rsid w:val="008C5E50"/>
    <w:rsid w:val="008C6290"/>
    <w:rsid w:val="008C6813"/>
    <w:rsid w:val="008C6853"/>
    <w:rsid w:val="008C6A6B"/>
    <w:rsid w:val="008C6BAE"/>
    <w:rsid w:val="008C7D72"/>
    <w:rsid w:val="008D0320"/>
    <w:rsid w:val="008D0A8E"/>
    <w:rsid w:val="008D0F65"/>
    <w:rsid w:val="008D13B2"/>
    <w:rsid w:val="008D14F7"/>
    <w:rsid w:val="008D163C"/>
    <w:rsid w:val="008D1A7B"/>
    <w:rsid w:val="008D1E32"/>
    <w:rsid w:val="008D2032"/>
    <w:rsid w:val="008D2962"/>
    <w:rsid w:val="008D2D25"/>
    <w:rsid w:val="008D3091"/>
    <w:rsid w:val="008D375D"/>
    <w:rsid w:val="008D3C7E"/>
    <w:rsid w:val="008D4BCB"/>
    <w:rsid w:val="008D4C3F"/>
    <w:rsid w:val="008D4C64"/>
    <w:rsid w:val="008D4D2B"/>
    <w:rsid w:val="008D5022"/>
    <w:rsid w:val="008D522A"/>
    <w:rsid w:val="008D5EBF"/>
    <w:rsid w:val="008D5F52"/>
    <w:rsid w:val="008D647B"/>
    <w:rsid w:val="008D6902"/>
    <w:rsid w:val="008D6CED"/>
    <w:rsid w:val="008D75D2"/>
    <w:rsid w:val="008D77E8"/>
    <w:rsid w:val="008D79A0"/>
    <w:rsid w:val="008D79C2"/>
    <w:rsid w:val="008D7D66"/>
    <w:rsid w:val="008E00B1"/>
    <w:rsid w:val="008E10C9"/>
    <w:rsid w:val="008E1526"/>
    <w:rsid w:val="008E174F"/>
    <w:rsid w:val="008E201B"/>
    <w:rsid w:val="008E2813"/>
    <w:rsid w:val="008E285E"/>
    <w:rsid w:val="008E2C73"/>
    <w:rsid w:val="008E48D1"/>
    <w:rsid w:val="008E5044"/>
    <w:rsid w:val="008E5144"/>
    <w:rsid w:val="008E5199"/>
    <w:rsid w:val="008E5270"/>
    <w:rsid w:val="008E56A2"/>
    <w:rsid w:val="008E56F7"/>
    <w:rsid w:val="008E599E"/>
    <w:rsid w:val="008E5FCB"/>
    <w:rsid w:val="008E6427"/>
    <w:rsid w:val="008E6C8D"/>
    <w:rsid w:val="008E6ED5"/>
    <w:rsid w:val="008E73B4"/>
    <w:rsid w:val="008E755E"/>
    <w:rsid w:val="008E7BEB"/>
    <w:rsid w:val="008F0551"/>
    <w:rsid w:val="008F0852"/>
    <w:rsid w:val="008F14D6"/>
    <w:rsid w:val="008F1B1A"/>
    <w:rsid w:val="008F1E9F"/>
    <w:rsid w:val="008F311E"/>
    <w:rsid w:val="008F33E4"/>
    <w:rsid w:val="008F3B30"/>
    <w:rsid w:val="008F41A1"/>
    <w:rsid w:val="008F4397"/>
    <w:rsid w:val="008F4481"/>
    <w:rsid w:val="008F52F8"/>
    <w:rsid w:val="008F5D63"/>
    <w:rsid w:val="008F5E72"/>
    <w:rsid w:val="008F64F9"/>
    <w:rsid w:val="008F6F9C"/>
    <w:rsid w:val="008F722C"/>
    <w:rsid w:val="008F72F4"/>
    <w:rsid w:val="00900F2A"/>
    <w:rsid w:val="00900F82"/>
    <w:rsid w:val="00901F96"/>
    <w:rsid w:val="0090245B"/>
    <w:rsid w:val="00902635"/>
    <w:rsid w:val="00902931"/>
    <w:rsid w:val="00902E7F"/>
    <w:rsid w:val="009031E4"/>
    <w:rsid w:val="00903715"/>
    <w:rsid w:val="00904743"/>
    <w:rsid w:val="009049C3"/>
    <w:rsid w:val="00904F34"/>
    <w:rsid w:val="00905BCE"/>
    <w:rsid w:val="00905E5A"/>
    <w:rsid w:val="009060CF"/>
    <w:rsid w:val="00906821"/>
    <w:rsid w:val="00906839"/>
    <w:rsid w:val="00906900"/>
    <w:rsid w:val="009070D0"/>
    <w:rsid w:val="009072F3"/>
    <w:rsid w:val="00907A6D"/>
    <w:rsid w:val="009102E9"/>
    <w:rsid w:val="00910540"/>
    <w:rsid w:val="009112E4"/>
    <w:rsid w:val="009114D6"/>
    <w:rsid w:val="009118D7"/>
    <w:rsid w:val="00913B7F"/>
    <w:rsid w:val="00914490"/>
    <w:rsid w:val="00914CD5"/>
    <w:rsid w:val="009176DD"/>
    <w:rsid w:val="0091794A"/>
    <w:rsid w:val="0092053F"/>
    <w:rsid w:val="00920AA0"/>
    <w:rsid w:val="00920D09"/>
    <w:rsid w:val="00921043"/>
    <w:rsid w:val="009210DF"/>
    <w:rsid w:val="009216AE"/>
    <w:rsid w:val="009222E7"/>
    <w:rsid w:val="00922780"/>
    <w:rsid w:val="00922CC3"/>
    <w:rsid w:val="0092327A"/>
    <w:rsid w:val="00923687"/>
    <w:rsid w:val="009236EB"/>
    <w:rsid w:val="00923777"/>
    <w:rsid w:val="00923B75"/>
    <w:rsid w:val="0092409F"/>
    <w:rsid w:val="0092537B"/>
    <w:rsid w:val="00926525"/>
    <w:rsid w:val="00927ADD"/>
    <w:rsid w:val="00930C71"/>
    <w:rsid w:val="00930F53"/>
    <w:rsid w:val="00931158"/>
    <w:rsid w:val="00931C6C"/>
    <w:rsid w:val="00932A10"/>
    <w:rsid w:val="00933221"/>
    <w:rsid w:val="009335D7"/>
    <w:rsid w:val="009338C3"/>
    <w:rsid w:val="00933FDC"/>
    <w:rsid w:val="00934675"/>
    <w:rsid w:val="00934C65"/>
    <w:rsid w:val="00936798"/>
    <w:rsid w:val="00936B63"/>
    <w:rsid w:val="00936B90"/>
    <w:rsid w:val="00937FD5"/>
    <w:rsid w:val="0094035A"/>
    <w:rsid w:val="0094054F"/>
    <w:rsid w:val="00941343"/>
    <w:rsid w:val="00941367"/>
    <w:rsid w:val="00941614"/>
    <w:rsid w:val="00941F63"/>
    <w:rsid w:val="00942150"/>
    <w:rsid w:val="00942319"/>
    <w:rsid w:val="00942840"/>
    <w:rsid w:val="00942A5B"/>
    <w:rsid w:val="00943140"/>
    <w:rsid w:val="00943706"/>
    <w:rsid w:val="0094415D"/>
    <w:rsid w:val="00944AD2"/>
    <w:rsid w:val="0094539A"/>
    <w:rsid w:val="009459E8"/>
    <w:rsid w:val="00945CA9"/>
    <w:rsid w:val="00945FCF"/>
    <w:rsid w:val="00946068"/>
    <w:rsid w:val="00946A81"/>
    <w:rsid w:val="00946D70"/>
    <w:rsid w:val="009470BE"/>
    <w:rsid w:val="009474FD"/>
    <w:rsid w:val="00947D42"/>
    <w:rsid w:val="00947FAC"/>
    <w:rsid w:val="009507BA"/>
    <w:rsid w:val="00950FF5"/>
    <w:rsid w:val="009513D9"/>
    <w:rsid w:val="00951430"/>
    <w:rsid w:val="00951A12"/>
    <w:rsid w:val="00951BC3"/>
    <w:rsid w:val="00951C8A"/>
    <w:rsid w:val="00951ED6"/>
    <w:rsid w:val="0095275E"/>
    <w:rsid w:val="00952863"/>
    <w:rsid w:val="00952A8B"/>
    <w:rsid w:val="00953859"/>
    <w:rsid w:val="00953D65"/>
    <w:rsid w:val="00954327"/>
    <w:rsid w:val="00955738"/>
    <w:rsid w:val="00955F90"/>
    <w:rsid w:val="0095641C"/>
    <w:rsid w:val="00956C4F"/>
    <w:rsid w:val="00957169"/>
    <w:rsid w:val="00957C15"/>
    <w:rsid w:val="0096011A"/>
    <w:rsid w:val="009604C2"/>
    <w:rsid w:val="00960B31"/>
    <w:rsid w:val="00961515"/>
    <w:rsid w:val="00961991"/>
    <w:rsid w:val="00961FFB"/>
    <w:rsid w:val="0096272B"/>
    <w:rsid w:val="00963119"/>
    <w:rsid w:val="009631C3"/>
    <w:rsid w:val="009636EC"/>
    <w:rsid w:val="009637E6"/>
    <w:rsid w:val="009640A7"/>
    <w:rsid w:val="009648EE"/>
    <w:rsid w:val="0096499F"/>
    <w:rsid w:val="0096522F"/>
    <w:rsid w:val="009653BD"/>
    <w:rsid w:val="00966162"/>
    <w:rsid w:val="009664CF"/>
    <w:rsid w:val="00966EA1"/>
    <w:rsid w:val="009670FD"/>
    <w:rsid w:val="009671FD"/>
    <w:rsid w:val="00967BBD"/>
    <w:rsid w:val="009707B4"/>
    <w:rsid w:val="0097199C"/>
    <w:rsid w:val="009721E9"/>
    <w:rsid w:val="00972286"/>
    <w:rsid w:val="009722FF"/>
    <w:rsid w:val="0097334F"/>
    <w:rsid w:val="00973E02"/>
    <w:rsid w:val="009742AA"/>
    <w:rsid w:val="00974E22"/>
    <w:rsid w:val="00975894"/>
    <w:rsid w:val="009759AE"/>
    <w:rsid w:val="00975D3E"/>
    <w:rsid w:val="00976041"/>
    <w:rsid w:val="00976439"/>
    <w:rsid w:val="0097647E"/>
    <w:rsid w:val="009765C2"/>
    <w:rsid w:val="009769DC"/>
    <w:rsid w:val="00976E9C"/>
    <w:rsid w:val="009771CB"/>
    <w:rsid w:val="00977285"/>
    <w:rsid w:val="0097753A"/>
    <w:rsid w:val="0097769C"/>
    <w:rsid w:val="00980383"/>
    <w:rsid w:val="0098042C"/>
    <w:rsid w:val="00980F42"/>
    <w:rsid w:val="00981056"/>
    <w:rsid w:val="009811E3"/>
    <w:rsid w:val="00981FDB"/>
    <w:rsid w:val="009823E0"/>
    <w:rsid w:val="00982710"/>
    <w:rsid w:val="0098277F"/>
    <w:rsid w:val="00982AE9"/>
    <w:rsid w:val="00982B69"/>
    <w:rsid w:val="009836D4"/>
    <w:rsid w:val="00984CBD"/>
    <w:rsid w:val="0098539A"/>
    <w:rsid w:val="00985574"/>
    <w:rsid w:val="009865C9"/>
    <w:rsid w:val="00986D8F"/>
    <w:rsid w:val="0098703A"/>
    <w:rsid w:val="00987B30"/>
    <w:rsid w:val="00987EE8"/>
    <w:rsid w:val="0099126F"/>
    <w:rsid w:val="009912CD"/>
    <w:rsid w:val="009914C7"/>
    <w:rsid w:val="009922C1"/>
    <w:rsid w:val="0099327C"/>
    <w:rsid w:val="0099369D"/>
    <w:rsid w:val="00994017"/>
    <w:rsid w:val="00994365"/>
    <w:rsid w:val="00994689"/>
    <w:rsid w:val="00994BB5"/>
    <w:rsid w:val="00994CB4"/>
    <w:rsid w:val="009964FE"/>
    <w:rsid w:val="00996FC0"/>
    <w:rsid w:val="009970DD"/>
    <w:rsid w:val="0099737B"/>
    <w:rsid w:val="009974DF"/>
    <w:rsid w:val="009974EB"/>
    <w:rsid w:val="00997654"/>
    <w:rsid w:val="00997996"/>
    <w:rsid w:val="00997A9B"/>
    <w:rsid w:val="00997BCA"/>
    <w:rsid w:val="00997D1D"/>
    <w:rsid w:val="00997E03"/>
    <w:rsid w:val="009A0366"/>
    <w:rsid w:val="009A045E"/>
    <w:rsid w:val="009A13AB"/>
    <w:rsid w:val="009A1A2D"/>
    <w:rsid w:val="009A1ACE"/>
    <w:rsid w:val="009A1F3B"/>
    <w:rsid w:val="009A2305"/>
    <w:rsid w:val="009A2908"/>
    <w:rsid w:val="009A2D0A"/>
    <w:rsid w:val="009A3639"/>
    <w:rsid w:val="009A3975"/>
    <w:rsid w:val="009A3E77"/>
    <w:rsid w:val="009A410E"/>
    <w:rsid w:val="009A487B"/>
    <w:rsid w:val="009A4F6F"/>
    <w:rsid w:val="009A50EA"/>
    <w:rsid w:val="009A52BE"/>
    <w:rsid w:val="009A69F3"/>
    <w:rsid w:val="009A6D2E"/>
    <w:rsid w:val="009A6E4E"/>
    <w:rsid w:val="009A6E61"/>
    <w:rsid w:val="009A713D"/>
    <w:rsid w:val="009A7B6B"/>
    <w:rsid w:val="009A7F3F"/>
    <w:rsid w:val="009B0243"/>
    <w:rsid w:val="009B0920"/>
    <w:rsid w:val="009B17B4"/>
    <w:rsid w:val="009B27F6"/>
    <w:rsid w:val="009B2D15"/>
    <w:rsid w:val="009B2FE8"/>
    <w:rsid w:val="009B3CF3"/>
    <w:rsid w:val="009B3D4C"/>
    <w:rsid w:val="009B3FA2"/>
    <w:rsid w:val="009B3FCE"/>
    <w:rsid w:val="009B4BC9"/>
    <w:rsid w:val="009B50CC"/>
    <w:rsid w:val="009B5ADB"/>
    <w:rsid w:val="009B5D47"/>
    <w:rsid w:val="009B666C"/>
    <w:rsid w:val="009B705E"/>
    <w:rsid w:val="009B77FC"/>
    <w:rsid w:val="009C00F3"/>
    <w:rsid w:val="009C015B"/>
    <w:rsid w:val="009C0FA3"/>
    <w:rsid w:val="009C1A0F"/>
    <w:rsid w:val="009C1BA4"/>
    <w:rsid w:val="009C245D"/>
    <w:rsid w:val="009C2C98"/>
    <w:rsid w:val="009C2F1F"/>
    <w:rsid w:val="009C3891"/>
    <w:rsid w:val="009C3A88"/>
    <w:rsid w:val="009C4B4A"/>
    <w:rsid w:val="009C4CE4"/>
    <w:rsid w:val="009C55F0"/>
    <w:rsid w:val="009C597F"/>
    <w:rsid w:val="009C5D0C"/>
    <w:rsid w:val="009C7012"/>
    <w:rsid w:val="009C74C4"/>
    <w:rsid w:val="009C7603"/>
    <w:rsid w:val="009C7965"/>
    <w:rsid w:val="009C7BE0"/>
    <w:rsid w:val="009C7C1E"/>
    <w:rsid w:val="009D145A"/>
    <w:rsid w:val="009D1769"/>
    <w:rsid w:val="009D1858"/>
    <w:rsid w:val="009D1E8F"/>
    <w:rsid w:val="009D20A9"/>
    <w:rsid w:val="009D2D1F"/>
    <w:rsid w:val="009D2E7D"/>
    <w:rsid w:val="009D3126"/>
    <w:rsid w:val="009D3A76"/>
    <w:rsid w:val="009D3ABD"/>
    <w:rsid w:val="009D45C2"/>
    <w:rsid w:val="009D4711"/>
    <w:rsid w:val="009D6254"/>
    <w:rsid w:val="009D65FC"/>
    <w:rsid w:val="009D695E"/>
    <w:rsid w:val="009D6DD1"/>
    <w:rsid w:val="009D787C"/>
    <w:rsid w:val="009D7DB7"/>
    <w:rsid w:val="009D7E8A"/>
    <w:rsid w:val="009E0D30"/>
    <w:rsid w:val="009E113B"/>
    <w:rsid w:val="009E16DC"/>
    <w:rsid w:val="009E20D1"/>
    <w:rsid w:val="009E2688"/>
    <w:rsid w:val="009E284A"/>
    <w:rsid w:val="009E3326"/>
    <w:rsid w:val="009E342E"/>
    <w:rsid w:val="009E3CB5"/>
    <w:rsid w:val="009E4826"/>
    <w:rsid w:val="009E484A"/>
    <w:rsid w:val="009E4A89"/>
    <w:rsid w:val="009E4CE4"/>
    <w:rsid w:val="009E5452"/>
    <w:rsid w:val="009E5B63"/>
    <w:rsid w:val="009E5CFE"/>
    <w:rsid w:val="009E6172"/>
    <w:rsid w:val="009E62A8"/>
    <w:rsid w:val="009E62E0"/>
    <w:rsid w:val="009E63EB"/>
    <w:rsid w:val="009E6401"/>
    <w:rsid w:val="009E68A0"/>
    <w:rsid w:val="009E68D8"/>
    <w:rsid w:val="009E6B62"/>
    <w:rsid w:val="009E6C70"/>
    <w:rsid w:val="009E6C87"/>
    <w:rsid w:val="009F05B1"/>
    <w:rsid w:val="009F0C3A"/>
    <w:rsid w:val="009F1075"/>
    <w:rsid w:val="009F1237"/>
    <w:rsid w:val="009F18F5"/>
    <w:rsid w:val="009F2255"/>
    <w:rsid w:val="009F24C1"/>
    <w:rsid w:val="009F289D"/>
    <w:rsid w:val="009F3DE0"/>
    <w:rsid w:val="009F3F05"/>
    <w:rsid w:val="009F441F"/>
    <w:rsid w:val="009F444D"/>
    <w:rsid w:val="009F458A"/>
    <w:rsid w:val="009F51F9"/>
    <w:rsid w:val="009F527A"/>
    <w:rsid w:val="009F593E"/>
    <w:rsid w:val="009F5C8C"/>
    <w:rsid w:val="009F5D55"/>
    <w:rsid w:val="009F5DB4"/>
    <w:rsid w:val="009F5F79"/>
    <w:rsid w:val="009F6CA2"/>
    <w:rsid w:val="009F6D35"/>
    <w:rsid w:val="009F74C9"/>
    <w:rsid w:val="009F7FF9"/>
    <w:rsid w:val="00A001E0"/>
    <w:rsid w:val="00A003C6"/>
    <w:rsid w:val="00A00764"/>
    <w:rsid w:val="00A011E1"/>
    <w:rsid w:val="00A015A8"/>
    <w:rsid w:val="00A0161F"/>
    <w:rsid w:val="00A01ABB"/>
    <w:rsid w:val="00A02228"/>
    <w:rsid w:val="00A022A7"/>
    <w:rsid w:val="00A0251A"/>
    <w:rsid w:val="00A03580"/>
    <w:rsid w:val="00A03BCF"/>
    <w:rsid w:val="00A03CE6"/>
    <w:rsid w:val="00A04E6A"/>
    <w:rsid w:val="00A05227"/>
    <w:rsid w:val="00A05CDB"/>
    <w:rsid w:val="00A060B8"/>
    <w:rsid w:val="00A06714"/>
    <w:rsid w:val="00A06BA1"/>
    <w:rsid w:val="00A07F72"/>
    <w:rsid w:val="00A10819"/>
    <w:rsid w:val="00A10904"/>
    <w:rsid w:val="00A11B19"/>
    <w:rsid w:val="00A11BD1"/>
    <w:rsid w:val="00A11EFE"/>
    <w:rsid w:val="00A1256C"/>
    <w:rsid w:val="00A12802"/>
    <w:rsid w:val="00A12CE0"/>
    <w:rsid w:val="00A13B9D"/>
    <w:rsid w:val="00A13ECF"/>
    <w:rsid w:val="00A146B9"/>
    <w:rsid w:val="00A1474A"/>
    <w:rsid w:val="00A14859"/>
    <w:rsid w:val="00A14FE7"/>
    <w:rsid w:val="00A15EF7"/>
    <w:rsid w:val="00A160E3"/>
    <w:rsid w:val="00A166E0"/>
    <w:rsid w:val="00A1672F"/>
    <w:rsid w:val="00A200AF"/>
    <w:rsid w:val="00A20B81"/>
    <w:rsid w:val="00A2151E"/>
    <w:rsid w:val="00A2175C"/>
    <w:rsid w:val="00A21982"/>
    <w:rsid w:val="00A220D2"/>
    <w:rsid w:val="00A22765"/>
    <w:rsid w:val="00A22A08"/>
    <w:rsid w:val="00A22C63"/>
    <w:rsid w:val="00A22EF3"/>
    <w:rsid w:val="00A23961"/>
    <w:rsid w:val="00A23F2F"/>
    <w:rsid w:val="00A243EE"/>
    <w:rsid w:val="00A24952"/>
    <w:rsid w:val="00A24B9E"/>
    <w:rsid w:val="00A25383"/>
    <w:rsid w:val="00A26598"/>
    <w:rsid w:val="00A267B3"/>
    <w:rsid w:val="00A26AA3"/>
    <w:rsid w:val="00A300D9"/>
    <w:rsid w:val="00A3013F"/>
    <w:rsid w:val="00A30521"/>
    <w:rsid w:val="00A30ADD"/>
    <w:rsid w:val="00A3119F"/>
    <w:rsid w:val="00A31214"/>
    <w:rsid w:val="00A314A7"/>
    <w:rsid w:val="00A3171C"/>
    <w:rsid w:val="00A329B4"/>
    <w:rsid w:val="00A32A91"/>
    <w:rsid w:val="00A32E5B"/>
    <w:rsid w:val="00A34393"/>
    <w:rsid w:val="00A34783"/>
    <w:rsid w:val="00A348E0"/>
    <w:rsid w:val="00A34DBA"/>
    <w:rsid w:val="00A35694"/>
    <w:rsid w:val="00A35A03"/>
    <w:rsid w:val="00A3600A"/>
    <w:rsid w:val="00A3622B"/>
    <w:rsid w:val="00A36CEE"/>
    <w:rsid w:val="00A36E38"/>
    <w:rsid w:val="00A3727C"/>
    <w:rsid w:val="00A3797A"/>
    <w:rsid w:val="00A40B46"/>
    <w:rsid w:val="00A40FC7"/>
    <w:rsid w:val="00A4132D"/>
    <w:rsid w:val="00A419AC"/>
    <w:rsid w:val="00A41F04"/>
    <w:rsid w:val="00A421D0"/>
    <w:rsid w:val="00A42466"/>
    <w:rsid w:val="00A430E3"/>
    <w:rsid w:val="00A438A6"/>
    <w:rsid w:val="00A43D4D"/>
    <w:rsid w:val="00A43DAD"/>
    <w:rsid w:val="00A4437E"/>
    <w:rsid w:val="00A448F1"/>
    <w:rsid w:val="00A45608"/>
    <w:rsid w:val="00A4574C"/>
    <w:rsid w:val="00A45A2E"/>
    <w:rsid w:val="00A45D8B"/>
    <w:rsid w:val="00A45FC1"/>
    <w:rsid w:val="00A46BFD"/>
    <w:rsid w:val="00A46CD6"/>
    <w:rsid w:val="00A47834"/>
    <w:rsid w:val="00A47857"/>
    <w:rsid w:val="00A47BFF"/>
    <w:rsid w:val="00A5014B"/>
    <w:rsid w:val="00A51C3C"/>
    <w:rsid w:val="00A51DAD"/>
    <w:rsid w:val="00A52F18"/>
    <w:rsid w:val="00A5354F"/>
    <w:rsid w:val="00A53702"/>
    <w:rsid w:val="00A55554"/>
    <w:rsid w:val="00A55A5D"/>
    <w:rsid w:val="00A55FB8"/>
    <w:rsid w:val="00A564B4"/>
    <w:rsid w:val="00A567C4"/>
    <w:rsid w:val="00A56AF4"/>
    <w:rsid w:val="00A5734F"/>
    <w:rsid w:val="00A575E3"/>
    <w:rsid w:val="00A579B2"/>
    <w:rsid w:val="00A57AC5"/>
    <w:rsid w:val="00A57E6E"/>
    <w:rsid w:val="00A6030D"/>
    <w:rsid w:val="00A603D9"/>
    <w:rsid w:val="00A608C4"/>
    <w:rsid w:val="00A60A6E"/>
    <w:rsid w:val="00A61181"/>
    <w:rsid w:val="00A6296E"/>
    <w:rsid w:val="00A636A1"/>
    <w:rsid w:val="00A64423"/>
    <w:rsid w:val="00A64B99"/>
    <w:rsid w:val="00A65A1E"/>
    <w:rsid w:val="00A66CFD"/>
    <w:rsid w:val="00A672D6"/>
    <w:rsid w:val="00A70083"/>
    <w:rsid w:val="00A7015A"/>
    <w:rsid w:val="00A707AE"/>
    <w:rsid w:val="00A707CE"/>
    <w:rsid w:val="00A71047"/>
    <w:rsid w:val="00A71BD1"/>
    <w:rsid w:val="00A72338"/>
    <w:rsid w:val="00A72DFD"/>
    <w:rsid w:val="00A73155"/>
    <w:rsid w:val="00A741A5"/>
    <w:rsid w:val="00A74A51"/>
    <w:rsid w:val="00A74A71"/>
    <w:rsid w:val="00A74FE6"/>
    <w:rsid w:val="00A753C1"/>
    <w:rsid w:val="00A762E1"/>
    <w:rsid w:val="00A7642E"/>
    <w:rsid w:val="00A774B5"/>
    <w:rsid w:val="00A803DD"/>
    <w:rsid w:val="00A808D6"/>
    <w:rsid w:val="00A80DEC"/>
    <w:rsid w:val="00A80FF0"/>
    <w:rsid w:val="00A81183"/>
    <w:rsid w:val="00A811B0"/>
    <w:rsid w:val="00A8126D"/>
    <w:rsid w:val="00A815D1"/>
    <w:rsid w:val="00A819CA"/>
    <w:rsid w:val="00A82244"/>
    <w:rsid w:val="00A8261C"/>
    <w:rsid w:val="00A82863"/>
    <w:rsid w:val="00A82B68"/>
    <w:rsid w:val="00A82DA7"/>
    <w:rsid w:val="00A83179"/>
    <w:rsid w:val="00A833E6"/>
    <w:rsid w:val="00A835AE"/>
    <w:rsid w:val="00A83693"/>
    <w:rsid w:val="00A83D5E"/>
    <w:rsid w:val="00A83D80"/>
    <w:rsid w:val="00A83DD9"/>
    <w:rsid w:val="00A83EAE"/>
    <w:rsid w:val="00A841AE"/>
    <w:rsid w:val="00A85B7F"/>
    <w:rsid w:val="00A863BB"/>
    <w:rsid w:val="00A8657F"/>
    <w:rsid w:val="00A868CE"/>
    <w:rsid w:val="00A876E4"/>
    <w:rsid w:val="00A87F9B"/>
    <w:rsid w:val="00A90463"/>
    <w:rsid w:val="00A90798"/>
    <w:rsid w:val="00A90CB3"/>
    <w:rsid w:val="00A91B83"/>
    <w:rsid w:val="00A92304"/>
    <w:rsid w:val="00A924D2"/>
    <w:rsid w:val="00A92FCB"/>
    <w:rsid w:val="00A93061"/>
    <w:rsid w:val="00A93142"/>
    <w:rsid w:val="00A938CD"/>
    <w:rsid w:val="00A93D30"/>
    <w:rsid w:val="00A94BFA"/>
    <w:rsid w:val="00A94DCE"/>
    <w:rsid w:val="00A94DE3"/>
    <w:rsid w:val="00A95597"/>
    <w:rsid w:val="00A95777"/>
    <w:rsid w:val="00A95913"/>
    <w:rsid w:val="00A96B2E"/>
    <w:rsid w:val="00A9734B"/>
    <w:rsid w:val="00A9760C"/>
    <w:rsid w:val="00A977D1"/>
    <w:rsid w:val="00AA0229"/>
    <w:rsid w:val="00AA0238"/>
    <w:rsid w:val="00AA042C"/>
    <w:rsid w:val="00AA0947"/>
    <w:rsid w:val="00AA1219"/>
    <w:rsid w:val="00AA19CB"/>
    <w:rsid w:val="00AA1E27"/>
    <w:rsid w:val="00AA214D"/>
    <w:rsid w:val="00AA21ED"/>
    <w:rsid w:val="00AA24AE"/>
    <w:rsid w:val="00AA276A"/>
    <w:rsid w:val="00AA3134"/>
    <w:rsid w:val="00AA4A13"/>
    <w:rsid w:val="00AA51C4"/>
    <w:rsid w:val="00AA5B29"/>
    <w:rsid w:val="00AA6101"/>
    <w:rsid w:val="00AA66A2"/>
    <w:rsid w:val="00AA6A80"/>
    <w:rsid w:val="00AA6F78"/>
    <w:rsid w:val="00AA7075"/>
    <w:rsid w:val="00AA722A"/>
    <w:rsid w:val="00AA743F"/>
    <w:rsid w:val="00AA7EBE"/>
    <w:rsid w:val="00AB0285"/>
    <w:rsid w:val="00AB093E"/>
    <w:rsid w:val="00AB0B45"/>
    <w:rsid w:val="00AB0F33"/>
    <w:rsid w:val="00AB1012"/>
    <w:rsid w:val="00AB11E3"/>
    <w:rsid w:val="00AB20C2"/>
    <w:rsid w:val="00AB218F"/>
    <w:rsid w:val="00AB23B5"/>
    <w:rsid w:val="00AB399C"/>
    <w:rsid w:val="00AB3DF7"/>
    <w:rsid w:val="00AB4CCE"/>
    <w:rsid w:val="00AB4CD8"/>
    <w:rsid w:val="00AB51E0"/>
    <w:rsid w:val="00AB5604"/>
    <w:rsid w:val="00AB576F"/>
    <w:rsid w:val="00AB58C6"/>
    <w:rsid w:val="00AB615E"/>
    <w:rsid w:val="00AB70D2"/>
    <w:rsid w:val="00AC072C"/>
    <w:rsid w:val="00AC0977"/>
    <w:rsid w:val="00AC0E30"/>
    <w:rsid w:val="00AC1A1D"/>
    <w:rsid w:val="00AC1CCB"/>
    <w:rsid w:val="00AC1F81"/>
    <w:rsid w:val="00AC20B9"/>
    <w:rsid w:val="00AC2621"/>
    <w:rsid w:val="00AC273E"/>
    <w:rsid w:val="00AC3034"/>
    <w:rsid w:val="00AC3680"/>
    <w:rsid w:val="00AC375A"/>
    <w:rsid w:val="00AC3ECC"/>
    <w:rsid w:val="00AC4915"/>
    <w:rsid w:val="00AC4A31"/>
    <w:rsid w:val="00AC4AC9"/>
    <w:rsid w:val="00AC4B89"/>
    <w:rsid w:val="00AC4DAC"/>
    <w:rsid w:val="00AC5465"/>
    <w:rsid w:val="00AC57C9"/>
    <w:rsid w:val="00AC6B94"/>
    <w:rsid w:val="00AC6C32"/>
    <w:rsid w:val="00AC6DBA"/>
    <w:rsid w:val="00AC6E26"/>
    <w:rsid w:val="00AC7380"/>
    <w:rsid w:val="00AC7532"/>
    <w:rsid w:val="00AC779C"/>
    <w:rsid w:val="00AD101B"/>
    <w:rsid w:val="00AD1335"/>
    <w:rsid w:val="00AD17E4"/>
    <w:rsid w:val="00AD1D90"/>
    <w:rsid w:val="00AD2157"/>
    <w:rsid w:val="00AD25A2"/>
    <w:rsid w:val="00AD25DD"/>
    <w:rsid w:val="00AD32F7"/>
    <w:rsid w:val="00AD36B1"/>
    <w:rsid w:val="00AD3714"/>
    <w:rsid w:val="00AD3767"/>
    <w:rsid w:val="00AD3AF9"/>
    <w:rsid w:val="00AD402A"/>
    <w:rsid w:val="00AD53A3"/>
    <w:rsid w:val="00AD561F"/>
    <w:rsid w:val="00AD63D7"/>
    <w:rsid w:val="00AD6447"/>
    <w:rsid w:val="00AD6801"/>
    <w:rsid w:val="00AD6BEC"/>
    <w:rsid w:val="00AD74E7"/>
    <w:rsid w:val="00AD7FC9"/>
    <w:rsid w:val="00AE03D1"/>
    <w:rsid w:val="00AE0AB9"/>
    <w:rsid w:val="00AE0F7F"/>
    <w:rsid w:val="00AE1B69"/>
    <w:rsid w:val="00AE26A2"/>
    <w:rsid w:val="00AE32DE"/>
    <w:rsid w:val="00AE425C"/>
    <w:rsid w:val="00AE4846"/>
    <w:rsid w:val="00AE4961"/>
    <w:rsid w:val="00AE57F7"/>
    <w:rsid w:val="00AE66EE"/>
    <w:rsid w:val="00AE697E"/>
    <w:rsid w:val="00AE6C8E"/>
    <w:rsid w:val="00AE6F01"/>
    <w:rsid w:val="00AE715F"/>
    <w:rsid w:val="00AE71C3"/>
    <w:rsid w:val="00AE778E"/>
    <w:rsid w:val="00AF04F5"/>
    <w:rsid w:val="00AF066D"/>
    <w:rsid w:val="00AF178F"/>
    <w:rsid w:val="00AF1ABD"/>
    <w:rsid w:val="00AF2497"/>
    <w:rsid w:val="00AF39ED"/>
    <w:rsid w:val="00AF44B2"/>
    <w:rsid w:val="00AF4670"/>
    <w:rsid w:val="00AF5135"/>
    <w:rsid w:val="00AF574A"/>
    <w:rsid w:val="00AF6327"/>
    <w:rsid w:val="00AF6894"/>
    <w:rsid w:val="00AF69B3"/>
    <w:rsid w:val="00AF7AC2"/>
    <w:rsid w:val="00B000CD"/>
    <w:rsid w:val="00B0015C"/>
    <w:rsid w:val="00B008FC"/>
    <w:rsid w:val="00B00B34"/>
    <w:rsid w:val="00B01286"/>
    <w:rsid w:val="00B01561"/>
    <w:rsid w:val="00B01816"/>
    <w:rsid w:val="00B01E09"/>
    <w:rsid w:val="00B02CDE"/>
    <w:rsid w:val="00B0313F"/>
    <w:rsid w:val="00B037DD"/>
    <w:rsid w:val="00B038B1"/>
    <w:rsid w:val="00B03D39"/>
    <w:rsid w:val="00B05905"/>
    <w:rsid w:val="00B05D09"/>
    <w:rsid w:val="00B06D91"/>
    <w:rsid w:val="00B07512"/>
    <w:rsid w:val="00B1032D"/>
    <w:rsid w:val="00B1085B"/>
    <w:rsid w:val="00B10C57"/>
    <w:rsid w:val="00B117BE"/>
    <w:rsid w:val="00B121AC"/>
    <w:rsid w:val="00B12F31"/>
    <w:rsid w:val="00B135E4"/>
    <w:rsid w:val="00B1484D"/>
    <w:rsid w:val="00B14BEC"/>
    <w:rsid w:val="00B15408"/>
    <w:rsid w:val="00B156FB"/>
    <w:rsid w:val="00B15B16"/>
    <w:rsid w:val="00B15DCF"/>
    <w:rsid w:val="00B15ECB"/>
    <w:rsid w:val="00B1649F"/>
    <w:rsid w:val="00B16ABD"/>
    <w:rsid w:val="00B1783A"/>
    <w:rsid w:val="00B2096C"/>
    <w:rsid w:val="00B20CE7"/>
    <w:rsid w:val="00B20F09"/>
    <w:rsid w:val="00B21218"/>
    <w:rsid w:val="00B212BD"/>
    <w:rsid w:val="00B2144B"/>
    <w:rsid w:val="00B21699"/>
    <w:rsid w:val="00B21D40"/>
    <w:rsid w:val="00B22DB8"/>
    <w:rsid w:val="00B238FA"/>
    <w:rsid w:val="00B24119"/>
    <w:rsid w:val="00B2469A"/>
    <w:rsid w:val="00B247A2"/>
    <w:rsid w:val="00B24986"/>
    <w:rsid w:val="00B257FE"/>
    <w:rsid w:val="00B2599C"/>
    <w:rsid w:val="00B25D99"/>
    <w:rsid w:val="00B265E4"/>
    <w:rsid w:val="00B27676"/>
    <w:rsid w:val="00B27E96"/>
    <w:rsid w:val="00B305DA"/>
    <w:rsid w:val="00B308E9"/>
    <w:rsid w:val="00B30BBD"/>
    <w:rsid w:val="00B3144E"/>
    <w:rsid w:val="00B31C9C"/>
    <w:rsid w:val="00B32807"/>
    <w:rsid w:val="00B33473"/>
    <w:rsid w:val="00B340A7"/>
    <w:rsid w:val="00B34243"/>
    <w:rsid w:val="00B34508"/>
    <w:rsid w:val="00B346DE"/>
    <w:rsid w:val="00B3547C"/>
    <w:rsid w:val="00B35A41"/>
    <w:rsid w:val="00B35A78"/>
    <w:rsid w:val="00B35CE0"/>
    <w:rsid w:val="00B3641A"/>
    <w:rsid w:val="00B36879"/>
    <w:rsid w:val="00B36AE1"/>
    <w:rsid w:val="00B3705E"/>
    <w:rsid w:val="00B37139"/>
    <w:rsid w:val="00B374A7"/>
    <w:rsid w:val="00B37B07"/>
    <w:rsid w:val="00B37BB4"/>
    <w:rsid w:val="00B40262"/>
    <w:rsid w:val="00B40D78"/>
    <w:rsid w:val="00B40D97"/>
    <w:rsid w:val="00B42029"/>
    <w:rsid w:val="00B4254E"/>
    <w:rsid w:val="00B4281F"/>
    <w:rsid w:val="00B4327A"/>
    <w:rsid w:val="00B434A8"/>
    <w:rsid w:val="00B45198"/>
    <w:rsid w:val="00B45C7F"/>
    <w:rsid w:val="00B45FD5"/>
    <w:rsid w:val="00B4600F"/>
    <w:rsid w:val="00B4602B"/>
    <w:rsid w:val="00B469F6"/>
    <w:rsid w:val="00B47236"/>
    <w:rsid w:val="00B47FEC"/>
    <w:rsid w:val="00B5004C"/>
    <w:rsid w:val="00B50669"/>
    <w:rsid w:val="00B50B05"/>
    <w:rsid w:val="00B512F1"/>
    <w:rsid w:val="00B523F1"/>
    <w:rsid w:val="00B52483"/>
    <w:rsid w:val="00B5378D"/>
    <w:rsid w:val="00B53972"/>
    <w:rsid w:val="00B53995"/>
    <w:rsid w:val="00B53B1E"/>
    <w:rsid w:val="00B53D79"/>
    <w:rsid w:val="00B5460D"/>
    <w:rsid w:val="00B54D2B"/>
    <w:rsid w:val="00B54E1F"/>
    <w:rsid w:val="00B55092"/>
    <w:rsid w:val="00B55193"/>
    <w:rsid w:val="00B551B5"/>
    <w:rsid w:val="00B55D0D"/>
    <w:rsid w:val="00B55F0A"/>
    <w:rsid w:val="00B56593"/>
    <w:rsid w:val="00B56F08"/>
    <w:rsid w:val="00B576FD"/>
    <w:rsid w:val="00B579F3"/>
    <w:rsid w:val="00B57C6B"/>
    <w:rsid w:val="00B6006C"/>
    <w:rsid w:val="00B6120C"/>
    <w:rsid w:val="00B61DAC"/>
    <w:rsid w:val="00B6210A"/>
    <w:rsid w:val="00B6298E"/>
    <w:rsid w:val="00B63C67"/>
    <w:rsid w:val="00B63DF4"/>
    <w:rsid w:val="00B63F43"/>
    <w:rsid w:val="00B641B2"/>
    <w:rsid w:val="00B64384"/>
    <w:rsid w:val="00B65348"/>
    <w:rsid w:val="00B664C0"/>
    <w:rsid w:val="00B66684"/>
    <w:rsid w:val="00B672B6"/>
    <w:rsid w:val="00B70AB7"/>
    <w:rsid w:val="00B70D93"/>
    <w:rsid w:val="00B70E21"/>
    <w:rsid w:val="00B71997"/>
    <w:rsid w:val="00B719D2"/>
    <w:rsid w:val="00B71DE7"/>
    <w:rsid w:val="00B71F7C"/>
    <w:rsid w:val="00B72B9F"/>
    <w:rsid w:val="00B73547"/>
    <w:rsid w:val="00B735AF"/>
    <w:rsid w:val="00B74422"/>
    <w:rsid w:val="00B75479"/>
    <w:rsid w:val="00B75515"/>
    <w:rsid w:val="00B76E24"/>
    <w:rsid w:val="00B770CB"/>
    <w:rsid w:val="00B772C2"/>
    <w:rsid w:val="00B776E3"/>
    <w:rsid w:val="00B77C7D"/>
    <w:rsid w:val="00B82075"/>
    <w:rsid w:val="00B832D3"/>
    <w:rsid w:val="00B83A19"/>
    <w:rsid w:val="00B858E7"/>
    <w:rsid w:val="00B85EE3"/>
    <w:rsid w:val="00B86177"/>
    <w:rsid w:val="00B862EE"/>
    <w:rsid w:val="00B867E4"/>
    <w:rsid w:val="00B86914"/>
    <w:rsid w:val="00B87633"/>
    <w:rsid w:val="00B87E84"/>
    <w:rsid w:val="00B90445"/>
    <w:rsid w:val="00B9080E"/>
    <w:rsid w:val="00B91106"/>
    <w:rsid w:val="00B91AC2"/>
    <w:rsid w:val="00B91F03"/>
    <w:rsid w:val="00B92031"/>
    <w:rsid w:val="00B9225E"/>
    <w:rsid w:val="00B92D5A"/>
    <w:rsid w:val="00B93322"/>
    <w:rsid w:val="00B94B7A"/>
    <w:rsid w:val="00B94C32"/>
    <w:rsid w:val="00B95A55"/>
    <w:rsid w:val="00B95B86"/>
    <w:rsid w:val="00B9670E"/>
    <w:rsid w:val="00B971DA"/>
    <w:rsid w:val="00B9727C"/>
    <w:rsid w:val="00B97C39"/>
    <w:rsid w:val="00B97C8E"/>
    <w:rsid w:val="00B97D3C"/>
    <w:rsid w:val="00BA0383"/>
    <w:rsid w:val="00BA0D99"/>
    <w:rsid w:val="00BA0E77"/>
    <w:rsid w:val="00BA0ED5"/>
    <w:rsid w:val="00BA152A"/>
    <w:rsid w:val="00BA19BF"/>
    <w:rsid w:val="00BA1A4C"/>
    <w:rsid w:val="00BA1C22"/>
    <w:rsid w:val="00BA1E1C"/>
    <w:rsid w:val="00BA1F9A"/>
    <w:rsid w:val="00BA208B"/>
    <w:rsid w:val="00BA228B"/>
    <w:rsid w:val="00BA292F"/>
    <w:rsid w:val="00BA3276"/>
    <w:rsid w:val="00BA43FA"/>
    <w:rsid w:val="00BA48A0"/>
    <w:rsid w:val="00BA4A25"/>
    <w:rsid w:val="00BA4CD1"/>
    <w:rsid w:val="00BA502F"/>
    <w:rsid w:val="00BA5449"/>
    <w:rsid w:val="00BA5462"/>
    <w:rsid w:val="00BA558A"/>
    <w:rsid w:val="00BA5660"/>
    <w:rsid w:val="00BA5EF7"/>
    <w:rsid w:val="00BA63FC"/>
    <w:rsid w:val="00BA6461"/>
    <w:rsid w:val="00BA706B"/>
    <w:rsid w:val="00BA734D"/>
    <w:rsid w:val="00BA770A"/>
    <w:rsid w:val="00BA7CCC"/>
    <w:rsid w:val="00BB023D"/>
    <w:rsid w:val="00BB0427"/>
    <w:rsid w:val="00BB0B7C"/>
    <w:rsid w:val="00BB130E"/>
    <w:rsid w:val="00BB14EB"/>
    <w:rsid w:val="00BB18AA"/>
    <w:rsid w:val="00BB1BB1"/>
    <w:rsid w:val="00BB20DB"/>
    <w:rsid w:val="00BB2515"/>
    <w:rsid w:val="00BB26D4"/>
    <w:rsid w:val="00BB36CE"/>
    <w:rsid w:val="00BB3CFC"/>
    <w:rsid w:val="00BB4A60"/>
    <w:rsid w:val="00BB5257"/>
    <w:rsid w:val="00BB5306"/>
    <w:rsid w:val="00BB5FDA"/>
    <w:rsid w:val="00BB6979"/>
    <w:rsid w:val="00BB6C1D"/>
    <w:rsid w:val="00BB747E"/>
    <w:rsid w:val="00BB7B26"/>
    <w:rsid w:val="00BB7BB9"/>
    <w:rsid w:val="00BB7D69"/>
    <w:rsid w:val="00BC047E"/>
    <w:rsid w:val="00BC1341"/>
    <w:rsid w:val="00BC1BD8"/>
    <w:rsid w:val="00BC1ECD"/>
    <w:rsid w:val="00BC22E4"/>
    <w:rsid w:val="00BC2519"/>
    <w:rsid w:val="00BC2591"/>
    <w:rsid w:val="00BC2CE6"/>
    <w:rsid w:val="00BC2E13"/>
    <w:rsid w:val="00BC32F3"/>
    <w:rsid w:val="00BC3665"/>
    <w:rsid w:val="00BC3D35"/>
    <w:rsid w:val="00BC4DA5"/>
    <w:rsid w:val="00BC51AF"/>
    <w:rsid w:val="00BC53A8"/>
    <w:rsid w:val="00BC5A68"/>
    <w:rsid w:val="00BC5AB3"/>
    <w:rsid w:val="00BC612B"/>
    <w:rsid w:val="00BC6B01"/>
    <w:rsid w:val="00BC6E42"/>
    <w:rsid w:val="00BC760B"/>
    <w:rsid w:val="00BD00B8"/>
    <w:rsid w:val="00BD069A"/>
    <w:rsid w:val="00BD0834"/>
    <w:rsid w:val="00BD09EB"/>
    <w:rsid w:val="00BD10B4"/>
    <w:rsid w:val="00BD30D0"/>
    <w:rsid w:val="00BD32E4"/>
    <w:rsid w:val="00BD3426"/>
    <w:rsid w:val="00BD3CD0"/>
    <w:rsid w:val="00BD3D1A"/>
    <w:rsid w:val="00BD3E49"/>
    <w:rsid w:val="00BD4071"/>
    <w:rsid w:val="00BD427D"/>
    <w:rsid w:val="00BD4942"/>
    <w:rsid w:val="00BD4DEE"/>
    <w:rsid w:val="00BD6110"/>
    <w:rsid w:val="00BD619A"/>
    <w:rsid w:val="00BD6298"/>
    <w:rsid w:val="00BD68DE"/>
    <w:rsid w:val="00BD6D31"/>
    <w:rsid w:val="00BD7CC0"/>
    <w:rsid w:val="00BD7D9C"/>
    <w:rsid w:val="00BE166B"/>
    <w:rsid w:val="00BE192E"/>
    <w:rsid w:val="00BE1A34"/>
    <w:rsid w:val="00BE1BD6"/>
    <w:rsid w:val="00BE3142"/>
    <w:rsid w:val="00BE3166"/>
    <w:rsid w:val="00BE3443"/>
    <w:rsid w:val="00BE3659"/>
    <w:rsid w:val="00BE3C2F"/>
    <w:rsid w:val="00BE3CD9"/>
    <w:rsid w:val="00BE572D"/>
    <w:rsid w:val="00BE682B"/>
    <w:rsid w:val="00BE6AAC"/>
    <w:rsid w:val="00BE6D25"/>
    <w:rsid w:val="00BE6DD3"/>
    <w:rsid w:val="00BE7163"/>
    <w:rsid w:val="00BE777D"/>
    <w:rsid w:val="00BE77F5"/>
    <w:rsid w:val="00BE7900"/>
    <w:rsid w:val="00BE7B8C"/>
    <w:rsid w:val="00BF1A61"/>
    <w:rsid w:val="00BF1D1C"/>
    <w:rsid w:val="00BF1EEF"/>
    <w:rsid w:val="00BF29FE"/>
    <w:rsid w:val="00BF322A"/>
    <w:rsid w:val="00BF34A9"/>
    <w:rsid w:val="00BF360E"/>
    <w:rsid w:val="00BF3738"/>
    <w:rsid w:val="00BF3A47"/>
    <w:rsid w:val="00BF3EC2"/>
    <w:rsid w:val="00BF3FE5"/>
    <w:rsid w:val="00BF40D8"/>
    <w:rsid w:val="00BF5615"/>
    <w:rsid w:val="00BF5655"/>
    <w:rsid w:val="00BF6B8C"/>
    <w:rsid w:val="00BF6E57"/>
    <w:rsid w:val="00BF7324"/>
    <w:rsid w:val="00BF7DAB"/>
    <w:rsid w:val="00BF7E1C"/>
    <w:rsid w:val="00C0062B"/>
    <w:rsid w:val="00C0084E"/>
    <w:rsid w:val="00C00D4A"/>
    <w:rsid w:val="00C00E06"/>
    <w:rsid w:val="00C00E7A"/>
    <w:rsid w:val="00C01BAF"/>
    <w:rsid w:val="00C02390"/>
    <w:rsid w:val="00C035A1"/>
    <w:rsid w:val="00C03F95"/>
    <w:rsid w:val="00C04969"/>
    <w:rsid w:val="00C0498A"/>
    <w:rsid w:val="00C04FC3"/>
    <w:rsid w:val="00C05167"/>
    <w:rsid w:val="00C052A7"/>
    <w:rsid w:val="00C053AD"/>
    <w:rsid w:val="00C05823"/>
    <w:rsid w:val="00C0640C"/>
    <w:rsid w:val="00C07392"/>
    <w:rsid w:val="00C07FE8"/>
    <w:rsid w:val="00C10772"/>
    <w:rsid w:val="00C10996"/>
    <w:rsid w:val="00C1122D"/>
    <w:rsid w:val="00C1180B"/>
    <w:rsid w:val="00C11C59"/>
    <w:rsid w:val="00C11DB6"/>
    <w:rsid w:val="00C11EC3"/>
    <w:rsid w:val="00C123AD"/>
    <w:rsid w:val="00C12506"/>
    <w:rsid w:val="00C12521"/>
    <w:rsid w:val="00C12D01"/>
    <w:rsid w:val="00C12F2D"/>
    <w:rsid w:val="00C139E7"/>
    <w:rsid w:val="00C13CB5"/>
    <w:rsid w:val="00C14092"/>
    <w:rsid w:val="00C14364"/>
    <w:rsid w:val="00C1460F"/>
    <w:rsid w:val="00C15D3F"/>
    <w:rsid w:val="00C15E47"/>
    <w:rsid w:val="00C16A07"/>
    <w:rsid w:val="00C16A95"/>
    <w:rsid w:val="00C16F42"/>
    <w:rsid w:val="00C17866"/>
    <w:rsid w:val="00C17C7C"/>
    <w:rsid w:val="00C2088B"/>
    <w:rsid w:val="00C210AB"/>
    <w:rsid w:val="00C21FD6"/>
    <w:rsid w:val="00C2320A"/>
    <w:rsid w:val="00C23937"/>
    <w:rsid w:val="00C24065"/>
    <w:rsid w:val="00C24653"/>
    <w:rsid w:val="00C24786"/>
    <w:rsid w:val="00C24C47"/>
    <w:rsid w:val="00C24E44"/>
    <w:rsid w:val="00C24EC6"/>
    <w:rsid w:val="00C25301"/>
    <w:rsid w:val="00C254C4"/>
    <w:rsid w:val="00C26FF4"/>
    <w:rsid w:val="00C277A8"/>
    <w:rsid w:val="00C30048"/>
    <w:rsid w:val="00C3289B"/>
    <w:rsid w:val="00C32B87"/>
    <w:rsid w:val="00C333D8"/>
    <w:rsid w:val="00C3351A"/>
    <w:rsid w:val="00C33636"/>
    <w:rsid w:val="00C342B3"/>
    <w:rsid w:val="00C34F17"/>
    <w:rsid w:val="00C36073"/>
    <w:rsid w:val="00C3738A"/>
    <w:rsid w:val="00C408ED"/>
    <w:rsid w:val="00C40D96"/>
    <w:rsid w:val="00C410F3"/>
    <w:rsid w:val="00C41563"/>
    <w:rsid w:val="00C41EF6"/>
    <w:rsid w:val="00C4247C"/>
    <w:rsid w:val="00C424CF"/>
    <w:rsid w:val="00C427BC"/>
    <w:rsid w:val="00C42D4D"/>
    <w:rsid w:val="00C436C9"/>
    <w:rsid w:val="00C44121"/>
    <w:rsid w:val="00C446EB"/>
    <w:rsid w:val="00C45BCA"/>
    <w:rsid w:val="00C45CD5"/>
    <w:rsid w:val="00C45DC7"/>
    <w:rsid w:val="00C461F7"/>
    <w:rsid w:val="00C463E6"/>
    <w:rsid w:val="00C467C3"/>
    <w:rsid w:val="00C46B27"/>
    <w:rsid w:val="00C46CB7"/>
    <w:rsid w:val="00C470E5"/>
    <w:rsid w:val="00C473ED"/>
    <w:rsid w:val="00C476C7"/>
    <w:rsid w:val="00C479E8"/>
    <w:rsid w:val="00C47D55"/>
    <w:rsid w:val="00C508FA"/>
    <w:rsid w:val="00C509A0"/>
    <w:rsid w:val="00C50AC6"/>
    <w:rsid w:val="00C5101E"/>
    <w:rsid w:val="00C51358"/>
    <w:rsid w:val="00C5165C"/>
    <w:rsid w:val="00C52CB9"/>
    <w:rsid w:val="00C52DAA"/>
    <w:rsid w:val="00C534BB"/>
    <w:rsid w:val="00C5386D"/>
    <w:rsid w:val="00C541E1"/>
    <w:rsid w:val="00C54E0E"/>
    <w:rsid w:val="00C554F6"/>
    <w:rsid w:val="00C561C7"/>
    <w:rsid w:val="00C56354"/>
    <w:rsid w:val="00C56A72"/>
    <w:rsid w:val="00C56BF4"/>
    <w:rsid w:val="00C56D10"/>
    <w:rsid w:val="00C57EB7"/>
    <w:rsid w:val="00C6050C"/>
    <w:rsid w:val="00C60681"/>
    <w:rsid w:val="00C6091F"/>
    <w:rsid w:val="00C610B3"/>
    <w:rsid w:val="00C6139B"/>
    <w:rsid w:val="00C61468"/>
    <w:rsid w:val="00C61725"/>
    <w:rsid w:val="00C61961"/>
    <w:rsid w:val="00C61D9C"/>
    <w:rsid w:val="00C62DB3"/>
    <w:rsid w:val="00C6337C"/>
    <w:rsid w:val="00C63CF5"/>
    <w:rsid w:val="00C64425"/>
    <w:rsid w:val="00C6562F"/>
    <w:rsid w:val="00C667F9"/>
    <w:rsid w:val="00C67A5B"/>
    <w:rsid w:val="00C704C7"/>
    <w:rsid w:val="00C70599"/>
    <w:rsid w:val="00C7069E"/>
    <w:rsid w:val="00C709D4"/>
    <w:rsid w:val="00C70BA9"/>
    <w:rsid w:val="00C70ED3"/>
    <w:rsid w:val="00C71326"/>
    <w:rsid w:val="00C716FF"/>
    <w:rsid w:val="00C71DBD"/>
    <w:rsid w:val="00C71E6F"/>
    <w:rsid w:val="00C71F20"/>
    <w:rsid w:val="00C7236F"/>
    <w:rsid w:val="00C73091"/>
    <w:rsid w:val="00C730AF"/>
    <w:rsid w:val="00C7346F"/>
    <w:rsid w:val="00C735E4"/>
    <w:rsid w:val="00C7369A"/>
    <w:rsid w:val="00C73758"/>
    <w:rsid w:val="00C73D45"/>
    <w:rsid w:val="00C7403F"/>
    <w:rsid w:val="00C748F5"/>
    <w:rsid w:val="00C75EFA"/>
    <w:rsid w:val="00C76C10"/>
    <w:rsid w:val="00C76EE3"/>
    <w:rsid w:val="00C776B7"/>
    <w:rsid w:val="00C77DA7"/>
    <w:rsid w:val="00C77E13"/>
    <w:rsid w:val="00C80312"/>
    <w:rsid w:val="00C80610"/>
    <w:rsid w:val="00C806AF"/>
    <w:rsid w:val="00C8097E"/>
    <w:rsid w:val="00C80C71"/>
    <w:rsid w:val="00C8102D"/>
    <w:rsid w:val="00C811FF"/>
    <w:rsid w:val="00C8156B"/>
    <w:rsid w:val="00C8176E"/>
    <w:rsid w:val="00C81EF5"/>
    <w:rsid w:val="00C81F46"/>
    <w:rsid w:val="00C8254F"/>
    <w:rsid w:val="00C8287F"/>
    <w:rsid w:val="00C82A0F"/>
    <w:rsid w:val="00C82AC6"/>
    <w:rsid w:val="00C82CBA"/>
    <w:rsid w:val="00C83747"/>
    <w:rsid w:val="00C8384E"/>
    <w:rsid w:val="00C840F5"/>
    <w:rsid w:val="00C849B9"/>
    <w:rsid w:val="00C84BCC"/>
    <w:rsid w:val="00C85127"/>
    <w:rsid w:val="00C85197"/>
    <w:rsid w:val="00C85220"/>
    <w:rsid w:val="00C85C1E"/>
    <w:rsid w:val="00C85EF0"/>
    <w:rsid w:val="00C865D7"/>
    <w:rsid w:val="00C867E8"/>
    <w:rsid w:val="00C87771"/>
    <w:rsid w:val="00C877C3"/>
    <w:rsid w:val="00C902DA"/>
    <w:rsid w:val="00C90586"/>
    <w:rsid w:val="00C91AFE"/>
    <w:rsid w:val="00C92215"/>
    <w:rsid w:val="00C935F4"/>
    <w:rsid w:val="00C94450"/>
    <w:rsid w:val="00C94A88"/>
    <w:rsid w:val="00C956B1"/>
    <w:rsid w:val="00C969F4"/>
    <w:rsid w:val="00C96B87"/>
    <w:rsid w:val="00C96E39"/>
    <w:rsid w:val="00C9723F"/>
    <w:rsid w:val="00C977B2"/>
    <w:rsid w:val="00CA009B"/>
    <w:rsid w:val="00CA0529"/>
    <w:rsid w:val="00CA2400"/>
    <w:rsid w:val="00CA3052"/>
    <w:rsid w:val="00CA3070"/>
    <w:rsid w:val="00CA315A"/>
    <w:rsid w:val="00CA3658"/>
    <w:rsid w:val="00CA4076"/>
    <w:rsid w:val="00CA43DA"/>
    <w:rsid w:val="00CA4AEC"/>
    <w:rsid w:val="00CA4F27"/>
    <w:rsid w:val="00CA54B9"/>
    <w:rsid w:val="00CA58C2"/>
    <w:rsid w:val="00CA65AE"/>
    <w:rsid w:val="00CA6E5B"/>
    <w:rsid w:val="00CB1995"/>
    <w:rsid w:val="00CB19AE"/>
    <w:rsid w:val="00CB1C83"/>
    <w:rsid w:val="00CB1F3C"/>
    <w:rsid w:val="00CB2B83"/>
    <w:rsid w:val="00CB2C0E"/>
    <w:rsid w:val="00CB3045"/>
    <w:rsid w:val="00CB3087"/>
    <w:rsid w:val="00CB339B"/>
    <w:rsid w:val="00CB3CCE"/>
    <w:rsid w:val="00CB4569"/>
    <w:rsid w:val="00CB4A04"/>
    <w:rsid w:val="00CB4AEF"/>
    <w:rsid w:val="00CB4F13"/>
    <w:rsid w:val="00CB4FC3"/>
    <w:rsid w:val="00CB5255"/>
    <w:rsid w:val="00CB5EF1"/>
    <w:rsid w:val="00CB62E0"/>
    <w:rsid w:val="00CB66A6"/>
    <w:rsid w:val="00CB7660"/>
    <w:rsid w:val="00CB7936"/>
    <w:rsid w:val="00CB7BE7"/>
    <w:rsid w:val="00CC01B3"/>
    <w:rsid w:val="00CC0DDC"/>
    <w:rsid w:val="00CC129D"/>
    <w:rsid w:val="00CC1315"/>
    <w:rsid w:val="00CC170C"/>
    <w:rsid w:val="00CC19B9"/>
    <w:rsid w:val="00CC256A"/>
    <w:rsid w:val="00CC268B"/>
    <w:rsid w:val="00CC2A6D"/>
    <w:rsid w:val="00CC3255"/>
    <w:rsid w:val="00CC34DC"/>
    <w:rsid w:val="00CC3C7D"/>
    <w:rsid w:val="00CC3FED"/>
    <w:rsid w:val="00CC4005"/>
    <w:rsid w:val="00CC4134"/>
    <w:rsid w:val="00CC4163"/>
    <w:rsid w:val="00CC424E"/>
    <w:rsid w:val="00CC45C6"/>
    <w:rsid w:val="00CC4614"/>
    <w:rsid w:val="00CC4819"/>
    <w:rsid w:val="00CC4F9D"/>
    <w:rsid w:val="00CC539E"/>
    <w:rsid w:val="00CC53A0"/>
    <w:rsid w:val="00CC5E04"/>
    <w:rsid w:val="00CC607A"/>
    <w:rsid w:val="00CC6093"/>
    <w:rsid w:val="00CC6745"/>
    <w:rsid w:val="00CC68D7"/>
    <w:rsid w:val="00CC6B42"/>
    <w:rsid w:val="00CC7932"/>
    <w:rsid w:val="00CC7BB2"/>
    <w:rsid w:val="00CC7EC0"/>
    <w:rsid w:val="00CD0C96"/>
    <w:rsid w:val="00CD10B2"/>
    <w:rsid w:val="00CD130E"/>
    <w:rsid w:val="00CD16DD"/>
    <w:rsid w:val="00CD18FE"/>
    <w:rsid w:val="00CD1D4C"/>
    <w:rsid w:val="00CD1E6A"/>
    <w:rsid w:val="00CD24D4"/>
    <w:rsid w:val="00CD2D5E"/>
    <w:rsid w:val="00CD2DF7"/>
    <w:rsid w:val="00CD3314"/>
    <w:rsid w:val="00CD3F71"/>
    <w:rsid w:val="00CD4084"/>
    <w:rsid w:val="00CD4E32"/>
    <w:rsid w:val="00CD574B"/>
    <w:rsid w:val="00CD5981"/>
    <w:rsid w:val="00CD5F80"/>
    <w:rsid w:val="00CD61B1"/>
    <w:rsid w:val="00CD6234"/>
    <w:rsid w:val="00CD62FB"/>
    <w:rsid w:val="00CD798D"/>
    <w:rsid w:val="00CD7C90"/>
    <w:rsid w:val="00CD7DA2"/>
    <w:rsid w:val="00CE0853"/>
    <w:rsid w:val="00CE0A9D"/>
    <w:rsid w:val="00CE0AC3"/>
    <w:rsid w:val="00CE0F51"/>
    <w:rsid w:val="00CE0F68"/>
    <w:rsid w:val="00CE1180"/>
    <w:rsid w:val="00CE127A"/>
    <w:rsid w:val="00CE1973"/>
    <w:rsid w:val="00CE255D"/>
    <w:rsid w:val="00CE302E"/>
    <w:rsid w:val="00CE30C0"/>
    <w:rsid w:val="00CE3854"/>
    <w:rsid w:val="00CE3F25"/>
    <w:rsid w:val="00CE4C38"/>
    <w:rsid w:val="00CE4EEA"/>
    <w:rsid w:val="00CE535B"/>
    <w:rsid w:val="00CE58B1"/>
    <w:rsid w:val="00CE6947"/>
    <w:rsid w:val="00CE70D6"/>
    <w:rsid w:val="00CE7C2A"/>
    <w:rsid w:val="00CF0110"/>
    <w:rsid w:val="00CF0A28"/>
    <w:rsid w:val="00CF0F84"/>
    <w:rsid w:val="00CF17F6"/>
    <w:rsid w:val="00CF20AE"/>
    <w:rsid w:val="00CF21CE"/>
    <w:rsid w:val="00CF21FF"/>
    <w:rsid w:val="00CF2511"/>
    <w:rsid w:val="00CF2AE3"/>
    <w:rsid w:val="00CF3766"/>
    <w:rsid w:val="00CF3942"/>
    <w:rsid w:val="00CF4409"/>
    <w:rsid w:val="00CF4719"/>
    <w:rsid w:val="00CF52A6"/>
    <w:rsid w:val="00CF5397"/>
    <w:rsid w:val="00CF5C63"/>
    <w:rsid w:val="00CF5E63"/>
    <w:rsid w:val="00CF5E91"/>
    <w:rsid w:val="00CF61D5"/>
    <w:rsid w:val="00CF6368"/>
    <w:rsid w:val="00CF63E3"/>
    <w:rsid w:val="00CF66E8"/>
    <w:rsid w:val="00CF6E09"/>
    <w:rsid w:val="00CF6F87"/>
    <w:rsid w:val="00CF739D"/>
    <w:rsid w:val="00CF7B55"/>
    <w:rsid w:val="00D0042F"/>
    <w:rsid w:val="00D006F9"/>
    <w:rsid w:val="00D01AF9"/>
    <w:rsid w:val="00D02288"/>
    <w:rsid w:val="00D02575"/>
    <w:rsid w:val="00D02679"/>
    <w:rsid w:val="00D02CF5"/>
    <w:rsid w:val="00D030DD"/>
    <w:rsid w:val="00D0337B"/>
    <w:rsid w:val="00D03396"/>
    <w:rsid w:val="00D03851"/>
    <w:rsid w:val="00D03D04"/>
    <w:rsid w:val="00D04773"/>
    <w:rsid w:val="00D04B63"/>
    <w:rsid w:val="00D0644D"/>
    <w:rsid w:val="00D0664E"/>
    <w:rsid w:val="00D06860"/>
    <w:rsid w:val="00D06AAC"/>
    <w:rsid w:val="00D074FA"/>
    <w:rsid w:val="00D10388"/>
    <w:rsid w:val="00D1063E"/>
    <w:rsid w:val="00D10904"/>
    <w:rsid w:val="00D10B97"/>
    <w:rsid w:val="00D10CBC"/>
    <w:rsid w:val="00D10CE5"/>
    <w:rsid w:val="00D111F8"/>
    <w:rsid w:val="00D11695"/>
    <w:rsid w:val="00D1192C"/>
    <w:rsid w:val="00D12496"/>
    <w:rsid w:val="00D12D06"/>
    <w:rsid w:val="00D13E47"/>
    <w:rsid w:val="00D14865"/>
    <w:rsid w:val="00D14A24"/>
    <w:rsid w:val="00D1521B"/>
    <w:rsid w:val="00D1550A"/>
    <w:rsid w:val="00D15773"/>
    <w:rsid w:val="00D15BC7"/>
    <w:rsid w:val="00D164B1"/>
    <w:rsid w:val="00D167B5"/>
    <w:rsid w:val="00D16DE9"/>
    <w:rsid w:val="00D170E7"/>
    <w:rsid w:val="00D17506"/>
    <w:rsid w:val="00D17DBE"/>
    <w:rsid w:val="00D17DDE"/>
    <w:rsid w:val="00D2014E"/>
    <w:rsid w:val="00D20E3C"/>
    <w:rsid w:val="00D216E0"/>
    <w:rsid w:val="00D21BF1"/>
    <w:rsid w:val="00D222EF"/>
    <w:rsid w:val="00D229AA"/>
    <w:rsid w:val="00D229D1"/>
    <w:rsid w:val="00D23035"/>
    <w:rsid w:val="00D23089"/>
    <w:rsid w:val="00D23729"/>
    <w:rsid w:val="00D245CD"/>
    <w:rsid w:val="00D2465A"/>
    <w:rsid w:val="00D24A13"/>
    <w:rsid w:val="00D24C9F"/>
    <w:rsid w:val="00D25653"/>
    <w:rsid w:val="00D26BE5"/>
    <w:rsid w:val="00D2738E"/>
    <w:rsid w:val="00D30553"/>
    <w:rsid w:val="00D308AD"/>
    <w:rsid w:val="00D30B42"/>
    <w:rsid w:val="00D30F33"/>
    <w:rsid w:val="00D30FE1"/>
    <w:rsid w:val="00D311DF"/>
    <w:rsid w:val="00D31D82"/>
    <w:rsid w:val="00D3224A"/>
    <w:rsid w:val="00D3240C"/>
    <w:rsid w:val="00D3249B"/>
    <w:rsid w:val="00D32D28"/>
    <w:rsid w:val="00D32F61"/>
    <w:rsid w:val="00D33A09"/>
    <w:rsid w:val="00D33C7F"/>
    <w:rsid w:val="00D33DD1"/>
    <w:rsid w:val="00D34325"/>
    <w:rsid w:val="00D34C0F"/>
    <w:rsid w:val="00D34C5D"/>
    <w:rsid w:val="00D35F26"/>
    <w:rsid w:val="00D3606B"/>
    <w:rsid w:val="00D36179"/>
    <w:rsid w:val="00D36A59"/>
    <w:rsid w:val="00D3716C"/>
    <w:rsid w:val="00D40246"/>
    <w:rsid w:val="00D402A9"/>
    <w:rsid w:val="00D402C6"/>
    <w:rsid w:val="00D40363"/>
    <w:rsid w:val="00D40CE0"/>
    <w:rsid w:val="00D40F33"/>
    <w:rsid w:val="00D4164A"/>
    <w:rsid w:val="00D41C52"/>
    <w:rsid w:val="00D41CA4"/>
    <w:rsid w:val="00D42004"/>
    <w:rsid w:val="00D42274"/>
    <w:rsid w:val="00D4236A"/>
    <w:rsid w:val="00D42D13"/>
    <w:rsid w:val="00D43022"/>
    <w:rsid w:val="00D43B84"/>
    <w:rsid w:val="00D43DD8"/>
    <w:rsid w:val="00D44404"/>
    <w:rsid w:val="00D446C6"/>
    <w:rsid w:val="00D44AFC"/>
    <w:rsid w:val="00D45051"/>
    <w:rsid w:val="00D4508B"/>
    <w:rsid w:val="00D45540"/>
    <w:rsid w:val="00D457E5"/>
    <w:rsid w:val="00D45B2B"/>
    <w:rsid w:val="00D45F5B"/>
    <w:rsid w:val="00D4641B"/>
    <w:rsid w:val="00D47305"/>
    <w:rsid w:val="00D479AF"/>
    <w:rsid w:val="00D47B6F"/>
    <w:rsid w:val="00D47D87"/>
    <w:rsid w:val="00D5023E"/>
    <w:rsid w:val="00D502CC"/>
    <w:rsid w:val="00D509E4"/>
    <w:rsid w:val="00D50A32"/>
    <w:rsid w:val="00D51A6D"/>
    <w:rsid w:val="00D51A7B"/>
    <w:rsid w:val="00D51BBA"/>
    <w:rsid w:val="00D52A1C"/>
    <w:rsid w:val="00D5310E"/>
    <w:rsid w:val="00D532D2"/>
    <w:rsid w:val="00D538FB"/>
    <w:rsid w:val="00D53981"/>
    <w:rsid w:val="00D539CD"/>
    <w:rsid w:val="00D540FC"/>
    <w:rsid w:val="00D54537"/>
    <w:rsid w:val="00D54845"/>
    <w:rsid w:val="00D55AAD"/>
    <w:rsid w:val="00D55F0D"/>
    <w:rsid w:val="00D55F1B"/>
    <w:rsid w:val="00D562E4"/>
    <w:rsid w:val="00D564D3"/>
    <w:rsid w:val="00D5692F"/>
    <w:rsid w:val="00D56A50"/>
    <w:rsid w:val="00D56EC7"/>
    <w:rsid w:val="00D57106"/>
    <w:rsid w:val="00D571A1"/>
    <w:rsid w:val="00D572A5"/>
    <w:rsid w:val="00D579E3"/>
    <w:rsid w:val="00D6006C"/>
    <w:rsid w:val="00D60328"/>
    <w:rsid w:val="00D60BA7"/>
    <w:rsid w:val="00D60C74"/>
    <w:rsid w:val="00D610F7"/>
    <w:rsid w:val="00D61BC9"/>
    <w:rsid w:val="00D61F02"/>
    <w:rsid w:val="00D62DFC"/>
    <w:rsid w:val="00D62F1C"/>
    <w:rsid w:val="00D6338B"/>
    <w:rsid w:val="00D63CF5"/>
    <w:rsid w:val="00D63D1F"/>
    <w:rsid w:val="00D6456D"/>
    <w:rsid w:val="00D64D29"/>
    <w:rsid w:val="00D64F8F"/>
    <w:rsid w:val="00D6559B"/>
    <w:rsid w:val="00D659E9"/>
    <w:rsid w:val="00D66063"/>
    <w:rsid w:val="00D66446"/>
    <w:rsid w:val="00D66455"/>
    <w:rsid w:val="00D66D7F"/>
    <w:rsid w:val="00D66D82"/>
    <w:rsid w:val="00D66F1D"/>
    <w:rsid w:val="00D66FF7"/>
    <w:rsid w:val="00D703E0"/>
    <w:rsid w:val="00D70AFF"/>
    <w:rsid w:val="00D71825"/>
    <w:rsid w:val="00D71D1A"/>
    <w:rsid w:val="00D71D90"/>
    <w:rsid w:val="00D71ECB"/>
    <w:rsid w:val="00D71FB4"/>
    <w:rsid w:val="00D72390"/>
    <w:rsid w:val="00D72993"/>
    <w:rsid w:val="00D72A47"/>
    <w:rsid w:val="00D731A2"/>
    <w:rsid w:val="00D732CF"/>
    <w:rsid w:val="00D732FC"/>
    <w:rsid w:val="00D73C3F"/>
    <w:rsid w:val="00D73C97"/>
    <w:rsid w:val="00D747DA"/>
    <w:rsid w:val="00D748D0"/>
    <w:rsid w:val="00D74AE6"/>
    <w:rsid w:val="00D74B38"/>
    <w:rsid w:val="00D75429"/>
    <w:rsid w:val="00D75FBD"/>
    <w:rsid w:val="00D75FFB"/>
    <w:rsid w:val="00D7736E"/>
    <w:rsid w:val="00D77475"/>
    <w:rsid w:val="00D7782C"/>
    <w:rsid w:val="00D77BBB"/>
    <w:rsid w:val="00D77FD9"/>
    <w:rsid w:val="00D803FD"/>
    <w:rsid w:val="00D808EB"/>
    <w:rsid w:val="00D8197A"/>
    <w:rsid w:val="00D819D2"/>
    <w:rsid w:val="00D8289A"/>
    <w:rsid w:val="00D83EBA"/>
    <w:rsid w:val="00D846F4"/>
    <w:rsid w:val="00D84777"/>
    <w:rsid w:val="00D84E3F"/>
    <w:rsid w:val="00D84F1C"/>
    <w:rsid w:val="00D8571D"/>
    <w:rsid w:val="00D85838"/>
    <w:rsid w:val="00D863E4"/>
    <w:rsid w:val="00D865B3"/>
    <w:rsid w:val="00D86AB0"/>
    <w:rsid w:val="00D87931"/>
    <w:rsid w:val="00D87DB5"/>
    <w:rsid w:val="00D87EF4"/>
    <w:rsid w:val="00D90173"/>
    <w:rsid w:val="00D905F8"/>
    <w:rsid w:val="00D92802"/>
    <w:rsid w:val="00D929DD"/>
    <w:rsid w:val="00D935D2"/>
    <w:rsid w:val="00D93658"/>
    <w:rsid w:val="00D93A31"/>
    <w:rsid w:val="00D93DDD"/>
    <w:rsid w:val="00D940E7"/>
    <w:rsid w:val="00D9466C"/>
    <w:rsid w:val="00D94782"/>
    <w:rsid w:val="00D94A07"/>
    <w:rsid w:val="00D95033"/>
    <w:rsid w:val="00D95362"/>
    <w:rsid w:val="00D95417"/>
    <w:rsid w:val="00D9558E"/>
    <w:rsid w:val="00D95EA5"/>
    <w:rsid w:val="00D95F88"/>
    <w:rsid w:val="00D966D3"/>
    <w:rsid w:val="00D973E4"/>
    <w:rsid w:val="00D97E9E"/>
    <w:rsid w:val="00D97F09"/>
    <w:rsid w:val="00DA0436"/>
    <w:rsid w:val="00DA0454"/>
    <w:rsid w:val="00DA07A3"/>
    <w:rsid w:val="00DA1164"/>
    <w:rsid w:val="00DA158C"/>
    <w:rsid w:val="00DA18C6"/>
    <w:rsid w:val="00DA19E2"/>
    <w:rsid w:val="00DA20C1"/>
    <w:rsid w:val="00DA2CA9"/>
    <w:rsid w:val="00DA2ECC"/>
    <w:rsid w:val="00DA372C"/>
    <w:rsid w:val="00DA3EA1"/>
    <w:rsid w:val="00DA412A"/>
    <w:rsid w:val="00DA45F3"/>
    <w:rsid w:val="00DA4744"/>
    <w:rsid w:val="00DA4FEE"/>
    <w:rsid w:val="00DA52D8"/>
    <w:rsid w:val="00DA53F7"/>
    <w:rsid w:val="00DA544B"/>
    <w:rsid w:val="00DA54DF"/>
    <w:rsid w:val="00DA5504"/>
    <w:rsid w:val="00DA5994"/>
    <w:rsid w:val="00DA5D61"/>
    <w:rsid w:val="00DA64AE"/>
    <w:rsid w:val="00DA65FC"/>
    <w:rsid w:val="00DA66BD"/>
    <w:rsid w:val="00DA69EC"/>
    <w:rsid w:val="00DA6D53"/>
    <w:rsid w:val="00DA6FAB"/>
    <w:rsid w:val="00DB0279"/>
    <w:rsid w:val="00DB057D"/>
    <w:rsid w:val="00DB05A9"/>
    <w:rsid w:val="00DB083E"/>
    <w:rsid w:val="00DB0A90"/>
    <w:rsid w:val="00DB1C37"/>
    <w:rsid w:val="00DB1CD9"/>
    <w:rsid w:val="00DB2CFD"/>
    <w:rsid w:val="00DB2F35"/>
    <w:rsid w:val="00DB310F"/>
    <w:rsid w:val="00DB44B8"/>
    <w:rsid w:val="00DB52F6"/>
    <w:rsid w:val="00DB5E8B"/>
    <w:rsid w:val="00DB63A3"/>
    <w:rsid w:val="00DB6471"/>
    <w:rsid w:val="00DB6EA4"/>
    <w:rsid w:val="00DB73B5"/>
    <w:rsid w:val="00DB7523"/>
    <w:rsid w:val="00DB7B5F"/>
    <w:rsid w:val="00DB7C27"/>
    <w:rsid w:val="00DC0003"/>
    <w:rsid w:val="00DC0196"/>
    <w:rsid w:val="00DC0A9F"/>
    <w:rsid w:val="00DC15E5"/>
    <w:rsid w:val="00DC1E83"/>
    <w:rsid w:val="00DC1F91"/>
    <w:rsid w:val="00DC2187"/>
    <w:rsid w:val="00DC27A8"/>
    <w:rsid w:val="00DC28A0"/>
    <w:rsid w:val="00DC2AB9"/>
    <w:rsid w:val="00DC2FBD"/>
    <w:rsid w:val="00DC38A2"/>
    <w:rsid w:val="00DC4382"/>
    <w:rsid w:val="00DC4557"/>
    <w:rsid w:val="00DC45DF"/>
    <w:rsid w:val="00DC46E8"/>
    <w:rsid w:val="00DC4A8C"/>
    <w:rsid w:val="00DC4F4C"/>
    <w:rsid w:val="00DC5013"/>
    <w:rsid w:val="00DC5484"/>
    <w:rsid w:val="00DC56C8"/>
    <w:rsid w:val="00DC5729"/>
    <w:rsid w:val="00DC58DF"/>
    <w:rsid w:val="00DC60E3"/>
    <w:rsid w:val="00DC6567"/>
    <w:rsid w:val="00DC685E"/>
    <w:rsid w:val="00DC6883"/>
    <w:rsid w:val="00DC6A51"/>
    <w:rsid w:val="00DC70D9"/>
    <w:rsid w:val="00DC76B6"/>
    <w:rsid w:val="00DC7C6A"/>
    <w:rsid w:val="00DD0072"/>
    <w:rsid w:val="00DD04E7"/>
    <w:rsid w:val="00DD086C"/>
    <w:rsid w:val="00DD0B1D"/>
    <w:rsid w:val="00DD0FDA"/>
    <w:rsid w:val="00DD19A9"/>
    <w:rsid w:val="00DD1A06"/>
    <w:rsid w:val="00DD1A9D"/>
    <w:rsid w:val="00DD1BBA"/>
    <w:rsid w:val="00DD21FE"/>
    <w:rsid w:val="00DD2263"/>
    <w:rsid w:val="00DD2800"/>
    <w:rsid w:val="00DD2DF6"/>
    <w:rsid w:val="00DD2E17"/>
    <w:rsid w:val="00DD2E32"/>
    <w:rsid w:val="00DD2FF9"/>
    <w:rsid w:val="00DD30CF"/>
    <w:rsid w:val="00DD3763"/>
    <w:rsid w:val="00DD38B7"/>
    <w:rsid w:val="00DD42C9"/>
    <w:rsid w:val="00DD5043"/>
    <w:rsid w:val="00DD5BE4"/>
    <w:rsid w:val="00DD63AD"/>
    <w:rsid w:val="00DD6A7B"/>
    <w:rsid w:val="00DD6EB3"/>
    <w:rsid w:val="00DD719E"/>
    <w:rsid w:val="00DD71C3"/>
    <w:rsid w:val="00DD7978"/>
    <w:rsid w:val="00DE0BE1"/>
    <w:rsid w:val="00DE124D"/>
    <w:rsid w:val="00DE14F0"/>
    <w:rsid w:val="00DE1928"/>
    <w:rsid w:val="00DE1AC7"/>
    <w:rsid w:val="00DE2376"/>
    <w:rsid w:val="00DE293B"/>
    <w:rsid w:val="00DE2C73"/>
    <w:rsid w:val="00DE2C7F"/>
    <w:rsid w:val="00DE31D5"/>
    <w:rsid w:val="00DE4146"/>
    <w:rsid w:val="00DE45E5"/>
    <w:rsid w:val="00DE4749"/>
    <w:rsid w:val="00DE4884"/>
    <w:rsid w:val="00DE4886"/>
    <w:rsid w:val="00DE48A0"/>
    <w:rsid w:val="00DE575A"/>
    <w:rsid w:val="00DE67F0"/>
    <w:rsid w:val="00DE6C10"/>
    <w:rsid w:val="00DE6CCC"/>
    <w:rsid w:val="00DE7521"/>
    <w:rsid w:val="00DF0297"/>
    <w:rsid w:val="00DF0778"/>
    <w:rsid w:val="00DF0B32"/>
    <w:rsid w:val="00DF0ED6"/>
    <w:rsid w:val="00DF10BF"/>
    <w:rsid w:val="00DF1818"/>
    <w:rsid w:val="00DF1FBB"/>
    <w:rsid w:val="00DF21AB"/>
    <w:rsid w:val="00DF23DE"/>
    <w:rsid w:val="00DF2935"/>
    <w:rsid w:val="00DF31CF"/>
    <w:rsid w:val="00DF3241"/>
    <w:rsid w:val="00DF38AE"/>
    <w:rsid w:val="00DF464C"/>
    <w:rsid w:val="00DF47AD"/>
    <w:rsid w:val="00DF4A5B"/>
    <w:rsid w:val="00DF4F92"/>
    <w:rsid w:val="00DF53AF"/>
    <w:rsid w:val="00DF5B4B"/>
    <w:rsid w:val="00DF5D6D"/>
    <w:rsid w:val="00DF6069"/>
    <w:rsid w:val="00DF6AF3"/>
    <w:rsid w:val="00DF6C55"/>
    <w:rsid w:val="00DF7215"/>
    <w:rsid w:val="00DF7DA8"/>
    <w:rsid w:val="00DF7EE1"/>
    <w:rsid w:val="00E0001D"/>
    <w:rsid w:val="00E0038B"/>
    <w:rsid w:val="00E0053D"/>
    <w:rsid w:val="00E00827"/>
    <w:rsid w:val="00E00F77"/>
    <w:rsid w:val="00E01139"/>
    <w:rsid w:val="00E01458"/>
    <w:rsid w:val="00E02497"/>
    <w:rsid w:val="00E02CA1"/>
    <w:rsid w:val="00E03270"/>
    <w:rsid w:val="00E036E8"/>
    <w:rsid w:val="00E037BC"/>
    <w:rsid w:val="00E03BF6"/>
    <w:rsid w:val="00E046BD"/>
    <w:rsid w:val="00E04DC9"/>
    <w:rsid w:val="00E05375"/>
    <w:rsid w:val="00E05B85"/>
    <w:rsid w:val="00E05E07"/>
    <w:rsid w:val="00E05EC9"/>
    <w:rsid w:val="00E074C5"/>
    <w:rsid w:val="00E07570"/>
    <w:rsid w:val="00E075C7"/>
    <w:rsid w:val="00E07F91"/>
    <w:rsid w:val="00E10173"/>
    <w:rsid w:val="00E107F1"/>
    <w:rsid w:val="00E12FDD"/>
    <w:rsid w:val="00E134D0"/>
    <w:rsid w:val="00E13778"/>
    <w:rsid w:val="00E1414C"/>
    <w:rsid w:val="00E14186"/>
    <w:rsid w:val="00E14C6B"/>
    <w:rsid w:val="00E14CE0"/>
    <w:rsid w:val="00E15684"/>
    <w:rsid w:val="00E15B8C"/>
    <w:rsid w:val="00E15CD5"/>
    <w:rsid w:val="00E1750A"/>
    <w:rsid w:val="00E2032C"/>
    <w:rsid w:val="00E20EF4"/>
    <w:rsid w:val="00E211BC"/>
    <w:rsid w:val="00E21928"/>
    <w:rsid w:val="00E21F64"/>
    <w:rsid w:val="00E22091"/>
    <w:rsid w:val="00E23E2B"/>
    <w:rsid w:val="00E2405F"/>
    <w:rsid w:val="00E24193"/>
    <w:rsid w:val="00E24B1F"/>
    <w:rsid w:val="00E24B5F"/>
    <w:rsid w:val="00E2570C"/>
    <w:rsid w:val="00E25C37"/>
    <w:rsid w:val="00E25D46"/>
    <w:rsid w:val="00E25ED9"/>
    <w:rsid w:val="00E25F1B"/>
    <w:rsid w:val="00E260A6"/>
    <w:rsid w:val="00E261F2"/>
    <w:rsid w:val="00E2638A"/>
    <w:rsid w:val="00E26570"/>
    <w:rsid w:val="00E265A5"/>
    <w:rsid w:val="00E2669C"/>
    <w:rsid w:val="00E2773C"/>
    <w:rsid w:val="00E27F6B"/>
    <w:rsid w:val="00E27F7A"/>
    <w:rsid w:val="00E27FF3"/>
    <w:rsid w:val="00E30C72"/>
    <w:rsid w:val="00E30E59"/>
    <w:rsid w:val="00E314F2"/>
    <w:rsid w:val="00E31FBA"/>
    <w:rsid w:val="00E3355D"/>
    <w:rsid w:val="00E336A2"/>
    <w:rsid w:val="00E33868"/>
    <w:rsid w:val="00E33A8B"/>
    <w:rsid w:val="00E33F16"/>
    <w:rsid w:val="00E34189"/>
    <w:rsid w:val="00E3522E"/>
    <w:rsid w:val="00E35584"/>
    <w:rsid w:val="00E35843"/>
    <w:rsid w:val="00E358C5"/>
    <w:rsid w:val="00E3599E"/>
    <w:rsid w:val="00E36103"/>
    <w:rsid w:val="00E36451"/>
    <w:rsid w:val="00E368B5"/>
    <w:rsid w:val="00E36B60"/>
    <w:rsid w:val="00E36C63"/>
    <w:rsid w:val="00E36E68"/>
    <w:rsid w:val="00E37410"/>
    <w:rsid w:val="00E374F6"/>
    <w:rsid w:val="00E37D94"/>
    <w:rsid w:val="00E37DD9"/>
    <w:rsid w:val="00E40039"/>
    <w:rsid w:val="00E4075A"/>
    <w:rsid w:val="00E40EB3"/>
    <w:rsid w:val="00E41CDB"/>
    <w:rsid w:val="00E41D07"/>
    <w:rsid w:val="00E43245"/>
    <w:rsid w:val="00E43457"/>
    <w:rsid w:val="00E4355C"/>
    <w:rsid w:val="00E45000"/>
    <w:rsid w:val="00E45091"/>
    <w:rsid w:val="00E4512E"/>
    <w:rsid w:val="00E45145"/>
    <w:rsid w:val="00E45670"/>
    <w:rsid w:val="00E458C2"/>
    <w:rsid w:val="00E463BC"/>
    <w:rsid w:val="00E478A8"/>
    <w:rsid w:val="00E47D4C"/>
    <w:rsid w:val="00E47FE4"/>
    <w:rsid w:val="00E5072E"/>
    <w:rsid w:val="00E50E09"/>
    <w:rsid w:val="00E512C6"/>
    <w:rsid w:val="00E51330"/>
    <w:rsid w:val="00E5156E"/>
    <w:rsid w:val="00E517C6"/>
    <w:rsid w:val="00E51BE3"/>
    <w:rsid w:val="00E51C21"/>
    <w:rsid w:val="00E5230B"/>
    <w:rsid w:val="00E52B1D"/>
    <w:rsid w:val="00E52F0D"/>
    <w:rsid w:val="00E54216"/>
    <w:rsid w:val="00E542B9"/>
    <w:rsid w:val="00E556A8"/>
    <w:rsid w:val="00E556F3"/>
    <w:rsid w:val="00E559E6"/>
    <w:rsid w:val="00E56293"/>
    <w:rsid w:val="00E56A30"/>
    <w:rsid w:val="00E56BC8"/>
    <w:rsid w:val="00E56DA3"/>
    <w:rsid w:val="00E56F56"/>
    <w:rsid w:val="00E6002F"/>
    <w:rsid w:val="00E6033C"/>
    <w:rsid w:val="00E6089A"/>
    <w:rsid w:val="00E608FD"/>
    <w:rsid w:val="00E6229E"/>
    <w:rsid w:val="00E62B2C"/>
    <w:rsid w:val="00E62C17"/>
    <w:rsid w:val="00E62D00"/>
    <w:rsid w:val="00E62E62"/>
    <w:rsid w:val="00E662FC"/>
    <w:rsid w:val="00E66DFC"/>
    <w:rsid w:val="00E67A53"/>
    <w:rsid w:val="00E701CA"/>
    <w:rsid w:val="00E705D6"/>
    <w:rsid w:val="00E70865"/>
    <w:rsid w:val="00E70B27"/>
    <w:rsid w:val="00E70CFB"/>
    <w:rsid w:val="00E70D13"/>
    <w:rsid w:val="00E71F34"/>
    <w:rsid w:val="00E73136"/>
    <w:rsid w:val="00E7324C"/>
    <w:rsid w:val="00E7342F"/>
    <w:rsid w:val="00E736C4"/>
    <w:rsid w:val="00E73B0E"/>
    <w:rsid w:val="00E73CBB"/>
    <w:rsid w:val="00E746BC"/>
    <w:rsid w:val="00E74949"/>
    <w:rsid w:val="00E74CF8"/>
    <w:rsid w:val="00E7579B"/>
    <w:rsid w:val="00E760B8"/>
    <w:rsid w:val="00E761D2"/>
    <w:rsid w:val="00E7684B"/>
    <w:rsid w:val="00E772D6"/>
    <w:rsid w:val="00E773DE"/>
    <w:rsid w:val="00E779AA"/>
    <w:rsid w:val="00E77A3C"/>
    <w:rsid w:val="00E77BD1"/>
    <w:rsid w:val="00E77CF8"/>
    <w:rsid w:val="00E8002C"/>
    <w:rsid w:val="00E80A47"/>
    <w:rsid w:val="00E815D1"/>
    <w:rsid w:val="00E841B7"/>
    <w:rsid w:val="00E84A09"/>
    <w:rsid w:val="00E84B36"/>
    <w:rsid w:val="00E84F99"/>
    <w:rsid w:val="00E858DD"/>
    <w:rsid w:val="00E85A21"/>
    <w:rsid w:val="00E85C5D"/>
    <w:rsid w:val="00E85E48"/>
    <w:rsid w:val="00E8622F"/>
    <w:rsid w:val="00E8631E"/>
    <w:rsid w:val="00E8735E"/>
    <w:rsid w:val="00E873A7"/>
    <w:rsid w:val="00E87795"/>
    <w:rsid w:val="00E91DAB"/>
    <w:rsid w:val="00E92E3A"/>
    <w:rsid w:val="00E92EEC"/>
    <w:rsid w:val="00E93560"/>
    <w:rsid w:val="00E93605"/>
    <w:rsid w:val="00E93C07"/>
    <w:rsid w:val="00E94B3A"/>
    <w:rsid w:val="00E94BD9"/>
    <w:rsid w:val="00E95423"/>
    <w:rsid w:val="00E962FC"/>
    <w:rsid w:val="00E963F0"/>
    <w:rsid w:val="00E96923"/>
    <w:rsid w:val="00E970F1"/>
    <w:rsid w:val="00E97461"/>
    <w:rsid w:val="00E975F8"/>
    <w:rsid w:val="00E97809"/>
    <w:rsid w:val="00E979A5"/>
    <w:rsid w:val="00E97A52"/>
    <w:rsid w:val="00E97E1E"/>
    <w:rsid w:val="00EA0CBF"/>
    <w:rsid w:val="00EA1372"/>
    <w:rsid w:val="00EA16D8"/>
    <w:rsid w:val="00EA177A"/>
    <w:rsid w:val="00EA1ADF"/>
    <w:rsid w:val="00EA1D58"/>
    <w:rsid w:val="00EA251D"/>
    <w:rsid w:val="00EA2881"/>
    <w:rsid w:val="00EA2C10"/>
    <w:rsid w:val="00EA2DBD"/>
    <w:rsid w:val="00EA340F"/>
    <w:rsid w:val="00EA3457"/>
    <w:rsid w:val="00EA354C"/>
    <w:rsid w:val="00EA36B7"/>
    <w:rsid w:val="00EA386C"/>
    <w:rsid w:val="00EA411D"/>
    <w:rsid w:val="00EA4847"/>
    <w:rsid w:val="00EA49C4"/>
    <w:rsid w:val="00EA4A20"/>
    <w:rsid w:val="00EA4ED9"/>
    <w:rsid w:val="00EA5DD7"/>
    <w:rsid w:val="00EA72D6"/>
    <w:rsid w:val="00EA74FF"/>
    <w:rsid w:val="00EA7638"/>
    <w:rsid w:val="00EA7B06"/>
    <w:rsid w:val="00EB008C"/>
    <w:rsid w:val="00EB0097"/>
    <w:rsid w:val="00EB01B2"/>
    <w:rsid w:val="00EB0F2A"/>
    <w:rsid w:val="00EB13D9"/>
    <w:rsid w:val="00EB14B5"/>
    <w:rsid w:val="00EB30A3"/>
    <w:rsid w:val="00EB3389"/>
    <w:rsid w:val="00EB4557"/>
    <w:rsid w:val="00EB4AA0"/>
    <w:rsid w:val="00EB5C8C"/>
    <w:rsid w:val="00EB643F"/>
    <w:rsid w:val="00EB64C3"/>
    <w:rsid w:val="00EB6A8A"/>
    <w:rsid w:val="00EB6D41"/>
    <w:rsid w:val="00EB6FC8"/>
    <w:rsid w:val="00EC0A8C"/>
    <w:rsid w:val="00EC0F1D"/>
    <w:rsid w:val="00EC113F"/>
    <w:rsid w:val="00EC173F"/>
    <w:rsid w:val="00EC248D"/>
    <w:rsid w:val="00EC2D25"/>
    <w:rsid w:val="00EC2F41"/>
    <w:rsid w:val="00EC3883"/>
    <w:rsid w:val="00EC418B"/>
    <w:rsid w:val="00EC42CB"/>
    <w:rsid w:val="00EC4EB7"/>
    <w:rsid w:val="00EC4F77"/>
    <w:rsid w:val="00EC4F82"/>
    <w:rsid w:val="00EC50F2"/>
    <w:rsid w:val="00EC5BE4"/>
    <w:rsid w:val="00EC6019"/>
    <w:rsid w:val="00EC6DD0"/>
    <w:rsid w:val="00EC7290"/>
    <w:rsid w:val="00EC7425"/>
    <w:rsid w:val="00EC794F"/>
    <w:rsid w:val="00ED06B3"/>
    <w:rsid w:val="00ED0C82"/>
    <w:rsid w:val="00ED0E9B"/>
    <w:rsid w:val="00ED1127"/>
    <w:rsid w:val="00ED13F4"/>
    <w:rsid w:val="00ED2402"/>
    <w:rsid w:val="00ED2AA8"/>
    <w:rsid w:val="00ED2B3F"/>
    <w:rsid w:val="00ED2F09"/>
    <w:rsid w:val="00ED3369"/>
    <w:rsid w:val="00ED3433"/>
    <w:rsid w:val="00ED3ADE"/>
    <w:rsid w:val="00ED3EDE"/>
    <w:rsid w:val="00ED45F7"/>
    <w:rsid w:val="00ED5F2B"/>
    <w:rsid w:val="00ED6CB7"/>
    <w:rsid w:val="00ED7249"/>
    <w:rsid w:val="00ED7BEB"/>
    <w:rsid w:val="00ED7BEC"/>
    <w:rsid w:val="00EE0C31"/>
    <w:rsid w:val="00EE0D85"/>
    <w:rsid w:val="00EE16BC"/>
    <w:rsid w:val="00EE245E"/>
    <w:rsid w:val="00EE2B34"/>
    <w:rsid w:val="00EE3244"/>
    <w:rsid w:val="00EE384A"/>
    <w:rsid w:val="00EE3BF3"/>
    <w:rsid w:val="00EE3EA9"/>
    <w:rsid w:val="00EE4823"/>
    <w:rsid w:val="00EE4DAA"/>
    <w:rsid w:val="00EE5FD7"/>
    <w:rsid w:val="00EE60C9"/>
    <w:rsid w:val="00EE626C"/>
    <w:rsid w:val="00EE63FE"/>
    <w:rsid w:val="00EE650B"/>
    <w:rsid w:val="00EE676C"/>
    <w:rsid w:val="00EE6BCB"/>
    <w:rsid w:val="00EE71B7"/>
    <w:rsid w:val="00EE7713"/>
    <w:rsid w:val="00EE7AF6"/>
    <w:rsid w:val="00EE7B37"/>
    <w:rsid w:val="00EE7C83"/>
    <w:rsid w:val="00EF0708"/>
    <w:rsid w:val="00EF0A0C"/>
    <w:rsid w:val="00EF0DEE"/>
    <w:rsid w:val="00EF17A8"/>
    <w:rsid w:val="00EF1F7A"/>
    <w:rsid w:val="00EF20ED"/>
    <w:rsid w:val="00EF27CE"/>
    <w:rsid w:val="00EF2B44"/>
    <w:rsid w:val="00EF3400"/>
    <w:rsid w:val="00EF4894"/>
    <w:rsid w:val="00EF5660"/>
    <w:rsid w:val="00EF5F81"/>
    <w:rsid w:val="00EF629F"/>
    <w:rsid w:val="00EF6933"/>
    <w:rsid w:val="00EF6B98"/>
    <w:rsid w:val="00EF6B9A"/>
    <w:rsid w:val="00EF7547"/>
    <w:rsid w:val="00EF7A87"/>
    <w:rsid w:val="00EF7A8E"/>
    <w:rsid w:val="00EF7E53"/>
    <w:rsid w:val="00F004B3"/>
    <w:rsid w:val="00F00824"/>
    <w:rsid w:val="00F00D3E"/>
    <w:rsid w:val="00F00DEA"/>
    <w:rsid w:val="00F00EF8"/>
    <w:rsid w:val="00F01494"/>
    <w:rsid w:val="00F02FD8"/>
    <w:rsid w:val="00F0310D"/>
    <w:rsid w:val="00F03112"/>
    <w:rsid w:val="00F03180"/>
    <w:rsid w:val="00F0331E"/>
    <w:rsid w:val="00F0363D"/>
    <w:rsid w:val="00F03E3C"/>
    <w:rsid w:val="00F0484B"/>
    <w:rsid w:val="00F053F5"/>
    <w:rsid w:val="00F05C0C"/>
    <w:rsid w:val="00F05DF4"/>
    <w:rsid w:val="00F0637C"/>
    <w:rsid w:val="00F0761B"/>
    <w:rsid w:val="00F11481"/>
    <w:rsid w:val="00F119E7"/>
    <w:rsid w:val="00F11C05"/>
    <w:rsid w:val="00F12113"/>
    <w:rsid w:val="00F12954"/>
    <w:rsid w:val="00F12AC7"/>
    <w:rsid w:val="00F140AE"/>
    <w:rsid w:val="00F14974"/>
    <w:rsid w:val="00F14EDC"/>
    <w:rsid w:val="00F15608"/>
    <w:rsid w:val="00F15F6F"/>
    <w:rsid w:val="00F16995"/>
    <w:rsid w:val="00F16D0D"/>
    <w:rsid w:val="00F1702B"/>
    <w:rsid w:val="00F175A0"/>
    <w:rsid w:val="00F20211"/>
    <w:rsid w:val="00F20222"/>
    <w:rsid w:val="00F203B2"/>
    <w:rsid w:val="00F2119B"/>
    <w:rsid w:val="00F21458"/>
    <w:rsid w:val="00F21878"/>
    <w:rsid w:val="00F218E1"/>
    <w:rsid w:val="00F222F4"/>
    <w:rsid w:val="00F234DE"/>
    <w:rsid w:val="00F23B74"/>
    <w:rsid w:val="00F23CDB"/>
    <w:rsid w:val="00F23DF3"/>
    <w:rsid w:val="00F24686"/>
    <w:rsid w:val="00F2469F"/>
    <w:rsid w:val="00F254AC"/>
    <w:rsid w:val="00F25664"/>
    <w:rsid w:val="00F258CA"/>
    <w:rsid w:val="00F25A65"/>
    <w:rsid w:val="00F260C2"/>
    <w:rsid w:val="00F262C8"/>
    <w:rsid w:val="00F26347"/>
    <w:rsid w:val="00F27129"/>
    <w:rsid w:val="00F2715A"/>
    <w:rsid w:val="00F27716"/>
    <w:rsid w:val="00F27EC3"/>
    <w:rsid w:val="00F304D1"/>
    <w:rsid w:val="00F31452"/>
    <w:rsid w:val="00F316F5"/>
    <w:rsid w:val="00F3192F"/>
    <w:rsid w:val="00F31FE2"/>
    <w:rsid w:val="00F32B32"/>
    <w:rsid w:val="00F32C65"/>
    <w:rsid w:val="00F33442"/>
    <w:rsid w:val="00F33F0A"/>
    <w:rsid w:val="00F34359"/>
    <w:rsid w:val="00F34500"/>
    <w:rsid w:val="00F34564"/>
    <w:rsid w:val="00F34580"/>
    <w:rsid w:val="00F350F9"/>
    <w:rsid w:val="00F3520A"/>
    <w:rsid w:val="00F35211"/>
    <w:rsid w:val="00F35F44"/>
    <w:rsid w:val="00F362BC"/>
    <w:rsid w:val="00F36E1A"/>
    <w:rsid w:val="00F37CF9"/>
    <w:rsid w:val="00F37D90"/>
    <w:rsid w:val="00F40A4B"/>
    <w:rsid w:val="00F40EE1"/>
    <w:rsid w:val="00F41025"/>
    <w:rsid w:val="00F41111"/>
    <w:rsid w:val="00F4140C"/>
    <w:rsid w:val="00F41B56"/>
    <w:rsid w:val="00F41CE5"/>
    <w:rsid w:val="00F421F4"/>
    <w:rsid w:val="00F42269"/>
    <w:rsid w:val="00F43707"/>
    <w:rsid w:val="00F444C1"/>
    <w:rsid w:val="00F4450C"/>
    <w:rsid w:val="00F4455B"/>
    <w:rsid w:val="00F44C62"/>
    <w:rsid w:val="00F44C94"/>
    <w:rsid w:val="00F45E61"/>
    <w:rsid w:val="00F460D6"/>
    <w:rsid w:val="00F46B97"/>
    <w:rsid w:val="00F47390"/>
    <w:rsid w:val="00F47403"/>
    <w:rsid w:val="00F4745C"/>
    <w:rsid w:val="00F47B67"/>
    <w:rsid w:val="00F50E52"/>
    <w:rsid w:val="00F518DB"/>
    <w:rsid w:val="00F51905"/>
    <w:rsid w:val="00F51FF7"/>
    <w:rsid w:val="00F52712"/>
    <w:rsid w:val="00F5283D"/>
    <w:rsid w:val="00F52B65"/>
    <w:rsid w:val="00F52B89"/>
    <w:rsid w:val="00F5355B"/>
    <w:rsid w:val="00F55D8D"/>
    <w:rsid w:val="00F56D0C"/>
    <w:rsid w:val="00F5773A"/>
    <w:rsid w:val="00F57B57"/>
    <w:rsid w:val="00F6040D"/>
    <w:rsid w:val="00F608B6"/>
    <w:rsid w:val="00F60D59"/>
    <w:rsid w:val="00F6117D"/>
    <w:rsid w:val="00F612C1"/>
    <w:rsid w:val="00F6331B"/>
    <w:rsid w:val="00F635D5"/>
    <w:rsid w:val="00F64906"/>
    <w:rsid w:val="00F64D76"/>
    <w:rsid w:val="00F655C2"/>
    <w:rsid w:val="00F65A67"/>
    <w:rsid w:val="00F65B07"/>
    <w:rsid w:val="00F67D5E"/>
    <w:rsid w:val="00F70A96"/>
    <w:rsid w:val="00F719E9"/>
    <w:rsid w:val="00F72F3B"/>
    <w:rsid w:val="00F7325F"/>
    <w:rsid w:val="00F734D1"/>
    <w:rsid w:val="00F73509"/>
    <w:rsid w:val="00F735EC"/>
    <w:rsid w:val="00F739D0"/>
    <w:rsid w:val="00F74141"/>
    <w:rsid w:val="00F74981"/>
    <w:rsid w:val="00F75DF0"/>
    <w:rsid w:val="00F76C89"/>
    <w:rsid w:val="00F76D49"/>
    <w:rsid w:val="00F76EA7"/>
    <w:rsid w:val="00F77E1E"/>
    <w:rsid w:val="00F77E20"/>
    <w:rsid w:val="00F80440"/>
    <w:rsid w:val="00F80701"/>
    <w:rsid w:val="00F80BD4"/>
    <w:rsid w:val="00F813F3"/>
    <w:rsid w:val="00F81FD4"/>
    <w:rsid w:val="00F8206A"/>
    <w:rsid w:val="00F82437"/>
    <w:rsid w:val="00F824B7"/>
    <w:rsid w:val="00F82915"/>
    <w:rsid w:val="00F82AF5"/>
    <w:rsid w:val="00F83864"/>
    <w:rsid w:val="00F843E4"/>
    <w:rsid w:val="00F84572"/>
    <w:rsid w:val="00F84E1A"/>
    <w:rsid w:val="00F85E87"/>
    <w:rsid w:val="00F8650F"/>
    <w:rsid w:val="00F86517"/>
    <w:rsid w:val="00F87DFC"/>
    <w:rsid w:val="00F90B36"/>
    <w:rsid w:val="00F91E6A"/>
    <w:rsid w:val="00F92270"/>
    <w:rsid w:val="00F93B47"/>
    <w:rsid w:val="00F93D6E"/>
    <w:rsid w:val="00F93EC1"/>
    <w:rsid w:val="00F94124"/>
    <w:rsid w:val="00F94571"/>
    <w:rsid w:val="00F9478E"/>
    <w:rsid w:val="00F953CF"/>
    <w:rsid w:val="00F95834"/>
    <w:rsid w:val="00F96502"/>
    <w:rsid w:val="00F96635"/>
    <w:rsid w:val="00F9696B"/>
    <w:rsid w:val="00F9741F"/>
    <w:rsid w:val="00F975FD"/>
    <w:rsid w:val="00F97B26"/>
    <w:rsid w:val="00F97B7C"/>
    <w:rsid w:val="00F97FDA"/>
    <w:rsid w:val="00FA0BCA"/>
    <w:rsid w:val="00FA0C8C"/>
    <w:rsid w:val="00FA1B10"/>
    <w:rsid w:val="00FA1DB2"/>
    <w:rsid w:val="00FA22BB"/>
    <w:rsid w:val="00FA26F1"/>
    <w:rsid w:val="00FA2A8A"/>
    <w:rsid w:val="00FA3B60"/>
    <w:rsid w:val="00FA3CCD"/>
    <w:rsid w:val="00FA4236"/>
    <w:rsid w:val="00FA436B"/>
    <w:rsid w:val="00FA438C"/>
    <w:rsid w:val="00FA43FB"/>
    <w:rsid w:val="00FA4AEB"/>
    <w:rsid w:val="00FA4F2F"/>
    <w:rsid w:val="00FA534B"/>
    <w:rsid w:val="00FA5761"/>
    <w:rsid w:val="00FA5E46"/>
    <w:rsid w:val="00FA5EE8"/>
    <w:rsid w:val="00FA6022"/>
    <w:rsid w:val="00FA6499"/>
    <w:rsid w:val="00FA6AB3"/>
    <w:rsid w:val="00FA6DE1"/>
    <w:rsid w:val="00FA7DE8"/>
    <w:rsid w:val="00FB01D1"/>
    <w:rsid w:val="00FB04DE"/>
    <w:rsid w:val="00FB0538"/>
    <w:rsid w:val="00FB0590"/>
    <w:rsid w:val="00FB08D5"/>
    <w:rsid w:val="00FB0C9A"/>
    <w:rsid w:val="00FB134C"/>
    <w:rsid w:val="00FB13E3"/>
    <w:rsid w:val="00FB15A9"/>
    <w:rsid w:val="00FB1FBF"/>
    <w:rsid w:val="00FB1FDE"/>
    <w:rsid w:val="00FB2288"/>
    <w:rsid w:val="00FB2491"/>
    <w:rsid w:val="00FB3864"/>
    <w:rsid w:val="00FB38B2"/>
    <w:rsid w:val="00FB3DA3"/>
    <w:rsid w:val="00FB45A2"/>
    <w:rsid w:val="00FB488F"/>
    <w:rsid w:val="00FB50A0"/>
    <w:rsid w:val="00FB52E0"/>
    <w:rsid w:val="00FB5857"/>
    <w:rsid w:val="00FB5AF4"/>
    <w:rsid w:val="00FB5E53"/>
    <w:rsid w:val="00FB5FA2"/>
    <w:rsid w:val="00FB61F5"/>
    <w:rsid w:val="00FB655C"/>
    <w:rsid w:val="00FB6649"/>
    <w:rsid w:val="00FB6BDB"/>
    <w:rsid w:val="00FB6F9C"/>
    <w:rsid w:val="00FB700C"/>
    <w:rsid w:val="00FB72D2"/>
    <w:rsid w:val="00FB794B"/>
    <w:rsid w:val="00FB7AF1"/>
    <w:rsid w:val="00FC0044"/>
    <w:rsid w:val="00FC0A84"/>
    <w:rsid w:val="00FC1271"/>
    <w:rsid w:val="00FC1326"/>
    <w:rsid w:val="00FC1967"/>
    <w:rsid w:val="00FC1CF8"/>
    <w:rsid w:val="00FC207E"/>
    <w:rsid w:val="00FC2088"/>
    <w:rsid w:val="00FC2291"/>
    <w:rsid w:val="00FC23D9"/>
    <w:rsid w:val="00FC2C86"/>
    <w:rsid w:val="00FC2F0E"/>
    <w:rsid w:val="00FC4397"/>
    <w:rsid w:val="00FC4EAF"/>
    <w:rsid w:val="00FC507E"/>
    <w:rsid w:val="00FC569F"/>
    <w:rsid w:val="00FC6309"/>
    <w:rsid w:val="00FC6347"/>
    <w:rsid w:val="00FC6A55"/>
    <w:rsid w:val="00FC704D"/>
    <w:rsid w:val="00FC76F9"/>
    <w:rsid w:val="00FC7AAD"/>
    <w:rsid w:val="00FC7C2F"/>
    <w:rsid w:val="00FC7FA8"/>
    <w:rsid w:val="00FD0399"/>
    <w:rsid w:val="00FD0BF5"/>
    <w:rsid w:val="00FD23A3"/>
    <w:rsid w:val="00FD240F"/>
    <w:rsid w:val="00FD259D"/>
    <w:rsid w:val="00FD265B"/>
    <w:rsid w:val="00FD2D4C"/>
    <w:rsid w:val="00FD3077"/>
    <w:rsid w:val="00FD3F3A"/>
    <w:rsid w:val="00FD4D27"/>
    <w:rsid w:val="00FD5725"/>
    <w:rsid w:val="00FD5A0E"/>
    <w:rsid w:val="00FD5C6A"/>
    <w:rsid w:val="00FD5FD4"/>
    <w:rsid w:val="00FD68BF"/>
    <w:rsid w:val="00FD737A"/>
    <w:rsid w:val="00FD79A9"/>
    <w:rsid w:val="00FE0012"/>
    <w:rsid w:val="00FE0041"/>
    <w:rsid w:val="00FE033B"/>
    <w:rsid w:val="00FE0412"/>
    <w:rsid w:val="00FE0B02"/>
    <w:rsid w:val="00FE0E5E"/>
    <w:rsid w:val="00FE1B8C"/>
    <w:rsid w:val="00FE1CBD"/>
    <w:rsid w:val="00FE2645"/>
    <w:rsid w:val="00FE2B92"/>
    <w:rsid w:val="00FE2CE7"/>
    <w:rsid w:val="00FE31DE"/>
    <w:rsid w:val="00FE3FCF"/>
    <w:rsid w:val="00FE4A4C"/>
    <w:rsid w:val="00FE4E79"/>
    <w:rsid w:val="00FE69DD"/>
    <w:rsid w:val="00FE6CE5"/>
    <w:rsid w:val="00FE7E83"/>
    <w:rsid w:val="00FF022E"/>
    <w:rsid w:val="00FF0393"/>
    <w:rsid w:val="00FF11BF"/>
    <w:rsid w:val="00FF125B"/>
    <w:rsid w:val="00FF1544"/>
    <w:rsid w:val="00FF1575"/>
    <w:rsid w:val="00FF1673"/>
    <w:rsid w:val="00FF1C9C"/>
    <w:rsid w:val="00FF200C"/>
    <w:rsid w:val="00FF25A4"/>
    <w:rsid w:val="00FF2BC4"/>
    <w:rsid w:val="00FF2C3B"/>
    <w:rsid w:val="00FF329A"/>
    <w:rsid w:val="00FF32D0"/>
    <w:rsid w:val="00FF3755"/>
    <w:rsid w:val="00FF3A47"/>
    <w:rsid w:val="00FF3BA2"/>
    <w:rsid w:val="00FF59EF"/>
    <w:rsid w:val="00FF610D"/>
    <w:rsid w:val="00FF6238"/>
    <w:rsid w:val="00FF63F0"/>
    <w:rsid w:val="00FF7727"/>
    <w:rsid w:val="00FF7D3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qFormat="1"/>
    <w:lsdException w:name="footnote reference" w:uiPriority="99"/>
    <w:lsdException w:name="endnote text" w:uiPriority="99"/>
    <w:lsdException w:name="Title" w:qFormat="1"/>
    <w:lsdException w:name="Default Paragraph Font" w:uiPriority="1"/>
    <w:lsdException w:name="Subtitle" w:qFormat="1"/>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501DC8"/>
    <w:pPr>
      <w:overflowPunct w:val="0"/>
      <w:autoSpaceDE w:val="0"/>
      <w:autoSpaceDN w:val="0"/>
      <w:adjustRightInd w:val="0"/>
      <w:textAlignment w:val="baseline"/>
    </w:pPr>
  </w:style>
  <w:style w:type="paragraph" w:styleId="Nadpis1">
    <w:name w:val="heading 1"/>
    <w:aliases w:val="h1,H1,Nadpis 1-Nadpis smlouvy,Základní kapitola,V_Head1,Záhlaví 1,0Überschrift 1,1Überschrift 1,2Überschrift 1,3Überschrift 1,4Überschrift 1,5Überschrift 1,6Überschrift 1,7Überschrift 1,8Überschrift 1,9Überschrift 1,10Überschrift 1,Clanek1"/>
    <w:basedOn w:val="Normln"/>
    <w:next w:val="Normln"/>
    <w:link w:val="Nadpis1Char"/>
    <w:uiPriority w:val="9"/>
    <w:qFormat/>
    <w:rsid w:val="000816D8"/>
    <w:pPr>
      <w:keepNext/>
      <w:pageBreakBefore/>
      <w:numPr>
        <w:numId w:val="1"/>
      </w:numPr>
      <w:overflowPunct/>
      <w:autoSpaceDE/>
      <w:autoSpaceDN/>
      <w:adjustRightInd/>
      <w:spacing w:before="120" w:after="240" w:line="276" w:lineRule="auto"/>
      <w:ind w:left="432"/>
      <w:jc w:val="both"/>
      <w:textAlignment w:val="auto"/>
      <w:outlineLvl w:val="0"/>
    </w:pPr>
    <w:rPr>
      <w:rFonts w:ascii="Calibri" w:hAnsi="Calibri"/>
      <w:b/>
      <w:bCs/>
      <w:smallCaps/>
      <w:kern w:val="32"/>
      <w:sz w:val="28"/>
      <w:szCs w:val="32"/>
      <w:lang w:val="x-none" w:eastAsia="x-none"/>
    </w:rPr>
  </w:style>
  <w:style w:type="paragraph" w:styleId="Nadpis2">
    <w:name w:val="heading 2"/>
    <w:basedOn w:val="Normln"/>
    <w:next w:val="Normln"/>
    <w:link w:val="Nadpis2Char"/>
    <w:qFormat/>
    <w:rsid w:val="00EF5F81"/>
    <w:pPr>
      <w:keepNext/>
      <w:numPr>
        <w:ilvl w:val="1"/>
        <w:numId w:val="1"/>
      </w:numPr>
      <w:overflowPunct/>
      <w:autoSpaceDE/>
      <w:autoSpaceDN/>
      <w:adjustRightInd/>
      <w:spacing w:before="240" w:after="240" w:line="276" w:lineRule="auto"/>
      <w:jc w:val="both"/>
      <w:textAlignment w:val="auto"/>
      <w:outlineLvl w:val="1"/>
    </w:pPr>
    <w:rPr>
      <w:rFonts w:ascii="Calibri" w:hAnsi="Calibri"/>
      <w:b/>
      <w:bCs/>
      <w:iCs/>
      <w:sz w:val="26"/>
      <w:szCs w:val="28"/>
      <w:lang w:val="x-none" w:eastAsia="x-none"/>
    </w:rPr>
  </w:style>
  <w:style w:type="paragraph" w:styleId="Nadpis3">
    <w:name w:val="heading 3"/>
    <w:basedOn w:val="Normln"/>
    <w:next w:val="Normln"/>
    <w:link w:val="Nadpis3Char"/>
    <w:uiPriority w:val="9"/>
    <w:qFormat/>
    <w:rsid w:val="00EA3457"/>
    <w:pPr>
      <w:keepNext/>
      <w:keepLines/>
      <w:numPr>
        <w:ilvl w:val="2"/>
        <w:numId w:val="1"/>
      </w:numPr>
      <w:overflowPunct/>
      <w:autoSpaceDE/>
      <w:autoSpaceDN/>
      <w:adjustRightInd/>
      <w:spacing w:before="240" w:after="240" w:line="276" w:lineRule="auto"/>
      <w:jc w:val="both"/>
      <w:textAlignment w:val="auto"/>
      <w:outlineLvl w:val="2"/>
    </w:pPr>
    <w:rPr>
      <w:rFonts w:ascii="Calibri" w:hAnsi="Calibri"/>
      <w:b/>
      <w:bCs/>
      <w:color w:val="365F91"/>
      <w:sz w:val="24"/>
      <w:lang w:val="x-none" w:eastAsia="x-none"/>
    </w:rPr>
  </w:style>
  <w:style w:type="paragraph" w:styleId="Nadpis4">
    <w:name w:val="heading 4"/>
    <w:basedOn w:val="Normln"/>
    <w:next w:val="Normln"/>
    <w:link w:val="Nadpis4Char"/>
    <w:uiPriority w:val="9"/>
    <w:qFormat/>
    <w:rsid w:val="00B53D79"/>
    <w:pPr>
      <w:keepNext/>
      <w:keepLines/>
      <w:numPr>
        <w:ilvl w:val="3"/>
        <w:numId w:val="1"/>
      </w:numPr>
      <w:overflowPunct/>
      <w:autoSpaceDE/>
      <w:autoSpaceDN/>
      <w:adjustRightInd/>
      <w:spacing w:before="360" w:after="120" w:line="276" w:lineRule="auto"/>
      <w:jc w:val="both"/>
      <w:textAlignment w:val="auto"/>
      <w:outlineLvl w:val="3"/>
    </w:pPr>
    <w:rPr>
      <w:rFonts w:ascii="Calibri" w:hAnsi="Calibri"/>
      <w:b/>
      <w:bCs/>
      <w:i/>
      <w:iCs/>
      <w:sz w:val="24"/>
      <w:lang w:val="x-none" w:eastAsia="x-none"/>
    </w:rPr>
  </w:style>
  <w:style w:type="paragraph" w:styleId="Nadpis5">
    <w:name w:val="heading 5"/>
    <w:basedOn w:val="Normln"/>
    <w:next w:val="Normln"/>
    <w:link w:val="Nadpis5Char"/>
    <w:uiPriority w:val="9"/>
    <w:qFormat/>
    <w:rsid w:val="008F72F4"/>
    <w:pPr>
      <w:keepNext/>
      <w:keepLines/>
      <w:numPr>
        <w:ilvl w:val="4"/>
        <w:numId w:val="1"/>
      </w:numPr>
      <w:overflowPunct/>
      <w:autoSpaceDE/>
      <w:autoSpaceDN/>
      <w:adjustRightInd/>
      <w:spacing w:before="200" w:after="120" w:line="276" w:lineRule="auto"/>
      <w:jc w:val="both"/>
      <w:textAlignment w:val="auto"/>
      <w:outlineLvl w:val="4"/>
    </w:pPr>
    <w:rPr>
      <w:rFonts w:ascii="Calibri" w:hAnsi="Calibri"/>
      <w:color w:val="365F91"/>
      <w:sz w:val="24"/>
      <w:lang w:val="x-none" w:eastAsia="x-none"/>
    </w:rPr>
  </w:style>
  <w:style w:type="paragraph" w:styleId="Nadpis6">
    <w:name w:val="heading 6"/>
    <w:basedOn w:val="Normln"/>
    <w:next w:val="Normln"/>
    <w:link w:val="Nadpis6Char"/>
    <w:uiPriority w:val="9"/>
    <w:qFormat/>
    <w:rsid w:val="00F03E3C"/>
    <w:pPr>
      <w:keepNext/>
      <w:keepLines/>
      <w:numPr>
        <w:ilvl w:val="5"/>
        <w:numId w:val="1"/>
      </w:numPr>
      <w:overflowPunct/>
      <w:autoSpaceDE/>
      <w:autoSpaceDN/>
      <w:adjustRightInd/>
      <w:spacing w:before="200" w:line="276" w:lineRule="auto"/>
      <w:jc w:val="both"/>
      <w:textAlignment w:val="auto"/>
      <w:outlineLvl w:val="5"/>
    </w:pPr>
    <w:rPr>
      <w:rFonts w:ascii="Cambria" w:hAnsi="Cambria"/>
      <w:i/>
      <w:iCs/>
      <w:color w:val="243F60"/>
      <w:sz w:val="24"/>
      <w:lang w:val="x-none" w:eastAsia="x-none"/>
    </w:rPr>
  </w:style>
  <w:style w:type="paragraph" w:styleId="Nadpis7">
    <w:name w:val="heading 7"/>
    <w:basedOn w:val="Normln"/>
    <w:next w:val="Normln"/>
    <w:link w:val="Nadpis7Char"/>
    <w:uiPriority w:val="9"/>
    <w:qFormat/>
    <w:rsid w:val="00F03E3C"/>
    <w:pPr>
      <w:keepNext/>
      <w:keepLines/>
      <w:numPr>
        <w:ilvl w:val="6"/>
        <w:numId w:val="1"/>
      </w:numPr>
      <w:overflowPunct/>
      <w:autoSpaceDE/>
      <w:autoSpaceDN/>
      <w:adjustRightInd/>
      <w:spacing w:before="200" w:line="276" w:lineRule="auto"/>
      <w:jc w:val="both"/>
      <w:textAlignment w:val="auto"/>
      <w:outlineLvl w:val="6"/>
    </w:pPr>
    <w:rPr>
      <w:rFonts w:ascii="Cambria" w:hAnsi="Cambria"/>
      <w:i/>
      <w:iCs/>
      <w:color w:val="404040"/>
      <w:sz w:val="24"/>
      <w:lang w:val="x-none" w:eastAsia="x-none"/>
    </w:rPr>
  </w:style>
  <w:style w:type="paragraph" w:styleId="Nadpis8">
    <w:name w:val="heading 8"/>
    <w:basedOn w:val="Normln"/>
    <w:next w:val="Normln"/>
    <w:link w:val="Nadpis8Char"/>
    <w:uiPriority w:val="9"/>
    <w:qFormat/>
    <w:rsid w:val="00F03E3C"/>
    <w:pPr>
      <w:keepNext/>
      <w:keepLines/>
      <w:numPr>
        <w:ilvl w:val="7"/>
        <w:numId w:val="1"/>
      </w:numPr>
      <w:overflowPunct/>
      <w:autoSpaceDE/>
      <w:autoSpaceDN/>
      <w:adjustRightInd/>
      <w:spacing w:before="200" w:line="276" w:lineRule="auto"/>
      <w:jc w:val="both"/>
      <w:textAlignment w:val="auto"/>
      <w:outlineLvl w:val="7"/>
    </w:pPr>
    <w:rPr>
      <w:rFonts w:ascii="Cambria" w:hAnsi="Cambria"/>
      <w:color w:val="404040"/>
      <w:lang w:val="x-none" w:eastAsia="x-none"/>
    </w:rPr>
  </w:style>
  <w:style w:type="paragraph" w:styleId="Nadpis9">
    <w:name w:val="heading 9"/>
    <w:basedOn w:val="Normln"/>
    <w:next w:val="Normln"/>
    <w:link w:val="Nadpis9Char"/>
    <w:uiPriority w:val="9"/>
    <w:qFormat/>
    <w:rsid w:val="00F03E3C"/>
    <w:pPr>
      <w:keepNext/>
      <w:keepLines/>
      <w:numPr>
        <w:ilvl w:val="8"/>
        <w:numId w:val="1"/>
      </w:numPr>
      <w:overflowPunct/>
      <w:autoSpaceDE/>
      <w:autoSpaceDN/>
      <w:adjustRightInd/>
      <w:spacing w:before="200" w:line="276" w:lineRule="auto"/>
      <w:jc w:val="both"/>
      <w:textAlignment w:val="auto"/>
      <w:outlineLvl w:val="8"/>
    </w:pPr>
    <w:rPr>
      <w:rFonts w:ascii="Cambria" w:hAnsi="Cambria"/>
      <w:i/>
      <w:iCs/>
      <w:color w:val="404040"/>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Nadpis 1-Nadpis smlouvy Char,Základní kapitola Char,V_Head1 Char,Záhlaví 1 Char,0Überschrift 1 Char,1Überschrift 1 Char,2Überschrift 1 Char,3Überschrift 1 Char,4Überschrift 1 Char,5Überschrift 1 Char,6Überschrift 1 Char"/>
    <w:link w:val="Nadpis1"/>
    <w:uiPriority w:val="9"/>
    <w:rsid w:val="000816D8"/>
    <w:rPr>
      <w:rFonts w:ascii="Calibri" w:hAnsi="Calibri"/>
      <w:b/>
      <w:bCs/>
      <w:smallCaps/>
      <w:kern w:val="32"/>
      <w:sz w:val="28"/>
      <w:szCs w:val="32"/>
      <w:lang w:val="x-none" w:eastAsia="x-none"/>
    </w:rPr>
  </w:style>
  <w:style w:type="character" w:customStyle="1" w:styleId="Nadpis2Char">
    <w:name w:val="Nadpis 2 Char"/>
    <w:link w:val="Nadpis2"/>
    <w:rsid w:val="00EF5F81"/>
    <w:rPr>
      <w:rFonts w:ascii="Calibri" w:hAnsi="Calibri"/>
      <w:b/>
      <w:bCs/>
      <w:iCs/>
      <w:sz w:val="26"/>
      <w:szCs w:val="28"/>
      <w:lang w:val="x-none" w:eastAsia="x-none"/>
    </w:rPr>
  </w:style>
  <w:style w:type="character" w:customStyle="1" w:styleId="Nadpis3Char">
    <w:name w:val="Nadpis 3 Char"/>
    <w:link w:val="Nadpis3"/>
    <w:uiPriority w:val="9"/>
    <w:rsid w:val="00EA3457"/>
    <w:rPr>
      <w:rFonts w:ascii="Calibri" w:hAnsi="Calibri"/>
      <w:b/>
      <w:bCs/>
      <w:color w:val="365F91"/>
      <w:sz w:val="24"/>
      <w:lang w:val="x-none" w:eastAsia="x-none"/>
    </w:rPr>
  </w:style>
  <w:style w:type="character" w:customStyle="1" w:styleId="Nadpis4Char">
    <w:name w:val="Nadpis 4 Char"/>
    <w:link w:val="Nadpis4"/>
    <w:uiPriority w:val="9"/>
    <w:rsid w:val="00B53D79"/>
    <w:rPr>
      <w:rFonts w:ascii="Calibri" w:hAnsi="Calibri"/>
      <w:b/>
      <w:bCs/>
      <w:i/>
      <w:iCs/>
      <w:sz w:val="24"/>
      <w:lang w:val="x-none" w:eastAsia="x-none"/>
    </w:rPr>
  </w:style>
  <w:style w:type="character" w:customStyle="1" w:styleId="Nadpis5Char">
    <w:name w:val="Nadpis 5 Char"/>
    <w:link w:val="Nadpis5"/>
    <w:uiPriority w:val="9"/>
    <w:rsid w:val="008F72F4"/>
    <w:rPr>
      <w:rFonts w:ascii="Calibri" w:hAnsi="Calibri"/>
      <w:color w:val="365F91"/>
      <w:sz w:val="24"/>
      <w:lang w:val="x-none" w:eastAsia="x-none"/>
    </w:rPr>
  </w:style>
  <w:style w:type="character" w:customStyle="1" w:styleId="Nadpis6Char">
    <w:name w:val="Nadpis 6 Char"/>
    <w:link w:val="Nadpis6"/>
    <w:uiPriority w:val="9"/>
    <w:rsid w:val="00F03E3C"/>
    <w:rPr>
      <w:rFonts w:ascii="Cambria" w:hAnsi="Cambria"/>
      <w:i/>
      <w:iCs/>
      <w:color w:val="243F60"/>
      <w:sz w:val="24"/>
      <w:lang w:val="x-none" w:eastAsia="x-none"/>
    </w:rPr>
  </w:style>
  <w:style w:type="character" w:customStyle="1" w:styleId="Nadpis7Char">
    <w:name w:val="Nadpis 7 Char"/>
    <w:link w:val="Nadpis7"/>
    <w:uiPriority w:val="9"/>
    <w:rsid w:val="00F03E3C"/>
    <w:rPr>
      <w:rFonts w:ascii="Cambria" w:hAnsi="Cambria"/>
      <w:i/>
      <w:iCs/>
      <w:color w:val="404040"/>
      <w:sz w:val="24"/>
      <w:lang w:val="x-none" w:eastAsia="x-none"/>
    </w:rPr>
  </w:style>
  <w:style w:type="character" w:customStyle="1" w:styleId="Nadpis8Char">
    <w:name w:val="Nadpis 8 Char"/>
    <w:link w:val="Nadpis8"/>
    <w:uiPriority w:val="9"/>
    <w:rsid w:val="00F03E3C"/>
    <w:rPr>
      <w:rFonts w:ascii="Cambria" w:hAnsi="Cambria"/>
      <w:color w:val="404040"/>
      <w:lang w:val="x-none" w:eastAsia="x-none"/>
    </w:rPr>
  </w:style>
  <w:style w:type="character" w:customStyle="1" w:styleId="Nadpis9Char">
    <w:name w:val="Nadpis 9 Char"/>
    <w:link w:val="Nadpis9"/>
    <w:uiPriority w:val="9"/>
    <w:rsid w:val="00F03E3C"/>
    <w:rPr>
      <w:rFonts w:ascii="Cambria" w:hAnsi="Cambria"/>
      <w:i/>
      <w:iCs/>
      <w:color w:val="404040"/>
      <w:lang w:val="x-none" w:eastAsia="x-none"/>
    </w:rPr>
  </w:style>
  <w:style w:type="paragraph" w:customStyle="1" w:styleId="Odstavecseseznamem1">
    <w:name w:val="Odstavec se seznamem1"/>
    <w:aliases w:val="Odstavec_muj"/>
    <w:basedOn w:val="Normln"/>
    <w:link w:val="OdstavecseseznamemChar"/>
    <w:uiPriority w:val="99"/>
    <w:qFormat/>
    <w:rsid w:val="00FB5FA2"/>
    <w:pPr>
      <w:ind w:left="720"/>
      <w:contextualSpacing/>
    </w:pPr>
  </w:style>
  <w:style w:type="paragraph" w:styleId="Titulek">
    <w:name w:val="caption"/>
    <w:basedOn w:val="Normln"/>
    <w:next w:val="Normln"/>
    <w:qFormat/>
    <w:rsid w:val="007C3506"/>
    <w:pPr>
      <w:spacing w:before="240" w:after="120"/>
      <w:jc w:val="both"/>
    </w:pPr>
    <w:rPr>
      <w:rFonts w:ascii="Calibri" w:hAnsi="Calibri"/>
      <w:b/>
      <w:bCs/>
      <w:color w:val="4F81BD"/>
      <w:sz w:val="24"/>
      <w:szCs w:val="18"/>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
    <w:uiPriority w:val="99"/>
    <w:rsid w:val="00F03E3C"/>
    <w:rPr>
      <w:vertAlign w:val="superscript"/>
    </w:rPr>
  </w:style>
  <w:style w:type="character" w:customStyle="1" w:styleId="ZkladntextChar">
    <w:name w:val="Základní text Char"/>
    <w:aliases w:val="Standard paragraph Char,Body Text1 Char,Char1 Char,Základní text Char Char Char Char Char Char Char"/>
    <w:link w:val="Zkladntext"/>
    <w:locked/>
    <w:rsid w:val="00F03E3C"/>
    <w:rPr>
      <w:b/>
      <w:bCs/>
      <w:sz w:val="24"/>
    </w:rPr>
  </w:style>
  <w:style w:type="paragraph" w:styleId="Zkladntext">
    <w:name w:val="Body Text"/>
    <w:aliases w:val="Standard paragraph,Body Text1,Char1,Základní text Char Char Char Char Char Char"/>
    <w:basedOn w:val="Normln"/>
    <w:link w:val="ZkladntextChar"/>
    <w:unhideWhenUsed/>
    <w:rsid w:val="00F03E3C"/>
    <w:pPr>
      <w:jc w:val="both"/>
      <w:textAlignment w:val="auto"/>
    </w:pPr>
    <w:rPr>
      <w:b/>
      <w:bCs/>
      <w:sz w:val="24"/>
      <w:lang w:val="x-none" w:eastAsia="x-none"/>
    </w:rPr>
  </w:style>
  <w:style w:type="character" w:customStyle="1" w:styleId="ZkladntextChar1">
    <w:name w:val="Základní text Char1"/>
    <w:basedOn w:val="Standardnpsmoodstavce"/>
    <w:uiPriority w:val="99"/>
    <w:semiHidden/>
    <w:rsid w:val="00F03E3C"/>
  </w:style>
  <w:style w:type="paragraph" w:styleId="Obsah1">
    <w:name w:val="toc 1"/>
    <w:basedOn w:val="Normln"/>
    <w:next w:val="Normln"/>
    <w:autoRedefine/>
    <w:uiPriority w:val="39"/>
    <w:unhideWhenUsed/>
    <w:rsid w:val="002E4CA7"/>
    <w:pPr>
      <w:overflowPunct/>
      <w:autoSpaceDE/>
      <w:autoSpaceDN/>
      <w:adjustRightInd/>
      <w:spacing w:before="200" w:after="100" w:line="276" w:lineRule="auto"/>
      <w:jc w:val="both"/>
      <w:textAlignment w:val="auto"/>
    </w:pPr>
    <w:rPr>
      <w:rFonts w:ascii="Calibri" w:hAnsi="Calibri"/>
      <w:b/>
      <w:sz w:val="24"/>
    </w:rPr>
  </w:style>
  <w:style w:type="paragraph" w:styleId="Obsah3">
    <w:name w:val="toc 3"/>
    <w:basedOn w:val="Normln"/>
    <w:next w:val="Normln"/>
    <w:autoRedefine/>
    <w:uiPriority w:val="39"/>
    <w:unhideWhenUsed/>
    <w:rsid w:val="009031E4"/>
    <w:pPr>
      <w:tabs>
        <w:tab w:val="left" w:pos="1320"/>
        <w:tab w:val="right" w:leader="dot" w:pos="9202"/>
      </w:tabs>
      <w:overflowPunct/>
      <w:autoSpaceDE/>
      <w:autoSpaceDN/>
      <w:adjustRightInd/>
      <w:spacing w:before="200" w:after="100" w:line="276" w:lineRule="auto"/>
      <w:ind w:left="480"/>
      <w:jc w:val="both"/>
      <w:textAlignment w:val="auto"/>
    </w:pPr>
    <w:rPr>
      <w:rFonts w:ascii="Calibri" w:hAnsi="Calibri"/>
      <w:i/>
      <w:noProof/>
      <w:sz w:val="24"/>
    </w:rPr>
  </w:style>
  <w:style w:type="paragraph" w:styleId="Obsah2">
    <w:name w:val="toc 2"/>
    <w:basedOn w:val="Normln"/>
    <w:next w:val="Normln"/>
    <w:autoRedefine/>
    <w:uiPriority w:val="39"/>
    <w:unhideWhenUsed/>
    <w:rsid w:val="00F03E3C"/>
    <w:pPr>
      <w:overflowPunct/>
      <w:autoSpaceDE/>
      <w:autoSpaceDN/>
      <w:adjustRightInd/>
      <w:spacing w:before="200" w:after="100" w:line="276" w:lineRule="auto"/>
      <w:ind w:left="240"/>
      <w:jc w:val="both"/>
      <w:textAlignment w:val="auto"/>
    </w:pPr>
    <w:rPr>
      <w:rFonts w:ascii="Calibri" w:hAnsi="Calibri"/>
      <w:sz w:val="24"/>
    </w:rPr>
  </w:style>
  <w:style w:type="character" w:styleId="Hypertextovodkaz">
    <w:name w:val="Hyperlink"/>
    <w:uiPriority w:val="99"/>
    <w:unhideWhenUsed/>
    <w:rsid w:val="00F03E3C"/>
    <w:rPr>
      <w:color w:val="0000FF"/>
      <w:u w:val="single"/>
    </w:rPr>
  </w:style>
  <w:style w:type="paragraph" w:customStyle="1" w:styleId="Point0number">
    <w:name w:val="Point 0 (numb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number">
    <w:name w:val="Point 1 (numb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number">
    <w:name w:val="Point 2 (numb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number">
    <w:name w:val="Point 3 (numb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0letter">
    <w:name w:val="Point 0 (lett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letter">
    <w:name w:val="Point 1 (lett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letter">
    <w:name w:val="Point 2 (lett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letter">
    <w:name w:val="Point 3 (lett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4letter">
    <w:name w:val="Point 4 (letter)"/>
    <w:basedOn w:val="Normln"/>
    <w:rsid w:val="00F03E3C"/>
    <w:pPr>
      <w:tabs>
        <w:tab w:val="num" w:pos="3118"/>
      </w:tabs>
      <w:overflowPunct/>
      <w:autoSpaceDE/>
      <w:autoSpaceDN/>
      <w:adjustRightInd/>
      <w:spacing w:before="120" w:after="120"/>
      <w:ind w:left="3118" w:hanging="567"/>
      <w:jc w:val="both"/>
      <w:textAlignment w:val="auto"/>
    </w:pPr>
    <w:rPr>
      <w:sz w:val="24"/>
      <w:szCs w:val="24"/>
      <w:lang w:val="en-GB" w:eastAsia="en-US"/>
    </w:rPr>
  </w:style>
  <w:style w:type="paragraph" w:styleId="Normlnweb">
    <w:name w:val="Normal (Web)"/>
    <w:basedOn w:val="Normln"/>
    <w:uiPriority w:val="99"/>
    <w:unhideWhenUsed/>
    <w:rsid w:val="00F03E3C"/>
    <w:pPr>
      <w:overflowPunct/>
      <w:autoSpaceDE/>
      <w:autoSpaceDN/>
      <w:adjustRightInd/>
      <w:spacing w:before="100" w:beforeAutospacing="1" w:after="100" w:afterAutospacing="1"/>
      <w:textAlignment w:val="auto"/>
    </w:pPr>
    <w:rPr>
      <w:sz w:val="24"/>
      <w:szCs w:val="24"/>
    </w:rPr>
  </w:style>
  <w:style w:type="paragraph" w:customStyle="1" w:styleId="beznytext">
    <w:name w:val="bezny_text"/>
    <w:basedOn w:val="Normln"/>
    <w:rsid w:val="00F03E3C"/>
    <w:pPr>
      <w:overflowPunct/>
      <w:autoSpaceDE/>
      <w:autoSpaceDN/>
      <w:adjustRightInd/>
      <w:spacing w:before="100" w:beforeAutospacing="1" w:after="100" w:afterAutospacing="1"/>
      <w:textAlignment w:val="auto"/>
    </w:pPr>
    <w:rPr>
      <w:sz w:val="24"/>
      <w:szCs w:val="24"/>
    </w:rPr>
  </w:style>
  <w:style w:type="paragraph" w:styleId="Bezmezer">
    <w:name w:val="No Spacing"/>
    <w:link w:val="BezmezerChar"/>
    <w:uiPriority w:val="1"/>
    <w:qFormat/>
    <w:rsid w:val="00F03E3C"/>
    <w:rPr>
      <w:rFonts w:ascii="Calibri" w:hAnsi="Calibri"/>
      <w:sz w:val="22"/>
      <w:szCs w:val="22"/>
    </w:rPr>
  </w:style>
  <w:style w:type="character" w:customStyle="1" w:styleId="BezmezerChar">
    <w:name w:val="Bez mezer Char"/>
    <w:link w:val="Bezmezer"/>
    <w:uiPriority w:val="1"/>
    <w:rsid w:val="00F03E3C"/>
    <w:rPr>
      <w:rFonts w:ascii="Calibri" w:hAnsi="Calibri"/>
      <w:sz w:val="22"/>
      <w:szCs w:val="22"/>
      <w:lang w:bidi="ar-SA"/>
    </w:rPr>
  </w:style>
  <w:style w:type="paragraph" w:styleId="Zhlav">
    <w:name w:val="header"/>
    <w:basedOn w:val="Normln"/>
    <w:link w:val="ZhlavChar"/>
    <w:uiPriority w:val="99"/>
    <w:unhideWhenUsed/>
    <w:rsid w:val="00F03E3C"/>
    <w:pPr>
      <w:tabs>
        <w:tab w:val="center" w:pos="4536"/>
        <w:tab w:val="right" w:pos="9072"/>
      </w:tabs>
      <w:overflowPunct/>
      <w:autoSpaceDE/>
      <w:autoSpaceDN/>
      <w:adjustRightInd/>
      <w:jc w:val="both"/>
      <w:textAlignment w:val="auto"/>
    </w:pPr>
    <w:rPr>
      <w:rFonts w:ascii="Calibri" w:hAnsi="Calibri"/>
      <w:sz w:val="24"/>
      <w:lang w:val="x-none" w:eastAsia="x-none"/>
    </w:rPr>
  </w:style>
  <w:style w:type="character" w:customStyle="1" w:styleId="ZhlavChar">
    <w:name w:val="Záhlaví Char"/>
    <w:link w:val="Zhlav"/>
    <w:uiPriority w:val="99"/>
    <w:rsid w:val="00F03E3C"/>
    <w:rPr>
      <w:rFonts w:ascii="Calibri" w:hAnsi="Calibri"/>
      <w:sz w:val="24"/>
    </w:rPr>
  </w:style>
  <w:style w:type="paragraph" w:styleId="Zpat">
    <w:name w:val="footer"/>
    <w:basedOn w:val="Normln"/>
    <w:link w:val="ZpatChar"/>
    <w:uiPriority w:val="99"/>
    <w:unhideWhenUsed/>
    <w:rsid w:val="00F03E3C"/>
    <w:pPr>
      <w:tabs>
        <w:tab w:val="center" w:pos="4536"/>
        <w:tab w:val="right" w:pos="9072"/>
      </w:tabs>
      <w:overflowPunct/>
      <w:autoSpaceDE/>
      <w:autoSpaceDN/>
      <w:adjustRightInd/>
      <w:jc w:val="both"/>
      <w:textAlignment w:val="auto"/>
    </w:pPr>
    <w:rPr>
      <w:rFonts w:ascii="Calibri" w:hAnsi="Calibri"/>
      <w:sz w:val="24"/>
      <w:lang w:val="x-none" w:eastAsia="x-none"/>
    </w:rPr>
  </w:style>
  <w:style w:type="character" w:customStyle="1" w:styleId="ZpatChar">
    <w:name w:val="Zápatí Char"/>
    <w:link w:val="Zpat"/>
    <w:uiPriority w:val="99"/>
    <w:rsid w:val="00F03E3C"/>
    <w:rPr>
      <w:rFonts w:ascii="Calibri" w:hAnsi="Calibri"/>
      <w:sz w:val="24"/>
    </w:rPr>
  </w:style>
  <w:style w:type="character" w:customStyle="1" w:styleId="TextbublinyChar">
    <w:name w:val="Text bubliny Char"/>
    <w:link w:val="Textbubliny"/>
    <w:uiPriority w:val="99"/>
    <w:semiHidden/>
    <w:rsid w:val="00F03E3C"/>
    <w:rPr>
      <w:rFonts w:ascii="Tahoma" w:hAnsi="Tahoma" w:cs="Tahoma"/>
      <w:sz w:val="16"/>
      <w:szCs w:val="16"/>
    </w:rPr>
  </w:style>
  <w:style w:type="paragraph" w:styleId="Textbubliny">
    <w:name w:val="Balloon Text"/>
    <w:basedOn w:val="Normln"/>
    <w:link w:val="TextbublinyChar"/>
    <w:uiPriority w:val="99"/>
    <w:semiHidden/>
    <w:unhideWhenUsed/>
    <w:rsid w:val="00F03E3C"/>
    <w:pPr>
      <w:overflowPunct/>
      <w:autoSpaceDE/>
      <w:autoSpaceDN/>
      <w:adjustRightInd/>
      <w:jc w:val="both"/>
      <w:textAlignment w:val="auto"/>
    </w:pPr>
    <w:rPr>
      <w:rFonts w:ascii="Tahoma" w:hAnsi="Tahoma"/>
      <w:sz w:val="16"/>
      <w:szCs w:val="16"/>
      <w:lang w:val="x-none" w:eastAsia="x-none"/>
    </w:rPr>
  </w:style>
  <w:style w:type="character" w:customStyle="1" w:styleId="TextkomenteChar">
    <w:name w:val="Text komentáře Char"/>
    <w:link w:val="Textkomente"/>
    <w:rsid w:val="00F03E3C"/>
    <w:rPr>
      <w:rFonts w:ascii="Calibri" w:hAnsi="Calibri"/>
    </w:rPr>
  </w:style>
  <w:style w:type="paragraph" w:styleId="Textkomente">
    <w:name w:val="annotation text"/>
    <w:basedOn w:val="Normln"/>
    <w:link w:val="TextkomenteChar"/>
    <w:unhideWhenUsed/>
    <w:rsid w:val="00F03E3C"/>
    <w:pPr>
      <w:overflowPunct/>
      <w:autoSpaceDE/>
      <w:autoSpaceDN/>
      <w:adjustRightInd/>
      <w:spacing w:before="200" w:after="200"/>
      <w:jc w:val="both"/>
      <w:textAlignment w:val="auto"/>
    </w:pPr>
    <w:rPr>
      <w:rFonts w:ascii="Calibri" w:hAnsi="Calibri"/>
      <w:lang w:val="x-none" w:eastAsia="x-none"/>
    </w:rPr>
  </w:style>
  <w:style w:type="character" w:customStyle="1" w:styleId="PedmtkomenteChar">
    <w:name w:val="Předmět komentáře Char"/>
    <w:link w:val="Pedmtkomente"/>
    <w:uiPriority w:val="99"/>
    <w:semiHidden/>
    <w:rsid w:val="00F03E3C"/>
    <w:rPr>
      <w:rFonts w:ascii="Calibri" w:hAnsi="Calibri"/>
      <w:b/>
      <w:bCs/>
    </w:rPr>
  </w:style>
  <w:style w:type="paragraph" w:styleId="Pedmtkomente">
    <w:name w:val="annotation subject"/>
    <w:basedOn w:val="Textkomente"/>
    <w:next w:val="Textkomente"/>
    <w:link w:val="PedmtkomenteChar"/>
    <w:uiPriority w:val="99"/>
    <w:semiHidden/>
    <w:unhideWhenUsed/>
    <w:rsid w:val="00F03E3C"/>
    <w:rPr>
      <w:b/>
      <w:bCs/>
    </w:rPr>
  </w:style>
  <w:style w:type="paragraph" w:customStyle="1" w:styleId="Zdroj">
    <w:name w:val="Zdroj"/>
    <w:basedOn w:val="Normln"/>
    <w:next w:val="Normln"/>
    <w:link w:val="ZdrojChar"/>
    <w:rsid w:val="00F03E3C"/>
    <w:pPr>
      <w:overflowPunct/>
      <w:autoSpaceDE/>
      <w:autoSpaceDN/>
      <w:adjustRightInd/>
      <w:spacing w:after="120" w:line="288" w:lineRule="auto"/>
      <w:jc w:val="both"/>
      <w:textAlignment w:val="auto"/>
    </w:pPr>
    <w:rPr>
      <w:rFonts w:ascii="Arial" w:hAnsi="Arial"/>
      <w:sz w:val="18"/>
      <w:szCs w:val="24"/>
      <w:lang w:val="x-none" w:eastAsia="x-none"/>
    </w:rPr>
  </w:style>
  <w:style w:type="character" w:customStyle="1" w:styleId="ZdrojChar">
    <w:name w:val="Zdroj Char"/>
    <w:link w:val="Zdroj"/>
    <w:rsid w:val="00F03E3C"/>
    <w:rPr>
      <w:rFonts w:ascii="Arial" w:hAnsi="Arial"/>
      <w:sz w:val="18"/>
      <w:szCs w:val="24"/>
    </w:rPr>
  </w:style>
  <w:style w:type="paragraph" w:styleId="Nzev">
    <w:name w:val="Title"/>
    <w:basedOn w:val="Normln"/>
    <w:link w:val="NzevChar"/>
    <w:qFormat/>
    <w:rsid w:val="00F03E3C"/>
    <w:pPr>
      <w:jc w:val="center"/>
    </w:pPr>
    <w:rPr>
      <w:b/>
      <w:bCs/>
      <w:sz w:val="24"/>
      <w:lang w:val="x-none" w:eastAsia="x-none"/>
    </w:rPr>
  </w:style>
  <w:style w:type="character" w:customStyle="1" w:styleId="NzevChar">
    <w:name w:val="Název Char"/>
    <w:link w:val="Nzev"/>
    <w:rsid w:val="00F03E3C"/>
    <w:rPr>
      <w:b/>
      <w:bCs/>
      <w:sz w:val="24"/>
    </w:rPr>
  </w:style>
  <w:style w:type="paragraph" w:customStyle="1" w:styleId="OdrazkaIsouhlas">
    <w:name w:val="Odrazka_I_souhlas"/>
    <w:basedOn w:val="Normln"/>
    <w:rsid w:val="00F03E3C"/>
    <w:pPr>
      <w:tabs>
        <w:tab w:val="left" w:pos="284"/>
      </w:tabs>
      <w:overflowPunct/>
      <w:autoSpaceDE/>
      <w:autoSpaceDN/>
      <w:adjustRightInd/>
      <w:spacing w:before="40" w:after="40"/>
      <w:ind w:left="1069" w:hanging="360"/>
      <w:textAlignment w:val="auto"/>
    </w:pPr>
    <w:rPr>
      <w:rFonts w:ascii="Arial" w:hAnsi="Arial" w:cs="Arial"/>
    </w:rPr>
  </w:style>
  <w:style w:type="paragraph" w:customStyle="1" w:styleId="Default">
    <w:name w:val="Default"/>
    <w:link w:val="DefaultChar"/>
    <w:rsid w:val="00F03E3C"/>
    <w:pPr>
      <w:tabs>
        <w:tab w:val="left" w:pos="708"/>
      </w:tabs>
      <w:suppressAutoHyphens/>
      <w:overflowPunct w:val="0"/>
      <w:autoSpaceDE w:val="0"/>
      <w:spacing w:line="200" w:lineRule="atLeast"/>
      <w:textAlignment w:val="baseline"/>
    </w:pPr>
    <w:rPr>
      <w:rFonts w:ascii="Calibri" w:eastAsia="MS Mincho" w:hAnsi="Calibri" w:cs="Calibri"/>
      <w:lang w:eastAsia="en-US"/>
    </w:rPr>
  </w:style>
  <w:style w:type="paragraph" w:customStyle="1" w:styleId="bezmezer1">
    <w:name w:val="bezmezer1"/>
    <w:basedOn w:val="Bezmezer"/>
    <w:qFormat/>
    <w:rsid w:val="00F03E3C"/>
    <w:rPr>
      <w:rFonts w:ascii="Times New Roman" w:eastAsia="Calibri" w:hAnsi="Times New Roman"/>
      <w:sz w:val="24"/>
      <w:szCs w:val="24"/>
      <w:lang w:eastAsia="en-US"/>
    </w:rPr>
  </w:style>
  <w:style w:type="paragraph" w:styleId="Zkladntext3">
    <w:name w:val="Body Text 3"/>
    <w:basedOn w:val="Normln"/>
    <w:link w:val="Zkladntext3Char"/>
    <w:uiPriority w:val="99"/>
    <w:semiHidden/>
    <w:unhideWhenUsed/>
    <w:rsid w:val="00F03E3C"/>
    <w:pPr>
      <w:overflowPunct/>
      <w:autoSpaceDE/>
      <w:autoSpaceDN/>
      <w:adjustRightInd/>
      <w:spacing w:before="200" w:after="120" w:line="276" w:lineRule="auto"/>
      <w:jc w:val="both"/>
      <w:textAlignment w:val="auto"/>
    </w:pPr>
    <w:rPr>
      <w:rFonts w:ascii="Calibri" w:hAnsi="Calibri"/>
      <w:sz w:val="16"/>
      <w:szCs w:val="16"/>
      <w:lang w:val="x-none" w:eastAsia="x-none"/>
    </w:rPr>
  </w:style>
  <w:style w:type="character" w:customStyle="1" w:styleId="Zkladntext3Char">
    <w:name w:val="Základní text 3 Char"/>
    <w:link w:val="Zkladntext3"/>
    <w:uiPriority w:val="99"/>
    <w:semiHidden/>
    <w:rsid w:val="00F03E3C"/>
    <w:rPr>
      <w:rFonts w:ascii="Calibri" w:hAnsi="Calibri"/>
      <w:sz w:val="16"/>
      <w:szCs w:val="16"/>
    </w:rPr>
  </w:style>
  <w:style w:type="paragraph" w:customStyle="1" w:styleId="normln0">
    <w:name w:val="normální"/>
    <w:basedOn w:val="Normln"/>
    <w:qFormat/>
    <w:rsid w:val="00F03E3C"/>
    <w:pPr>
      <w:overflowPunct/>
      <w:autoSpaceDE/>
      <w:autoSpaceDN/>
      <w:adjustRightInd/>
      <w:spacing w:after="200" w:line="276" w:lineRule="auto"/>
      <w:jc w:val="both"/>
      <w:textAlignment w:val="auto"/>
    </w:pPr>
    <w:rPr>
      <w:rFonts w:eastAsia="Calibri"/>
      <w:sz w:val="24"/>
      <w:szCs w:val="24"/>
      <w:lang w:eastAsia="en-US"/>
    </w:rPr>
  </w:style>
  <w:style w:type="paragraph" w:customStyle="1" w:styleId="Odstavecodsazen">
    <w:name w:val="Odstavec odsazený"/>
    <w:basedOn w:val="Normln"/>
    <w:rsid w:val="00F03E3C"/>
    <w:pPr>
      <w:tabs>
        <w:tab w:val="left" w:pos="709"/>
      </w:tabs>
      <w:overflowPunct/>
      <w:autoSpaceDE/>
      <w:autoSpaceDN/>
      <w:adjustRightInd/>
      <w:spacing w:after="120" w:line="360" w:lineRule="auto"/>
      <w:ind w:left="357" w:firstLine="352"/>
      <w:jc w:val="both"/>
      <w:textAlignment w:val="auto"/>
    </w:pPr>
    <w:rPr>
      <w:sz w:val="24"/>
    </w:rPr>
  </w:style>
  <w:style w:type="paragraph" w:styleId="Podpise-mailu">
    <w:name w:val="E-mail Signature"/>
    <w:basedOn w:val="Normln"/>
    <w:link w:val="Podpise-mailuChar"/>
    <w:rsid w:val="00F03E3C"/>
    <w:pPr>
      <w:tabs>
        <w:tab w:val="num" w:pos="720"/>
      </w:tabs>
      <w:overflowPunct/>
      <w:autoSpaceDE/>
      <w:autoSpaceDN/>
      <w:adjustRightInd/>
      <w:spacing w:before="40" w:after="120" w:line="288" w:lineRule="auto"/>
      <w:jc w:val="both"/>
      <w:textAlignment w:val="auto"/>
    </w:pPr>
    <w:rPr>
      <w:rFonts w:ascii="Arial" w:hAnsi="Arial"/>
      <w:szCs w:val="24"/>
      <w:lang w:val="x-none" w:eastAsia="x-none"/>
    </w:rPr>
  </w:style>
  <w:style w:type="character" w:customStyle="1" w:styleId="Podpise-mailuChar">
    <w:name w:val="Podpis e-mailu Char"/>
    <w:link w:val="Podpise-mailu"/>
    <w:rsid w:val="00F03E3C"/>
    <w:rPr>
      <w:rFonts w:ascii="Arial" w:hAnsi="Arial"/>
      <w:szCs w:val="24"/>
    </w:rPr>
  </w:style>
  <w:style w:type="paragraph" w:styleId="Nadpisobsahu">
    <w:name w:val="TOC Heading"/>
    <w:basedOn w:val="Nadpis1"/>
    <w:next w:val="Normln"/>
    <w:uiPriority w:val="39"/>
    <w:qFormat/>
    <w:rsid w:val="005566D0"/>
    <w:pPr>
      <w:keepLines/>
      <w:pageBreakBefore w:val="0"/>
      <w:numPr>
        <w:numId w:val="0"/>
      </w:numPr>
      <w:spacing w:before="480" w:after="0"/>
      <w:jc w:val="left"/>
      <w:outlineLvl w:val="9"/>
    </w:pPr>
    <w:rPr>
      <w:color w:val="365F91"/>
      <w:kern w:val="0"/>
      <w:szCs w:val="28"/>
    </w:rPr>
  </w:style>
  <w:style w:type="paragraph" w:styleId="Obsah4">
    <w:name w:val="toc 4"/>
    <w:basedOn w:val="Normln"/>
    <w:next w:val="Normln"/>
    <w:autoRedefine/>
    <w:uiPriority w:val="39"/>
    <w:unhideWhenUsed/>
    <w:rsid w:val="005566D0"/>
    <w:pPr>
      <w:spacing w:after="100"/>
      <w:ind w:left="600"/>
    </w:pPr>
  </w:style>
  <w:style w:type="table" w:styleId="Mkatabulky">
    <w:name w:val="Table Grid"/>
    <w:basedOn w:val="Normlntabulka"/>
    <w:uiPriority w:val="59"/>
    <w:rsid w:val="009072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rsid w:val="00604263"/>
    <w:rPr>
      <w:sz w:val="16"/>
      <w:szCs w:val="16"/>
    </w:rPr>
  </w:style>
  <w:style w:type="character" w:customStyle="1" w:styleId="CharChar5">
    <w:name w:val="Char Char5"/>
    <w:semiHidden/>
    <w:locked/>
    <w:rsid w:val="006D08D8"/>
    <w:rPr>
      <w:rFonts w:ascii="Calibri" w:hAnsi="Calibri"/>
      <w:lang w:bidi="ar-SA"/>
    </w:rPr>
  </w:style>
  <w:style w:type="paragraph" w:customStyle="1" w:styleId="Zdrojtabulkyobrzku">
    <w:name w:val="Zdroj tabulky/obrázku"/>
    <w:basedOn w:val="Normln"/>
    <w:link w:val="ZdrojtabulkyobrzkuChar"/>
    <w:qFormat/>
    <w:rsid w:val="00CB339B"/>
    <w:pPr>
      <w:overflowPunct/>
      <w:autoSpaceDE/>
      <w:autoSpaceDN/>
      <w:adjustRightInd/>
      <w:spacing w:before="120" w:after="240" w:line="288" w:lineRule="auto"/>
      <w:jc w:val="both"/>
      <w:textAlignment w:val="auto"/>
    </w:pPr>
    <w:rPr>
      <w:rFonts w:ascii="Arial" w:hAnsi="Arial"/>
      <w:szCs w:val="22"/>
      <w:lang w:val="x-none" w:eastAsia="x-none"/>
    </w:rPr>
  </w:style>
  <w:style w:type="character" w:customStyle="1" w:styleId="ZdrojtabulkyobrzkuChar">
    <w:name w:val="Zdroj tabulky/obrázku Char"/>
    <w:link w:val="Zdrojtabulkyobrzku"/>
    <w:rsid w:val="00CB339B"/>
    <w:rPr>
      <w:rFonts w:ascii="Arial" w:hAnsi="Arial"/>
      <w:szCs w:val="22"/>
    </w:rPr>
  </w:style>
  <w:style w:type="character" w:customStyle="1" w:styleId="TextMetodikaChar">
    <w:name w:val="Text Metodika Char"/>
    <w:link w:val="TextMetodika"/>
    <w:uiPriority w:val="99"/>
    <w:locked/>
    <w:rsid w:val="004C042F"/>
    <w:rPr>
      <w:rFonts w:ascii="Arial" w:hAnsi="Arial"/>
      <w:lang w:bidi="ar-SA"/>
    </w:rPr>
  </w:style>
  <w:style w:type="paragraph" w:customStyle="1" w:styleId="TextMetodika">
    <w:name w:val="Text Metodika"/>
    <w:basedOn w:val="Normln"/>
    <w:link w:val="TextMetodikaChar"/>
    <w:uiPriority w:val="99"/>
    <w:qFormat/>
    <w:rsid w:val="004C042F"/>
    <w:pPr>
      <w:overflowPunct/>
      <w:autoSpaceDE/>
      <w:autoSpaceDN/>
      <w:adjustRightInd/>
      <w:spacing w:before="120" w:after="120" w:line="312" w:lineRule="auto"/>
      <w:jc w:val="both"/>
      <w:textAlignment w:val="auto"/>
    </w:pPr>
    <w:rPr>
      <w:rFonts w:ascii="Arial" w:hAnsi="Arial"/>
      <w:lang w:val="x-none" w:eastAsia="x-none"/>
    </w:rPr>
  </w:style>
  <w:style w:type="paragraph" w:styleId="Seznamsodrkami">
    <w:name w:val="List Bullet"/>
    <w:basedOn w:val="Normln"/>
    <w:autoRedefine/>
    <w:rsid w:val="00E40039"/>
    <w:pPr>
      <w:overflowPunct/>
      <w:autoSpaceDE/>
      <w:autoSpaceDN/>
      <w:adjustRightInd/>
      <w:jc w:val="both"/>
      <w:textAlignment w:val="auto"/>
    </w:pPr>
    <w:rPr>
      <w:rFonts w:ascii="Calibri" w:hAnsi="Calibri" w:cs="Calibri"/>
      <w:sz w:val="24"/>
      <w:szCs w:val="24"/>
      <w:lang w:eastAsia="en-US"/>
    </w:rPr>
  </w:style>
  <w:style w:type="character" w:customStyle="1" w:styleId="OdstavecseseznamemChar">
    <w:name w:val="Odstavec se seznamem Char"/>
    <w:aliases w:val="Odstavec_muj Char"/>
    <w:link w:val="Odstavecseseznamem1"/>
    <w:uiPriority w:val="34"/>
    <w:rsid w:val="004B5A6C"/>
    <w:rPr>
      <w:lang w:val="cs-CZ" w:eastAsia="cs-CZ" w:bidi="ar-SA"/>
    </w:rPr>
  </w:style>
  <w:style w:type="character" w:customStyle="1" w:styleId="Char1Char1">
    <w:name w:val="Char1 Char1"/>
    <w:aliases w:val="Schriftart: 9 pt Char2,Schriftart: 10 pt Char2,Schriftart: 8 pt Char2,Text poznámky pod čiarou 007 Char2,Footnote Char2,Fußnotentextf Char2,Geneva 9 Char2,Font: Geneva 9 Char2,Boston 10 Char2,f Char2,pozn. pod čarou Char3,Char Char3"/>
    <w:uiPriority w:val="99"/>
    <w:rsid w:val="00E45000"/>
    <w:rPr>
      <w:lang w:val="cs-CZ" w:eastAsia="cs-CZ"/>
    </w:rPr>
  </w:style>
  <w:style w:type="paragraph" w:customStyle="1" w:styleId="NadpisNOK2">
    <w:name w:val="Nadpis NOK 2"/>
    <w:basedOn w:val="Nadpis2"/>
    <w:qFormat/>
    <w:rsid w:val="00AA5B29"/>
    <w:pPr>
      <w:numPr>
        <w:numId w:val="2"/>
      </w:numPr>
      <w:spacing w:line="240" w:lineRule="auto"/>
    </w:pPr>
    <w:rPr>
      <w:rFonts w:ascii="Arial Narrow" w:hAnsi="Arial Narrow" w:cs="Arial Narrow"/>
      <w:iCs w:val="0"/>
      <w:caps/>
      <w:color w:val="003366"/>
      <w:sz w:val="40"/>
      <w:szCs w:val="40"/>
    </w:rPr>
  </w:style>
  <w:style w:type="paragraph" w:customStyle="1" w:styleId="CM4">
    <w:name w:val="CM4"/>
    <w:basedOn w:val="Default"/>
    <w:next w:val="Default"/>
    <w:uiPriority w:val="99"/>
    <w:rsid w:val="00E10173"/>
    <w:pPr>
      <w:tabs>
        <w:tab w:val="clear" w:pos="708"/>
      </w:tabs>
      <w:suppressAutoHyphens w:val="0"/>
      <w:overflowPunct/>
      <w:autoSpaceDN w:val="0"/>
      <w:adjustRightInd w:val="0"/>
      <w:spacing w:line="240" w:lineRule="auto"/>
      <w:textAlignment w:val="auto"/>
    </w:pPr>
    <w:rPr>
      <w:rFonts w:ascii="EUAlbertina" w:eastAsia="Calibri" w:hAnsi="EUAlbertina" w:cs="Times New Roman"/>
      <w:sz w:val="24"/>
      <w:szCs w:val="24"/>
    </w:rPr>
  </w:style>
  <w:style w:type="paragraph" w:customStyle="1" w:styleId="TabNad">
    <w:name w:val="TabNad"/>
    <w:basedOn w:val="Normln"/>
    <w:uiPriority w:val="99"/>
    <w:rsid w:val="00415837"/>
    <w:pPr>
      <w:numPr>
        <w:numId w:val="3"/>
      </w:numPr>
      <w:tabs>
        <w:tab w:val="clear" w:pos="360"/>
      </w:tabs>
      <w:overflowPunct/>
      <w:autoSpaceDE/>
      <w:autoSpaceDN/>
      <w:adjustRightInd/>
      <w:ind w:left="907" w:hanging="907"/>
      <w:textAlignment w:val="auto"/>
    </w:pPr>
    <w:rPr>
      <w:b/>
      <w:bCs/>
      <w:sz w:val="22"/>
      <w:szCs w:val="22"/>
    </w:rPr>
  </w:style>
  <w:style w:type="paragraph" w:styleId="Revize">
    <w:name w:val="Revision"/>
    <w:hidden/>
    <w:uiPriority w:val="99"/>
    <w:semiHidden/>
    <w:rsid w:val="00977285"/>
  </w:style>
  <w:style w:type="character" w:styleId="Siln">
    <w:name w:val="Strong"/>
    <w:uiPriority w:val="22"/>
    <w:qFormat/>
    <w:rsid w:val="007F61BF"/>
    <w:rPr>
      <w:b/>
      <w:bCs/>
      <w:color w:val="58585A"/>
    </w:rPr>
  </w:style>
  <w:style w:type="paragraph" w:styleId="Obsah5">
    <w:name w:val="toc 5"/>
    <w:basedOn w:val="Normln"/>
    <w:next w:val="Normln"/>
    <w:autoRedefine/>
    <w:uiPriority w:val="39"/>
    <w:unhideWhenUsed/>
    <w:rsid w:val="00150B70"/>
    <w:pPr>
      <w:overflowPunct/>
      <w:autoSpaceDE/>
      <w:autoSpaceDN/>
      <w:adjustRightInd/>
      <w:spacing w:after="100" w:line="276" w:lineRule="auto"/>
      <w:ind w:left="880"/>
      <w:textAlignment w:val="auto"/>
    </w:pPr>
    <w:rPr>
      <w:rFonts w:ascii="Calibri" w:hAnsi="Calibri"/>
      <w:sz w:val="22"/>
      <w:szCs w:val="22"/>
    </w:rPr>
  </w:style>
  <w:style w:type="paragraph" w:styleId="Obsah6">
    <w:name w:val="toc 6"/>
    <w:basedOn w:val="Normln"/>
    <w:next w:val="Normln"/>
    <w:autoRedefine/>
    <w:uiPriority w:val="39"/>
    <w:unhideWhenUsed/>
    <w:rsid w:val="00150B70"/>
    <w:pPr>
      <w:overflowPunct/>
      <w:autoSpaceDE/>
      <w:autoSpaceDN/>
      <w:adjustRightInd/>
      <w:spacing w:after="100" w:line="276" w:lineRule="auto"/>
      <w:ind w:left="1100"/>
      <w:textAlignment w:val="auto"/>
    </w:pPr>
    <w:rPr>
      <w:rFonts w:ascii="Calibri" w:hAnsi="Calibri"/>
      <w:sz w:val="22"/>
      <w:szCs w:val="22"/>
    </w:rPr>
  </w:style>
  <w:style w:type="paragraph" w:styleId="Obsah7">
    <w:name w:val="toc 7"/>
    <w:basedOn w:val="Normln"/>
    <w:next w:val="Normln"/>
    <w:autoRedefine/>
    <w:uiPriority w:val="39"/>
    <w:unhideWhenUsed/>
    <w:rsid w:val="00150B70"/>
    <w:pPr>
      <w:overflowPunct/>
      <w:autoSpaceDE/>
      <w:autoSpaceDN/>
      <w:adjustRightInd/>
      <w:spacing w:after="100" w:line="276" w:lineRule="auto"/>
      <w:ind w:left="1320"/>
      <w:textAlignment w:val="auto"/>
    </w:pPr>
    <w:rPr>
      <w:rFonts w:ascii="Calibri" w:hAnsi="Calibri"/>
      <w:sz w:val="22"/>
      <w:szCs w:val="22"/>
    </w:rPr>
  </w:style>
  <w:style w:type="paragraph" w:styleId="Obsah8">
    <w:name w:val="toc 8"/>
    <w:basedOn w:val="Normln"/>
    <w:next w:val="Normln"/>
    <w:autoRedefine/>
    <w:uiPriority w:val="39"/>
    <w:unhideWhenUsed/>
    <w:rsid w:val="00150B70"/>
    <w:pPr>
      <w:overflowPunct/>
      <w:autoSpaceDE/>
      <w:autoSpaceDN/>
      <w:adjustRightInd/>
      <w:spacing w:after="100" w:line="276" w:lineRule="auto"/>
      <w:ind w:left="1540"/>
      <w:textAlignment w:val="auto"/>
    </w:pPr>
    <w:rPr>
      <w:rFonts w:ascii="Calibri" w:hAnsi="Calibri"/>
      <w:sz w:val="22"/>
      <w:szCs w:val="22"/>
    </w:rPr>
  </w:style>
  <w:style w:type="paragraph" w:styleId="Obsah9">
    <w:name w:val="toc 9"/>
    <w:basedOn w:val="Normln"/>
    <w:next w:val="Normln"/>
    <w:autoRedefine/>
    <w:uiPriority w:val="39"/>
    <w:unhideWhenUsed/>
    <w:rsid w:val="00150B70"/>
    <w:pPr>
      <w:overflowPunct/>
      <w:autoSpaceDE/>
      <w:autoSpaceDN/>
      <w:adjustRightInd/>
      <w:spacing w:after="100" w:line="276" w:lineRule="auto"/>
      <w:ind w:left="1760"/>
      <w:textAlignment w:val="auto"/>
    </w:pPr>
    <w:rPr>
      <w:rFonts w:ascii="Calibri" w:hAnsi="Calibri"/>
      <w:sz w:val="22"/>
      <w:szCs w:val="22"/>
    </w:rPr>
  </w:style>
  <w:style w:type="paragraph" w:styleId="Textvysvtlivek">
    <w:name w:val="endnote text"/>
    <w:basedOn w:val="Normln"/>
    <w:link w:val="TextvysvtlivekChar"/>
    <w:uiPriority w:val="99"/>
    <w:rsid w:val="00A72DFD"/>
  </w:style>
  <w:style w:type="character" w:customStyle="1" w:styleId="TextvysvtlivekChar">
    <w:name w:val="Text vysvětlivek Char"/>
    <w:basedOn w:val="Standardnpsmoodstavce"/>
    <w:link w:val="Textvysvtlivek"/>
    <w:uiPriority w:val="99"/>
    <w:rsid w:val="00A72DFD"/>
  </w:style>
  <w:style w:type="character" w:styleId="Odkaznavysvtlivky">
    <w:name w:val="endnote reference"/>
    <w:rsid w:val="00A72DFD"/>
    <w:rPr>
      <w:vertAlign w:val="superscript"/>
    </w:rPr>
  </w:style>
  <w:style w:type="character" w:customStyle="1" w:styleId="st1">
    <w:name w:val="st1"/>
    <w:basedOn w:val="Standardnpsmoodstavce"/>
    <w:rsid w:val="005275B9"/>
  </w:style>
  <w:style w:type="paragraph" w:customStyle="1" w:styleId="Poznmkapodarou">
    <w:name w:val="Poznámka pod čarou"/>
    <w:basedOn w:val="Default"/>
    <w:link w:val="PoznmkapodarouChar"/>
    <w:qFormat/>
    <w:rsid w:val="00B05905"/>
    <w:pPr>
      <w:spacing w:after="60"/>
      <w:jc w:val="both"/>
    </w:pPr>
    <w:rPr>
      <w:rFonts w:ascii="Times New Roman" w:eastAsia="Times New Roman" w:hAnsi="Times New Roman" w:cs="Times New Roman"/>
      <w:lang w:val="x-none" w:eastAsia="x-none"/>
    </w:rPr>
  </w:style>
  <w:style w:type="paragraph" w:customStyle="1" w:styleId="Standardntext">
    <w:name w:val="Standardní text"/>
    <w:basedOn w:val="Normln"/>
    <w:link w:val="StandardntextChar"/>
    <w:qFormat/>
    <w:rsid w:val="00D20E3C"/>
    <w:pPr>
      <w:spacing w:after="120"/>
      <w:jc w:val="both"/>
    </w:pPr>
    <w:rPr>
      <w:sz w:val="24"/>
      <w:szCs w:val="24"/>
      <w:lang w:val="x-none" w:eastAsia="x-none"/>
    </w:rPr>
  </w:style>
  <w:style w:type="character" w:customStyle="1" w:styleId="DefaultChar">
    <w:name w:val="Default Char"/>
    <w:link w:val="Default"/>
    <w:rsid w:val="00F362BC"/>
    <w:rPr>
      <w:rFonts w:ascii="Calibri" w:eastAsia="MS Mincho" w:hAnsi="Calibri" w:cs="Calibri"/>
      <w:lang w:eastAsia="en-US" w:bidi="ar-SA"/>
    </w:rPr>
  </w:style>
  <w:style w:type="character" w:customStyle="1" w:styleId="PoznmkapodarouChar">
    <w:name w:val="Poznámka pod čarou Char"/>
    <w:link w:val="Poznmkapodarou"/>
    <w:rsid w:val="00B05905"/>
    <w:rPr>
      <w:rFonts w:cs="Calibri"/>
    </w:rPr>
  </w:style>
  <w:style w:type="character" w:customStyle="1" w:styleId="StandardntextChar">
    <w:name w:val="Standardní text Char"/>
    <w:link w:val="Standardntext"/>
    <w:rsid w:val="00D20E3C"/>
    <w:rPr>
      <w:rFonts w:cs="Calibri"/>
      <w:sz w:val="24"/>
      <w:szCs w:val="24"/>
    </w:rPr>
  </w:style>
  <w:style w:type="character" w:styleId="Sledovanodkaz">
    <w:name w:val="FollowedHyperlink"/>
    <w:uiPriority w:val="99"/>
    <w:rsid w:val="00D703E0"/>
    <w:rPr>
      <w:color w:val="800080"/>
      <w:u w:val="single"/>
    </w:rPr>
  </w:style>
  <w:style w:type="paragraph" w:customStyle="1" w:styleId="ListDash">
    <w:name w:val="List Dash"/>
    <w:basedOn w:val="Normln"/>
    <w:uiPriority w:val="99"/>
    <w:rsid w:val="004E680E"/>
    <w:pPr>
      <w:numPr>
        <w:numId w:val="5"/>
      </w:numPr>
      <w:overflowPunct/>
      <w:autoSpaceDE/>
      <w:autoSpaceDN/>
      <w:adjustRightInd/>
      <w:spacing w:after="240"/>
      <w:jc w:val="both"/>
      <w:textAlignment w:val="auto"/>
    </w:pPr>
    <w:rPr>
      <w:sz w:val="24"/>
      <w:szCs w:val="24"/>
      <w:lang w:val="en-GB" w:eastAsia="en-US"/>
    </w:rPr>
  </w:style>
  <w:style w:type="paragraph" w:customStyle="1" w:styleId="DAVA">
    <w:name w:val="DAVA"/>
    <w:basedOn w:val="Normln"/>
    <w:link w:val="DAVAChar"/>
    <w:uiPriority w:val="99"/>
    <w:qFormat/>
    <w:rsid w:val="00635DFA"/>
    <w:pPr>
      <w:overflowPunct/>
      <w:autoSpaceDE/>
      <w:autoSpaceDN/>
      <w:adjustRightInd/>
      <w:spacing w:before="120"/>
      <w:textAlignment w:val="auto"/>
    </w:pPr>
    <w:rPr>
      <w:rFonts w:ascii="Arial" w:eastAsia="Calibri" w:hAnsi="Arial"/>
      <w:sz w:val="24"/>
      <w:szCs w:val="28"/>
      <w:lang w:val="x-none" w:eastAsia="en-US"/>
    </w:rPr>
  </w:style>
  <w:style w:type="character" w:customStyle="1" w:styleId="DAVAChar">
    <w:name w:val="DAVA Char"/>
    <w:link w:val="DAVA"/>
    <w:uiPriority w:val="99"/>
    <w:rsid w:val="00635DFA"/>
    <w:rPr>
      <w:rFonts w:ascii="Arial" w:eastAsia="Calibri" w:hAnsi="Arial" w:cs="Arial"/>
      <w:sz w:val="24"/>
      <w:szCs w:val="28"/>
      <w:lang w:eastAsia="en-US"/>
    </w:rPr>
  </w:style>
  <w:style w:type="paragraph" w:customStyle="1" w:styleId="Textdopisu">
    <w:name w:val="Text dopisu"/>
    <w:basedOn w:val="Normln"/>
    <w:rsid w:val="00635DFA"/>
    <w:pPr>
      <w:ind w:firstLine="544"/>
      <w:jc w:val="both"/>
    </w:pPr>
    <w:rPr>
      <w:sz w:val="24"/>
    </w:rPr>
  </w:style>
  <w:style w:type="paragraph" w:customStyle="1" w:styleId="kapitola2A">
    <w:name w:val="kapitola 2A"/>
    <w:basedOn w:val="Nadpis1"/>
    <w:link w:val="kapitola2AChar"/>
    <w:qFormat/>
    <w:rsid w:val="00017D76"/>
    <w:pPr>
      <w:keepNext w:val="0"/>
      <w:pageBreakBefore w:val="0"/>
      <w:numPr>
        <w:numId w:val="9"/>
      </w:numPr>
    </w:pPr>
  </w:style>
  <w:style w:type="paragraph" w:customStyle="1" w:styleId="kapitola2A0">
    <w:name w:val="kapitola 2A.0"/>
    <w:basedOn w:val="Nadpis3"/>
    <w:link w:val="kapitola2A0Char"/>
    <w:qFormat/>
    <w:rsid w:val="00F41B56"/>
    <w:pPr>
      <w:spacing w:after="120"/>
    </w:pPr>
  </w:style>
  <w:style w:type="character" w:customStyle="1" w:styleId="kapitola2AChar">
    <w:name w:val="kapitola 2A Char"/>
    <w:link w:val="kapitola2A"/>
    <w:rsid w:val="00017D76"/>
    <w:rPr>
      <w:rFonts w:ascii="Calibri" w:hAnsi="Calibri"/>
      <w:b/>
      <w:bCs/>
      <w:smallCaps/>
      <w:kern w:val="32"/>
      <w:sz w:val="28"/>
      <w:szCs w:val="32"/>
      <w:lang w:val="x-none" w:eastAsia="x-none"/>
    </w:rPr>
  </w:style>
  <w:style w:type="paragraph" w:customStyle="1" w:styleId="Prioritnosa">
    <w:name w:val="Prioritní osa"/>
    <w:basedOn w:val="Nadpis2"/>
    <w:link w:val="PrioritnosaChar"/>
    <w:qFormat/>
    <w:rsid w:val="00D34C0F"/>
    <w:pPr>
      <w:numPr>
        <w:ilvl w:val="0"/>
        <w:numId w:val="0"/>
      </w:numPr>
      <w:pBdr>
        <w:top w:val="single" w:sz="24" w:space="2" w:color="95B3D7"/>
        <w:left w:val="single" w:sz="24" w:space="4" w:color="DBE5F1"/>
        <w:bottom w:val="single" w:sz="24" w:space="2" w:color="95B3D7"/>
        <w:right w:val="single" w:sz="24" w:space="4" w:color="DBE5F1"/>
      </w:pBdr>
      <w:shd w:val="clear" w:color="auto" w:fill="DBE5F1"/>
      <w:spacing w:before="360"/>
      <w:ind w:left="142" w:right="113" w:hanging="29"/>
    </w:pPr>
  </w:style>
  <w:style w:type="character" w:customStyle="1" w:styleId="kapitola2A0Char">
    <w:name w:val="kapitola 2A.0 Char"/>
    <w:link w:val="kapitola2A0"/>
    <w:rsid w:val="00F41B56"/>
    <w:rPr>
      <w:rFonts w:ascii="Calibri" w:hAnsi="Calibri"/>
      <w:b/>
      <w:bCs/>
      <w:color w:val="365F91"/>
      <w:sz w:val="24"/>
      <w:lang w:val="x-none" w:eastAsia="x-none"/>
    </w:rPr>
  </w:style>
  <w:style w:type="paragraph" w:customStyle="1" w:styleId="Investinpriorita">
    <w:name w:val="Investiční priorita"/>
    <w:basedOn w:val="Prioritnosa"/>
    <w:link w:val="InvestinprioritaChar"/>
    <w:qFormat/>
    <w:rsid w:val="002A3493"/>
    <w:pPr>
      <w:pBdr>
        <w:left w:val="single" w:sz="24" w:space="4" w:color="EDF1F7"/>
        <w:right w:val="single" w:sz="24" w:space="4" w:color="EDF1F7"/>
      </w:pBdr>
      <w:shd w:val="clear" w:color="auto" w:fill="EDF1F7"/>
    </w:pPr>
    <w:rPr>
      <w:i/>
      <w:sz w:val="24"/>
    </w:rPr>
  </w:style>
  <w:style w:type="character" w:customStyle="1" w:styleId="PrioritnosaChar">
    <w:name w:val="Prioritní osa Char"/>
    <w:link w:val="Prioritnosa"/>
    <w:rsid w:val="00D34C0F"/>
    <w:rPr>
      <w:rFonts w:ascii="Calibri" w:hAnsi="Calibri"/>
      <w:b/>
      <w:bCs/>
      <w:iCs/>
      <w:sz w:val="26"/>
      <w:szCs w:val="28"/>
      <w:shd w:val="clear" w:color="auto" w:fill="DBE5F1"/>
    </w:rPr>
  </w:style>
  <w:style w:type="paragraph" w:customStyle="1" w:styleId="kapitola2B">
    <w:name w:val="kapitola 2.B"/>
    <w:basedOn w:val="kapitola2A0"/>
    <w:link w:val="kapitola2BChar"/>
    <w:qFormat/>
    <w:rsid w:val="005444BD"/>
  </w:style>
  <w:style w:type="character" w:customStyle="1" w:styleId="InvestinprioritaChar">
    <w:name w:val="Investiční priorita Char"/>
    <w:link w:val="Investinpriorita"/>
    <w:rsid w:val="002A3493"/>
    <w:rPr>
      <w:rFonts w:ascii="Calibri" w:hAnsi="Calibri"/>
      <w:b/>
      <w:bCs/>
      <w:i/>
      <w:iCs/>
      <w:sz w:val="24"/>
      <w:szCs w:val="28"/>
      <w:shd w:val="clear" w:color="auto" w:fill="EDF1F7"/>
    </w:rPr>
  </w:style>
  <w:style w:type="character" w:customStyle="1" w:styleId="kapitola2BChar">
    <w:name w:val="kapitola 2.B Char"/>
    <w:link w:val="kapitola2B"/>
    <w:rsid w:val="005444BD"/>
    <w:rPr>
      <w:rFonts w:ascii="Calibri" w:hAnsi="Calibri"/>
      <w:b/>
      <w:bCs/>
      <w:color w:val="365F91"/>
      <w:sz w:val="24"/>
      <w:lang w:val="x-none" w:eastAsia="x-none"/>
    </w:rPr>
  </w:style>
  <w:style w:type="numbering" w:customStyle="1" w:styleId="Styl1">
    <w:name w:val="Styl1"/>
    <w:uiPriority w:val="99"/>
    <w:rsid w:val="009210DF"/>
    <w:pPr>
      <w:numPr>
        <w:numId w:val="14"/>
      </w:numPr>
    </w:pPr>
  </w:style>
  <w:style w:type="paragraph" w:customStyle="1" w:styleId="Modrnadpis">
    <w:name w:val="Modrý nadpis"/>
    <w:basedOn w:val="Nadpis4"/>
    <w:link w:val="ModrnadpisChar"/>
    <w:qFormat/>
    <w:rsid w:val="00396141"/>
    <w:pPr>
      <w:numPr>
        <w:ilvl w:val="0"/>
        <w:numId w:val="0"/>
      </w:numPr>
      <w:spacing w:before="240"/>
      <w:ind w:left="862" w:hanging="862"/>
    </w:pPr>
    <w:rPr>
      <w:rFonts w:ascii="Times New Roman" w:hAnsi="Times New Roman"/>
      <w:i w:val="0"/>
      <w:color w:val="548DD4"/>
    </w:rPr>
  </w:style>
  <w:style w:type="paragraph" w:customStyle="1" w:styleId="Tabulka">
    <w:name w:val="Tabulka"/>
    <w:basedOn w:val="Normln"/>
    <w:link w:val="TabulkaChar"/>
    <w:qFormat/>
    <w:rsid w:val="00BA1E1C"/>
    <w:pPr>
      <w:overflowPunct/>
      <w:spacing w:before="60" w:after="60"/>
      <w:jc w:val="center"/>
      <w:textAlignment w:val="auto"/>
    </w:pPr>
    <w:rPr>
      <w:sz w:val="22"/>
      <w:szCs w:val="22"/>
      <w:lang w:val="x-none" w:eastAsia="x-none"/>
    </w:rPr>
  </w:style>
  <w:style w:type="character" w:customStyle="1" w:styleId="ModrnadpisChar">
    <w:name w:val="Modrý nadpis Char"/>
    <w:link w:val="Modrnadpis"/>
    <w:rsid w:val="00396141"/>
    <w:rPr>
      <w:b/>
      <w:bCs/>
      <w:iCs/>
      <w:color w:val="548DD4"/>
      <w:sz w:val="24"/>
    </w:rPr>
  </w:style>
  <w:style w:type="character" w:customStyle="1" w:styleId="TabulkaChar">
    <w:name w:val="Tabulka Char"/>
    <w:link w:val="Tabulka"/>
    <w:rsid w:val="00BA1E1C"/>
    <w:rPr>
      <w:rFonts w:cs="Calibri"/>
      <w:sz w:val="22"/>
      <w:szCs w:val="22"/>
    </w:rPr>
  </w:style>
  <w:style w:type="character" w:styleId="slostrnky">
    <w:name w:val="page number"/>
    <w:basedOn w:val="Standardnpsmoodstavce"/>
    <w:rsid w:val="00CB5EF1"/>
  </w:style>
  <w:style w:type="paragraph" w:styleId="Prosttext">
    <w:name w:val="Plain Text"/>
    <w:basedOn w:val="Normln"/>
    <w:link w:val="ProsttextChar"/>
    <w:uiPriority w:val="99"/>
    <w:unhideWhenUsed/>
    <w:rsid w:val="000C5A5B"/>
    <w:pPr>
      <w:overflowPunct/>
      <w:autoSpaceDE/>
      <w:autoSpaceDN/>
      <w:adjustRightInd/>
      <w:textAlignment w:val="auto"/>
    </w:pPr>
    <w:rPr>
      <w:rFonts w:ascii="Consolas" w:eastAsia="Calibri" w:hAnsi="Consolas"/>
      <w:sz w:val="21"/>
      <w:szCs w:val="21"/>
      <w:lang w:val="x-none" w:eastAsia="en-US"/>
    </w:rPr>
  </w:style>
  <w:style w:type="character" w:customStyle="1" w:styleId="ProsttextChar">
    <w:name w:val="Prostý text Char"/>
    <w:link w:val="Prosttext"/>
    <w:uiPriority w:val="99"/>
    <w:rsid w:val="000C5A5B"/>
    <w:rPr>
      <w:rFonts w:ascii="Consolas" w:eastAsia="Calibri" w:hAnsi="Consolas" w:cs="Times New Roman"/>
      <w:sz w:val="21"/>
      <w:szCs w:val="21"/>
      <w:lang w:eastAsia="en-US"/>
    </w:rPr>
  </w:style>
  <w:style w:type="paragraph" w:styleId="Zkladntextodsazen2">
    <w:name w:val="Body Text Indent 2"/>
    <w:basedOn w:val="Normln"/>
    <w:link w:val="Zkladntextodsazen2Char"/>
    <w:rsid w:val="00850113"/>
    <w:pPr>
      <w:spacing w:after="120" w:line="480" w:lineRule="auto"/>
      <w:ind w:left="283"/>
    </w:pPr>
  </w:style>
  <w:style w:type="character" w:customStyle="1" w:styleId="Zkladntextodsazen2Char">
    <w:name w:val="Základní text odsazený 2 Char"/>
    <w:basedOn w:val="Standardnpsmoodstavce"/>
    <w:link w:val="Zkladntextodsazen2"/>
    <w:rsid w:val="00850113"/>
  </w:style>
  <w:style w:type="paragraph" w:styleId="Citt">
    <w:name w:val="Quote"/>
    <w:basedOn w:val="Normln"/>
    <w:next w:val="Normln"/>
    <w:link w:val="CittChar"/>
    <w:uiPriority w:val="29"/>
    <w:qFormat/>
    <w:rsid w:val="003E654D"/>
    <w:rPr>
      <w:i/>
      <w:iCs/>
      <w:color w:val="000000"/>
      <w:lang w:val="x-none" w:eastAsia="x-none"/>
    </w:rPr>
  </w:style>
  <w:style w:type="character" w:customStyle="1" w:styleId="CittChar">
    <w:name w:val="Citát Char"/>
    <w:link w:val="Citt"/>
    <w:uiPriority w:val="29"/>
    <w:rsid w:val="003E654D"/>
    <w:rPr>
      <w:i/>
      <w:iCs/>
      <w:color w:val="000000"/>
    </w:rPr>
  </w:style>
  <w:style w:type="paragraph" w:customStyle="1" w:styleId="ClOP">
    <w:name w:val="Cíl OP"/>
    <w:basedOn w:val="Citt"/>
    <w:link w:val="ClOPChar"/>
    <w:qFormat/>
    <w:rsid w:val="003E654D"/>
    <w:pPr>
      <w:pBdr>
        <w:top w:val="single" w:sz="24" w:space="4" w:color="95B3D7"/>
        <w:bottom w:val="single" w:sz="24" w:space="4" w:color="95B3D7"/>
      </w:pBdr>
      <w:spacing w:before="240" w:after="240"/>
      <w:jc w:val="center"/>
    </w:pPr>
    <w:rPr>
      <w:b/>
      <w:i w:val="0"/>
      <w:sz w:val="24"/>
      <w:szCs w:val="24"/>
    </w:rPr>
  </w:style>
  <w:style w:type="character" w:customStyle="1" w:styleId="ClOPChar">
    <w:name w:val="Cíl OP Char"/>
    <w:link w:val="ClOP"/>
    <w:rsid w:val="003E654D"/>
    <w:rPr>
      <w:b/>
      <w:i w:val="0"/>
      <w:iCs/>
      <w:color w:val="000000"/>
      <w:sz w:val="24"/>
      <w:szCs w:val="24"/>
    </w:rPr>
  </w:style>
  <w:style w:type="table" w:styleId="Svtlmka">
    <w:name w:val="Light Grid"/>
    <w:basedOn w:val="Normlntabulka"/>
    <w:uiPriority w:val="62"/>
    <w:rsid w:val="005746C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extkomenteChar1">
    <w:name w:val="Text komentáře Char1"/>
    <w:uiPriority w:val="99"/>
    <w:semiHidden/>
    <w:rsid w:val="005746C1"/>
    <w:rPr>
      <w:rFonts w:ascii="Calibri" w:hAnsi="Calibri"/>
    </w:rPr>
  </w:style>
  <w:style w:type="paragraph" w:customStyle="1" w:styleId="TextNOK">
    <w:name w:val="Text NOK"/>
    <w:basedOn w:val="Normln"/>
    <w:link w:val="TextNOKChar"/>
    <w:qFormat/>
    <w:rsid w:val="00B91AC2"/>
    <w:pPr>
      <w:overflowPunct/>
      <w:autoSpaceDE/>
      <w:autoSpaceDN/>
      <w:adjustRightInd/>
      <w:spacing w:after="120" w:line="288" w:lineRule="auto"/>
      <w:jc w:val="both"/>
      <w:textAlignment w:val="auto"/>
    </w:pPr>
    <w:rPr>
      <w:rFonts w:ascii="Arial" w:hAnsi="Arial"/>
      <w:szCs w:val="22"/>
      <w:lang w:val="x-none" w:eastAsia="x-none"/>
    </w:rPr>
  </w:style>
  <w:style w:type="character" w:customStyle="1" w:styleId="TextNOKChar">
    <w:name w:val="Text NOK Char"/>
    <w:link w:val="TextNOK"/>
    <w:rsid w:val="00B91AC2"/>
    <w:rPr>
      <w:rFonts w:ascii="Arial" w:hAnsi="Arial"/>
      <w:szCs w:val="22"/>
    </w:rPr>
  </w:style>
  <w:style w:type="paragraph" w:customStyle="1" w:styleId="Tiret0">
    <w:name w:val="Tiret 0"/>
    <w:basedOn w:val="Normln"/>
    <w:rsid w:val="0035272A"/>
    <w:pPr>
      <w:numPr>
        <w:numId w:val="63"/>
      </w:numPr>
      <w:overflowPunct/>
      <w:autoSpaceDE/>
      <w:autoSpaceDN/>
      <w:adjustRightInd/>
      <w:spacing w:before="120" w:after="120"/>
      <w:jc w:val="both"/>
      <w:textAlignment w:val="auto"/>
    </w:pPr>
    <w:rPr>
      <w:sz w:val="24"/>
      <w:szCs w:val="24"/>
      <w:lang w:eastAsia="en-US"/>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Footnote Text Char1,o,Char Char1"/>
    <w:basedOn w:val="Normln"/>
    <w:link w:val="TextpoznpodarouChar"/>
    <w:uiPriority w:val="99"/>
    <w:qFormat/>
    <w:rsid w:val="004E6DD3"/>
    <w:pPr>
      <w:jc w:val="both"/>
    </w:p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4E6DD3"/>
  </w:style>
  <w:style w:type="character" w:styleId="Zvraznn">
    <w:name w:val="Emphasis"/>
    <w:uiPriority w:val="20"/>
    <w:qFormat/>
    <w:rsid w:val="00F37CF9"/>
    <w:rPr>
      <w:b/>
      <w:bCs/>
      <w:i w:val="0"/>
      <w:iCs w:val="0"/>
    </w:rPr>
  </w:style>
  <w:style w:type="paragraph" w:customStyle="1" w:styleId="Text1">
    <w:name w:val="Text 1"/>
    <w:basedOn w:val="Normln"/>
    <w:link w:val="Text1Char"/>
    <w:uiPriority w:val="99"/>
    <w:rsid w:val="00E517C6"/>
    <w:pPr>
      <w:overflowPunct/>
      <w:autoSpaceDE/>
      <w:autoSpaceDN/>
      <w:adjustRightInd/>
      <w:spacing w:after="240"/>
      <w:ind w:left="482"/>
      <w:jc w:val="both"/>
      <w:textAlignment w:val="auto"/>
    </w:pPr>
    <w:rPr>
      <w:sz w:val="24"/>
      <w:lang w:val="en-GB" w:eastAsia="en-US"/>
    </w:rPr>
  </w:style>
  <w:style w:type="character" w:customStyle="1" w:styleId="Text1Char">
    <w:name w:val="Text 1 Char"/>
    <w:link w:val="Text1"/>
    <w:uiPriority w:val="99"/>
    <w:locked/>
    <w:rsid w:val="00E517C6"/>
    <w:rPr>
      <w:sz w:val="24"/>
      <w:lang w:val="en-GB" w:eastAsia="en-US"/>
    </w:rPr>
  </w:style>
  <w:style w:type="paragraph" w:customStyle="1" w:styleId="CM1">
    <w:name w:val="CM1"/>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paragraph" w:customStyle="1" w:styleId="CM3">
    <w:name w:val="CM3"/>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character" w:customStyle="1" w:styleId="TextbublinyChar1">
    <w:name w:val="Text bubliny Char1"/>
    <w:uiPriority w:val="99"/>
    <w:semiHidden/>
    <w:rsid w:val="00B02CDE"/>
    <w:rPr>
      <w:rFonts w:ascii="Tahoma" w:eastAsia="Times New Roman" w:hAnsi="Tahoma" w:cs="Tahoma"/>
      <w:sz w:val="16"/>
      <w:szCs w:val="16"/>
      <w:lang w:eastAsia="cs-CZ"/>
    </w:rPr>
  </w:style>
  <w:style w:type="character" w:customStyle="1" w:styleId="PedmtkomenteChar1">
    <w:name w:val="Předmět komentáře Char1"/>
    <w:uiPriority w:val="99"/>
    <w:semiHidden/>
    <w:rsid w:val="00B02CDE"/>
    <w:rPr>
      <w:rFonts w:ascii="Times New Roman" w:eastAsia="Times New Roman" w:hAnsi="Times New Roman" w:cs="Times New Roman"/>
      <w:b/>
      <w:bCs/>
      <w:sz w:val="20"/>
      <w:szCs w:val="20"/>
      <w:lang w:eastAsia="cs-CZ"/>
    </w:rPr>
  </w:style>
  <w:style w:type="paragraph" w:customStyle="1" w:styleId="Text3">
    <w:name w:val="Text 3"/>
    <w:basedOn w:val="Normln"/>
    <w:rsid w:val="000534DA"/>
    <w:pPr>
      <w:overflowPunct/>
      <w:autoSpaceDE/>
      <w:autoSpaceDN/>
      <w:adjustRightInd/>
      <w:spacing w:before="120" w:after="120"/>
      <w:ind w:left="1984"/>
      <w:jc w:val="both"/>
      <w:textAlignment w:val="auto"/>
    </w:pPr>
    <w:rPr>
      <w:rFonts w:eastAsia="Calibri"/>
      <w:sz w:val="24"/>
      <w:lang w:eastAsia="en-GB"/>
    </w:rPr>
  </w:style>
  <w:style w:type="paragraph" w:customStyle="1" w:styleId="ZZNormln">
    <w:name w:val="ZZ Normální"/>
    <w:basedOn w:val="Normln"/>
    <w:rsid w:val="000A44AF"/>
    <w:pPr>
      <w:spacing w:after="120"/>
      <w:jc w:val="both"/>
    </w:pPr>
    <w:rPr>
      <w:rFonts w:ascii="Arial" w:hAnsi="Arial" w:cs="Arial"/>
      <w:sz w:val="24"/>
    </w:rPr>
  </w:style>
  <w:style w:type="paragraph" w:customStyle="1" w:styleId="StylArial11bZarovnatdoblokuVlevo063cm">
    <w:name w:val="Styl Arial 11 b. Zarovnat do bloku Vlevo:  063 cm"/>
    <w:basedOn w:val="Normln"/>
    <w:rsid w:val="00D973E4"/>
    <w:pPr>
      <w:overflowPunct/>
      <w:autoSpaceDE/>
      <w:autoSpaceDN/>
      <w:adjustRightInd/>
      <w:spacing w:before="120"/>
      <w:ind w:left="357"/>
      <w:jc w:val="both"/>
      <w:textAlignment w:val="auto"/>
    </w:pPr>
    <w:rPr>
      <w:rFonts w:ascii="Arial" w:hAnsi="Arial"/>
      <w:sz w:val="22"/>
    </w:rPr>
  </w:style>
  <w:style w:type="paragraph" w:customStyle="1" w:styleId="Normln1">
    <w:name w:val="Normální1"/>
    <w:basedOn w:val="Normln"/>
    <w:rsid w:val="00D973E4"/>
    <w:pPr>
      <w:overflowPunct/>
      <w:autoSpaceDE/>
      <w:autoSpaceDN/>
      <w:adjustRightInd/>
      <w:spacing w:before="100" w:beforeAutospacing="1" w:after="100" w:afterAutospacing="1"/>
      <w:textAlignment w:val="auto"/>
    </w:pPr>
    <w:rPr>
      <w:sz w:val="24"/>
      <w:szCs w:val="24"/>
    </w:rPr>
  </w:style>
  <w:style w:type="paragraph" w:customStyle="1" w:styleId="Specifickcl">
    <w:name w:val="Specifický cíl"/>
    <w:basedOn w:val="Nadpis4"/>
    <w:link w:val="SpecifickclChar"/>
    <w:qFormat/>
    <w:rsid w:val="00D973E4"/>
    <w:pPr>
      <w:numPr>
        <w:ilvl w:val="0"/>
        <w:numId w:val="0"/>
      </w:numPr>
      <w:ind w:left="862" w:hanging="862"/>
    </w:pPr>
    <w:rPr>
      <w:i w:val="0"/>
      <w:color w:val="548DD4"/>
    </w:rPr>
  </w:style>
  <w:style w:type="character" w:customStyle="1" w:styleId="SpecifickclChar">
    <w:name w:val="Specifický cíl Char"/>
    <w:link w:val="Specifickcl"/>
    <w:rsid w:val="00D973E4"/>
    <w:rPr>
      <w:rFonts w:ascii="Calibri" w:hAnsi="Calibri"/>
      <w:b/>
      <w:bCs/>
      <w:i w:val="0"/>
      <w:iCs/>
      <w:color w:val="548DD4"/>
      <w:sz w:val="24"/>
    </w:rPr>
  </w:style>
  <w:style w:type="character" w:customStyle="1" w:styleId="st">
    <w:name w:val="st"/>
    <w:basedOn w:val="Standardnpsmoodstavce"/>
    <w:rsid w:val="00D973E4"/>
  </w:style>
  <w:style w:type="paragraph" w:customStyle="1" w:styleId="Char4CharCharCharCharCharCharCharCharChar">
    <w:name w:val="Char4 Char Char Char Char Char Char Char Char Char"/>
    <w:basedOn w:val="Normln"/>
    <w:rsid w:val="00D973E4"/>
    <w:pPr>
      <w:overflowPunct/>
      <w:autoSpaceDE/>
      <w:autoSpaceDN/>
      <w:adjustRightInd/>
      <w:spacing w:after="160" w:line="240" w:lineRule="exact"/>
      <w:textAlignment w:val="auto"/>
    </w:pPr>
    <w:rPr>
      <w:rFonts w:ascii="Times New Roman Bold" w:hAnsi="Times New Roman Bold"/>
      <w:sz w:val="22"/>
      <w:szCs w:val="26"/>
      <w:lang w:val="sk-SK" w:eastAsia="en-US"/>
    </w:rPr>
  </w:style>
  <w:style w:type="numbering" w:customStyle="1" w:styleId="Bezseznamu1">
    <w:name w:val="Bez seznamu1"/>
    <w:next w:val="Bezseznamu"/>
    <w:uiPriority w:val="99"/>
    <w:semiHidden/>
    <w:unhideWhenUsed/>
    <w:rsid w:val="00BD3D1A"/>
  </w:style>
  <w:style w:type="table" w:customStyle="1" w:styleId="Mkatabulky1">
    <w:name w:val="Mřížka tabulky1"/>
    <w:basedOn w:val="Normlntabulka"/>
    <w:next w:val="Mkatabulky"/>
    <w:uiPriority w:val="59"/>
    <w:rsid w:val="00BD3D1A"/>
    <w:pPr>
      <w:jc w:val="both"/>
    </w:pPr>
    <w:rPr>
      <w:rFonts w:ascii="Tahoma" w:eastAsia="Calibri" w:hAnsi="Tahoma"/>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vysvtlivekChar1">
    <w:name w:val="Text vysvětlivek Char1"/>
    <w:uiPriority w:val="99"/>
    <w:semiHidden/>
    <w:rsid w:val="00BD3D1A"/>
    <w:rPr>
      <w:szCs w:val="20"/>
    </w:rPr>
  </w:style>
  <w:style w:type="character" w:customStyle="1" w:styleId="TextpoznpodarouChar1">
    <w:name w:val="Text pozn. pod čarou Char1"/>
    <w:uiPriority w:val="99"/>
    <w:semiHidden/>
    <w:rsid w:val="00BD3D1A"/>
    <w:rPr>
      <w:szCs w:val="20"/>
    </w:rPr>
  </w:style>
  <w:style w:type="table" w:styleId="Stednstnovn2zvraznn1">
    <w:name w:val="Medium Shading 2 Accent 1"/>
    <w:basedOn w:val="Normlntabulka"/>
    <w:uiPriority w:val="64"/>
    <w:rsid w:val="00B551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ongtext">
    <w:name w:val="long_text"/>
    <w:basedOn w:val="Standardnpsmoodstavce"/>
    <w:rsid w:val="002A7237"/>
  </w:style>
  <w:style w:type="character" w:customStyle="1" w:styleId="hps">
    <w:name w:val="hps"/>
    <w:basedOn w:val="Standardnpsmoodstavce"/>
    <w:rsid w:val="002A7237"/>
  </w:style>
  <w:style w:type="character" w:customStyle="1" w:styleId="CharChar7">
    <w:name w:val="Char Char7"/>
    <w:locked/>
    <w:rsid w:val="0083211D"/>
    <w:rPr>
      <w:rFonts w:ascii="Calibri" w:hAnsi="Calibri"/>
      <w:lang w:bidi="ar-SA"/>
    </w:rPr>
  </w:style>
  <w:style w:type="paragraph" w:styleId="Odstavecseseznamem">
    <w:name w:val="List Paragraph"/>
    <w:basedOn w:val="Normln"/>
    <w:uiPriority w:val="34"/>
    <w:qFormat/>
    <w:rsid w:val="00722D7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uiPriority="99"/>
    <w:lsdException w:name="footer" w:uiPriority="99"/>
    <w:lsdException w:name="caption" w:qFormat="1"/>
    <w:lsdException w:name="footnote reference" w:uiPriority="99"/>
    <w:lsdException w:name="endnote text" w:uiPriority="99"/>
    <w:lsdException w:name="Title" w:qFormat="1"/>
    <w:lsdException w:name="Default Paragraph Font" w:uiPriority="1"/>
    <w:lsdException w:name="Subtitle" w:qFormat="1"/>
    <w:lsdException w:name="Body Text 3"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ln">
    <w:name w:val="Normal"/>
    <w:qFormat/>
    <w:rsid w:val="00501DC8"/>
    <w:pPr>
      <w:overflowPunct w:val="0"/>
      <w:autoSpaceDE w:val="0"/>
      <w:autoSpaceDN w:val="0"/>
      <w:adjustRightInd w:val="0"/>
      <w:textAlignment w:val="baseline"/>
    </w:pPr>
  </w:style>
  <w:style w:type="paragraph" w:styleId="Nadpis1">
    <w:name w:val="heading 1"/>
    <w:aliases w:val="h1,H1,Nadpis 1-Nadpis smlouvy,Základní kapitola,V_Head1,Záhlaví 1,0Überschrift 1,1Überschrift 1,2Überschrift 1,3Überschrift 1,4Überschrift 1,5Überschrift 1,6Überschrift 1,7Überschrift 1,8Überschrift 1,9Überschrift 1,10Überschrift 1,Clanek1"/>
    <w:basedOn w:val="Normln"/>
    <w:next w:val="Normln"/>
    <w:link w:val="Nadpis1Char"/>
    <w:uiPriority w:val="9"/>
    <w:qFormat/>
    <w:rsid w:val="000816D8"/>
    <w:pPr>
      <w:keepNext/>
      <w:pageBreakBefore/>
      <w:numPr>
        <w:numId w:val="1"/>
      </w:numPr>
      <w:overflowPunct/>
      <w:autoSpaceDE/>
      <w:autoSpaceDN/>
      <w:adjustRightInd/>
      <w:spacing w:before="120" w:after="240" w:line="276" w:lineRule="auto"/>
      <w:ind w:left="432"/>
      <w:jc w:val="both"/>
      <w:textAlignment w:val="auto"/>
      <w:outlineLvl w:val="0"/>
    </w:pPr>
    <w:rPr>
      <w:rFonts w:ascii="Calibri" w:hAnsi="Calibri"/>
      <w:b/>
      <w:bCs/>
      <w:smallCaps/>
      <w:kern w:val="32"/>
      <w:sz w:val="28"/>
      <w:szCs w:val="32"/>
      <w:lang w:val="x-none" w:eastAsia="x-none"/>
    </w:rPr>
  </w:style>
  <w:style w:type="paragraph" w:styleId="Nadpis2">
    <w:name w:val="heading 2"/>
    <w:basedOn w:val="Normln"/>
    <w:next w:val="Normln"/>
    <w:link w:val="Nadpis2Char"/>
    <w:qFormat/>
    <w:rsid w:val="00EF5F81"/>
    <w:pPr>
      <w:keepNext/>
      <w:numPr>
        <w:ilvl w:val="1"/>
        <w:numId w:val="1"/>
      </w:numPr>
      <w:overflowPunct/>
      <w:autoSpaceDE/>
      <w:autoSpaceDN/>
      <w:adjustRightInd/>
      <w:spacing w:before="240" w:after="240" w:line="276" w:lineRule="auto"/>
      <w:jc w:val="both"/>
      <w:textAlignment w:val="auto"/>
      <w:outlineLvl w:val="1"/>
    </w:pPr>
    <w:rPr>
      <w:rFonts w:ascii="Calibri" w:hAnsi="Calibri"/>
      <w:b/>
      <w:bCs/>
      <w:iCs/>
      <w:sz w:val="26"/>
      <w:szCs w:val="28"/>
      <w:lang w:val="x-none" w:eastAsia="x-none"/>
    </w:rPr>
  </w:style>
  <w:style w:type="paragraph" w:styleId="Nadpis3">
    <w:name w:val="heading 3"/>
    <w:basedOn w:val="Normln"/>
    <w:next w:val="Normln"/>
    <w:link w:val="Nadpis3Char"/>
    <w:uiPriority w:val="9"/>
    <w:qFormat/>
    <w:rsid w:val="00EA3457"/>
    <w:pPr>
      <w:keepNext/>
      <w:keepLines/>
      <w:numPr>
        <w:ilvl w:val="2"/>
        <w:numId w:val="1"/>
      </w:numPr>
      <w:overflowPunct/>
      <w:autoSpaceDE/>
      <w:autoSpaceDN/>
      <w:adjustRightInd/>
      <w:spacing w:before="240" w:after="240" w:line="276" w:lineRule="auto"/>
      <w:jc w:val="both"/>
      <w:textAlignment w:val="auto"/>
      <w:outlineLvl w:val="2"/>
    </w:pPr>
    <w:rPr>
      <w:rFonts w:ascii="Calibri" w:hAnsi="Calibri"/>
      <w:b/>
      <w:bCs/>
      <w:color w:val="365F91"/>
      <w:sz w:val="24"/>
      <w:lang w:val="x-none" w:eastAsia="x-none"/>
    </w:rPr>
  </w:style>
  <w:style w:type="paragraph" w:styleId="Nadpis4">
    <w:name w:val="heading 4"/>
    <w:basedOn w:val="Normln"/>
    <w:next w:val="Normln"/>
    <w:link w:val="Nadpis4Char"/>
    <w:uiPriority w:val="9"/>
    <w:qFormat/>
    <w:rsid w:val="00B53D79"/>
    <w:pPr>
      <w:keepNext/>
      <w:keepLines/>
      <w:numPr>
        <w:ilvl w:val="3"/>
        <w:numId w:val="1"/>
      </w:numPr>
      <w:overflowPunct/>
      <w:autoSpaceDE/>
      <w:autoSpaceDN/>
      <w:adjustRightInd/>
      <w:spacing w:before="360" w:after="120" w:line="276" w:lineRule="auto"/>
      <w:jc w:val="both"/>
      <w:textAlignment w:val="auto"/>
      <w:outlineLvl w:val="3"/>
    </w:pPr>
    <w:rPr>
      <w:rFonts w:ascii="Calibri" w:hAnsi="Calibri"/>
      <w:b/>
      <w:bCs/>
      <w:i/>
      <w:iCs/>
      <w:sz w:val="24"/>
      <w:lang w:val="x-none" w:eastAsia="x-none"/>
    </w:rPr>
  </w:style>
  <w:style w:type="paragraph" w:styleId="Nadpis5">
    <w:name w:val="heading 5"/>
    <w:basedOn w:val="Normln"/>
    <w:next w:val="Normln"/>
    <w:link w:val="Nadpis5Char"/>
    <w:uiPriority w:val="9"/>
    <w:qFormat/>
    <w:rsid w:val="008F72F4"/>
    <w:pPr>
      <w:keepNext/>
      <w:keepLines/>
      <w:numPr>
        <w:ilvl w:val="4"/>
        <w:numId w:val="1"/>
      </w:numPr>
      <w:overflowPunct/>
      <w:autoSpaceDE/>
      <w:autoSpaceDN/>
      <w:adjustRightInd/>
      <w:spacing w:before="200" w:after="120" w:line="276" w:lineRule="auto"/>
      <w:jc w:val="both"/>
      <w:textAlignment w:val="auto"/>
      <w:outlineLvl w:val="4"/>
    </w:pPr>
    <w:rPr>
      <w:rFonts w:ascii="Calibri" w:hAnsi="Calibri"/>
      <w:color w:val="365F91"/>
      <w:sz w:val="24"/>
      <w:lang w:val="x-none" w:eastAsia="x-none"/>
    </w:rPr>
  </w:style>
  <w:style w:type="paragraph" w:styleId="Nadpis6">
    <w:name w:val="heading 6"/>
    <w:basedOn w:val="Normln"/>
    <w:next w:val="Normln"/>
    <w:link w:val="Nadpis6Char"/>
    <w:uiPriority w:val="9"/>
    <w:qFormat/>
    <w:rsid w:val="00F03E3C"/>
    <w:pPr>
      <w:keepNext/>
      <w:keepLines/>
      <w:numPr>
        <w:ilvl w:val="5"/>
        <w:numId w:val="1"/>
      </w:numPr>
      <w:overflowPunct/>
      <w:autoSpaceDE/>
      <w:autoSpaceDN/>
      <w:adjustRightInd/>
      <w:spacing w:before="200" w:line="276" w:lineRule="auto"/>
      <w:jc w:val="both"/>
      <w:textAlignment w:val="auto"/>
      <w:outlineLvl w:val="5"/>
    </w:pPr>
    <w:rPr>
      <w:rFonts w:ascii="Cambria" w:hAnsi="Cambria"/>
      <w:i/>
      <w:iCs/>
      <w:color w:val="243F60"/>
      <w:sz w:val="24"/>
      <w:lang w:val="x-none" w:eastAsia="x-none"/>
    </w:rPr>
  </w:style>
  <w:style w:type="paragraph" w:styleId="Nadpis7">
    <w:name w:val="heading 7"/>
    <w:basedOn w:val="Normln"/>
    <w:next w:val="Normln"/>
    <w:link w:val="Nadpis7Char"/>
    <w:uiPriority w:val="9"/>
    <w:qFormat/>
    <w:rsid w:val="00F03E3C"/>
    <w:pPr>
      <w:keepNext/>
      <w:keepLines/>
      <w:numPr>
        <w:ilvl w:val="6"/>
        <w:numId w:val="1"/>
      </w:numPr>
      <w:overflowPunct/>
      <w:autoSpaceDE/>
      <w:autoSpaceDN/>
      <w:adjustRightInd/>
      <w:spacing w:before="200" w:line="276" w:lineRule="auto"/>
      <w:jc w:val="both"/>
      <w:textAlignment w:val="auto"/>
      <w:outlineLvl w:val="6"/>
    </w:pPr>
    <w:rPr>
      <w:rFonts w:ascii="Cambria" w:hAnsi="Cambria"/>
      <w:i/>
      <w:iCs/>
      <w:color w:val="404040"/>
      <w:sz w:val="24"/>
      <w:lang w:val="x-none" w:eastAsia="x-none"/>
    </w:rPr>
  </w:style>
  <w:style w:type="paragraph" w:styleId="Nadpis8">
    <w:name w:val="heading 8"/>
    <w:basedOn w:val="Normln"/>
    <w:next w:val="Normln"/>
    <w:link w:val="Nadpis8Char"/>
    <w:uiPriority w:val="9"/>
    <w:qFormat/>
    <w:rsid w:val="00F03E3C"/>
    <w:pPr>
      <w:keepNext/>
      <w:keepLines/>
      <w:numPr>
        <w:ilvl w:val="7"/>
        <w:numId w:val="1"/>
      </w:numPr>
      <w:overflowPunct/>
      <w:autoSpaceDE/>
      <w:autoSpaceDN/>
      <w:adjustRightInd/>
      <w:spacing w:before="200" w:line="276" w:lineRule="auto"/>
      <w:jc w:val="both"/>
      <w:textAlignment w:val="auto"/>
      <w:outlineLvl w:val="7"/>
    </w:pPr>
    <w:rPr>
      <w:rFonts w:ascii="Cambria" w:hAnsi="Cambria"/>
      <w:color w:val="404040"/>
      <w:lang w:val="x-none" w:eastAsia="x-none"/>
    </w:rPr>
  </w:style>
  <w:style w:type="paragraph" w:styleId="Nadpis9">
    <w:name w:val="heading 9"/>
    <w:basedOn w:val="Normln"/>
    <w:next w:val="Normln"/>
    <w:link w:val="Nadpis9Char"/>
    <w:uiPriority w:val="9"/>
    <w:qFormat/>
    <w:rsid w:val="00F03E3C"/>
    <w:pPr>
      <w:keepNext/>
      <w:keepLines/>
      <w:numPr>
        <w:ilvl w:val="8"/>
        <w:numId w:val="1"/>
      </w:numPr>
      <w:overflowPunct/>
      <w:autoSpaceDE/>
      <w:autoSpaceDN/>
      <w:adjustRightInd/>
      <w:spacing w:before="200" w:line="276" w:lineRule="auto"/>
      <w:jc w:val="both"/>
      <w:textAlignment w:val="auto"/>
      <w:outlineLvl w:val="8"/>
    </w:pPr>
    <w:rPr>
      <w:rFonts w:ascii="Cambria" w:hAnsi="Cambria"/>
      <w:i/>
      <w:iCs/>
      <w:color w:val="404040"/>
      <w:lang w:val="x-none"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h1 Char,H1 Char,Nadpis 1-Nadpis smlouvy Char,Základní kapitola Char,V_Head1 Char,Záhlaví 1 Char,0Überschrift 1 Char,1Überschrift 1 Char,2Überschrift 1 Char,3Überschrift 1 Char,4Überschrift 1 Char,5Überschrift 1 Char,6Überschrift 1 Char"/>
    <w:link w:val="Nadpis1"/>
    <w:uiPriority w:val="9"/>
    <w:rsid w:val="000816D8"/>
    <w:rPr>
      <w:rFonts w:ascii="Calibri" w:hAnsi="Calibri"/>
      <w:b/>
      <w:bCs/>
      <w:smallCaps/>
      <w:kern w:val="32"/>
      <w:sz w:val="28"/>
      <w:szCs w:val="32"/>
      <w:lang w:val="x-none" w:eastAsia="x-none"/>
    </w:rPr>
  </w:style>
  <w:style w:type="character" w:customStyle="1" w:styleId="Nadpis2Char">
    <w:name w:val="Nadpis 2 Char"/>
    <w:link w:val="Nadpis2"/>
    <w:rsid w:val="00EF5F81"/>
    <w:rPr>
      <w:rFonts w:ascii="Calibri" w:hAnsi="Calibri"/>
      <w:b/>
      <w:bCs/>
      <w:iCs/>
      <w:sz w:val="26"/>
      <w:szCs w:val="28"/>
      <w:lang w:val="x-none" w:eastAsia="x-none"/>
    </w:rPr>
  </w:style>
  <w:style w:type="character" w:customStyle="1" w:styleId="Nadpis3Char">
    <w:name w:val="Nadpis 3 Char"/>
    <w:link w:val="Nadpis3"/>
    <w:uiPriority w:val="9"/>
    <w:rsid w:val="00EA3457"/>
    <w:rPr>
      <w:rFonts w:ascii="Calibri" w:hAnsi="Calibri"/>
      <w:b/>
      <w:bCs/>
      <w:color w:val="365F91"/>
      <w:sz w:val="24"/>
      <w:lang w:val="x-none" w:eastAsia="x-none"/>
    </w:rPr>
  </w:style>
  <w:style w:type="character" w:customStyle="1" w:styleId="Nadpis4Char">
    <w:name w:val="Nadpis 4 Char"/>
    <w:link w:val="Nadpis4"/>
    <w:uiPriority w:val="9"/>
    <w:rsid w:val="00B53D79"/>
    <w:rPr>
      <w:rFonts w:ascii="Calibri" w:hAnsi="Calibri"/>
      <w:b/>
      <w:bCs/>
      <w:i/>
      <w:iCs/>
      <w:sz w:val="24"/>
      <w:lang w:val="x-none" w:eastAsia="x-none"/>
    </w:rPr>
  </w:style>
  <w:style w:type="character" w:customStyle="1" w:styleId="Nadpis5Char">
    <w:name w:val="Nadpis 5 Char"/>
    <w:link w:val="Nadpis5"/>
    <w:uiPriority w:val="9"/>
    <w:rsid w:val="008F72F4"/>
    <w:rPr>
      <w:rFonts w:ascii="Calibri" w:hAnsi="Calibri"/>
      <w:color w:val="365F91"/>
      <w:sz w:val="24"/>
      <w:lang w:val="x-none" w:eastAsia="x-none"/>
    </w:rPr>
  </w:style>
  <w:style w:type="character" w:customStyle="1" w:styleId="Nadpis6Char">
    <w:name w:val="Nadpis 6 Char"/>
    <w:link w:val="Nadpis6"/>
    <w:uiPriority w:val="9"/>
    <w:rsid w:val="00F03E3C"/>
    <w:rPr>
      <w:rFonts w:ascii="Cambria" w:hAnsi="Cambria"/>
      <w:i/>
      <w:iCs/>
      <w:color w:val="243F60"/>
      <w:sz w:val="24"/>
      <w:lang w:val="x-none" w:eastAsia="x-none"/>
    </w:rPr>
  </w:style>
  <w:style w:type="character" w:customStyle="1" w:styleId="Nadpis7Char">
    <w:name w:val="Nadpis 7 Char"/>
    <w:link w:val="Nadpis7"/>
    <w:uiPriority w:val="9"/>
    <w:rsid w:val="00F03E3C"/>
    <w:rPr>
      <w:rFonts w:ascii="Cambria" w:hAnsi="Cambria"/>
      <w:i/>
      <w:iCs/>
      <w:color w:val="404040"/>
      <w:sz w:val="24"/>
      <w:lang w:val="x-none" w:eastAsia="x-none"/>
    </w:rPr>
  </w:style>
  <w:style w:type="character" w:customStyle="1" w:styleId="Nadpis8Char">
    <w:name w:val="Nadpis 8 Char"/>
    <w:link w:val="Nadpis8"/>
    <w:uiPriority w:val="9"/>
    <w:rsid w:val="00F03E3C"/>
    <w:rPr>
      <w:rFonts w:ascii="Cambria" w:hAnsi="Cambria"/>
      <w:color w:val="404040"/>
      <w:lang w:val="x-none" w:eastAsia="x-none"/>
    </w:rPr>
  </w:style>
  <w:style w:type="character" w:customStyle="1" w:styleId="Nadpis9Char">
    <w:name w:val="Nadpis 9 Char"/>
    <w:link w:val="Nadpis9"/>
    <w:uiPriority w:val="9"/>
    <w:rsid w:val="00F03E3C"/>
    <w:rPr>
      <w:rFonts w:ascii="Cambria" w:hAnsi="Cambria"/>
      <w:i/>
      <w:iCs/>
      <w:color w:val="404040"/>
      <w:lang w:val="x-none" w:eastAsia="x-none"/>
    </w:rPr>
  </w:style>
  <w:style w:type="paragraph" w:customStyle="1" w:styleId="Odstavecseseznamem1">
    <w:name w:val="Odstavec se seznamem1"/>
    <w:aliases w:val="Odstavec_muj"/>
    <w:basedOn w:val="Normln"/>
    <w:link w:val="OdstavecseseznamemChar"/>
    <w:uiPriority w:val="99"/>
    <w:qFormat/>
    <w:rsid w:val="00FB5FA2"/>
    <w:pPr>
      <w:ind w:left="720"/>
      <w:contextualSpacing/>
    </w:pPr>
  </w:style>
  <w:style w:type="paragraph" w:styleId="Titulek">
    <w:name w:val="caption"/>
    <w:basedOn w:val="Normln"/>
    <w:next w:val="Normln"/>
    <w:qFormat/>
    <w:rsid w:val="007C3506"/>
    <w:pPr>
      <w:spacing w:before="240" w:after="120"/>
      <w:jc w:val="both"/>
    </w:pPr>
    <w:rPr>
      <w:rFonts w:ascii="Calibri" w:hAnsi="Calibri"/>
      <w:b/>
      <w:bCs/>
      <w:color w:val="4F81BD"/>
      <w:sz w:val="24"/>
      <w:szCs w:val="18"/>
    </w:rPr>
  </w:style>
  <w:style w:type="character" w:styleId="Znakapoznpodarou">
    <w:name w:val="footnote reference"/>
    <w:aliases w:val="BVI fnr,Footnote symbol,Footnote Reference Number,PGI Fußnote Ziffer,Footnote Reference Superscript,Appel note de bas de p,Appel note de bas de page,Légende,Char Car Car Car Car,Voetnootverwijzing,Légende;Char Car Car Car Car"/>
    <w:uiPriority w:val="99"/>
    <w:rsid w:val="00F03E3C"/>
    <w:rPr>
      <w:vertAlign w:val="superscript"/>
    </w:rPr>
  </w:style>
  <w:style w:type="character" w:customStyle="1" w:styleId="ZkladntextChar">
    <w:name w:val="Základní text Char"/>
    <w:aliases w:val="Standard paragraph Char,Body Text1 Char,Char1 Char,Základní text Char Char Char Char Char Char Char"/>
    <w:link w:val="Zkladntext"/>
    <w:locked/>
    <w:rsid w:val="00F03E3C"/>
    <w:rPr>
      <w:b/>
      <w:bCs/>
      <w:sz w:val="24"/>
    </w:rPr>
  </w:style>
  <w:style w:type="paragraph" w:styleId="Zkladntext">
    <w:name w:val="Body Text"/>
    <w:aliases w:val="Standard paragraph,Body Text1,Char1,Základní text Char Char Char Char Char Char"/>
    <w:basedOn w:val="Normln"/>
    <w:link w:val="ZkladntextChar"/>
    <w:unhideWhenUsed/>
    <w:rsid w:val="00F03E3C"/>
    <w:pPr>
      <w:jc w:val="both"/>
      <w:textAlignment w:val="auto"/>
    </w:pPr>
    <w:rPr>
      <w:b/>
      <w:bCs/>
      <w:sz w:val="24"/>
      <w:lang w:val="x-none" w:eastAsia="x-none"/>
    </w:rPr>
  </w:style>
  <w:style w:type="character" w:customStyle="1" w:styleId="ZkladntextChar1">
    <w:name w:val="Základní text Char1"/>
    <w:basedOn w:val="Standardnpsmoodstavce"/>
    <w:uiPriority w:val="99"/>
    <w:semiHidden/>
    <w:rsid w:val="00F03E3C"/>
  </w:style>
  <w:style w:type="paragraph" w:styleId="Obsah1">
    <w:name w:val="toc 1"/>
    <w:basedOn w:val="Normln"/>
    <w:next w:val="Normln"/>
    <w:autoRedefine/>
    <w:uiPriority w:val="39"/>
    <w:unhideWhenUsed/>
    <w:rsid w:val="002E4CA7"/>
    <w:pPr>
      <w:overflowPunct/>
      <w:autoSpaceDE/>
      <w:autoSpaceDN/>
      <w:adjustRightInd/>
      <w:spacing w:before="200" w:after="100" w:line="276" w:lineRule="auto"/>
      <w:jc w:val="both"/>
      <w:textAlignment w:val="auto"/>
    </w:pPr>
    <w:rPr>
      <w:rFonts w:ascii="Calibri" w:hAnsi="Calibri"/>
      <w:b/>
      <w:sz w:val="24"/>
    </w:rPr>
  </w:style>
  <w:style w:type="paragraph" w:styleId="Obsah3">
    <w:name w:val="toc 3"/>
    <w:basedOn w:val="Normln"/>
    <w:next w:val="Normln"/>
    <w:autoRedefine/>
    <w:uiPriority w:val="39"/>
    <w:unhideWhenUsed/>
    <w:rsid w:val="009031E4"/>
    <w:pPr>
      <w:tabs>
        <w:tab w:val="left" w:pos="1320"/>
        <w:tab w:val="right" w:leader="dot" w:pos="9202"/>
      </w:tabs>
      <w:overflowPunct/>
      <w:autoSpaceDE/>
      <w:autoSpaceDN/>
      <w:adjustRightInd/>
      <w:spacing w:before="200" w:after="100" w:line="276" w:lineRule="auto"/>
      <w:ind w:left="480"/>
      <w:jc w:val="both"/>
      <w:textAlignment w:val="auto"/>
    </w:pPr>
    <w:rPr>
      <w:rFonts w:ascii="Calibri" w:hAnsi="Calibri"/>
      <w:i/>
      <w:noProof/>
      <w:sz w:val="24"/>
    </w:rPr>
  </w:style>
  <w:style w:type="paragraph" w:styleId="Obsah2">
    <w:name w:val="toc 2"/>
    <w:basedOn w:val="Normln"/>
    <w:next w:val="Normln"/>
    <w:autoRedefine/>
    <w:uiPriority w:val="39"/>
    <w:unhideWhenUsed/>
    <w:rsid w:val="00F03E3C"/>
    <w:pPr>
      <w:overflowPunct/>
      <w:autoSpaceDE/>
      <w:autoSpaceDN/>
      <w:adjustRightInd/>
      <w:spacing w:before="200" w:after="100" w:line="276" w:lineRule="auto"/>
      <w:ind w:left="240"/>
      <w:jc w:val="both"/>
      <w:textAlignment w:val="auto"/>
    </w:pPr>
    <w:rPr>
      <w:rFonts w:ascii="Calibri" w:hAnsi="Calibri"/>
      <w:sz w:val="24"/>
    </w:rPr>
  </w:style>
  <w:style w:type="character" w:styleId="Hypertextovodkaz">
    <w:name w:val="Hyperlink"/>
    <w:uiPriority w:val="99"/>
    <w:unhideWhenUsed/>
    <w:rsid w:val="00F03E3C"/>
    <w:rPr>
      <w:color w:val="0000FF"/>
      <w:u w:val="single"/>
    </w:rPr>
  </w:style>
  <w:style w:type="paragraph" w:customStyle="1" w:styleId="Point0number">
    <w:name w:val="Point 0 (numb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number">
    <w:name w:val="Point 1 (numb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number">
    <w:name w:val="Point 2 (numb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number">
    <w:name w:val="Point 3 (numb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0letter">
    <w:name w:val="Point 0 (letter)"/>
    <w:basedOn w:val="Normln"/>
    <w:rsid w:val="00F03E3C"/>
    <w:pPr>
      <w:tabs>
        <w:tab w:val="num" w:pos="850"/>
      </w:tabs>
      <w:overflowPunct/>
      <w:autoSpaceDE/>
      <w:autoSpaceDN/>
      <w:adjustRightInd/>
      <w:spacing w:before="120" w:after="120"/>
      <w:ind w:left="850" w:hanging="850"/>
      <w:jc w:val="both"/>
      <w:textAlignment w:val="auto"/>
    </w:pPr>
    <w:rPr>
      <w:sz w:val="24"/>
      <w:szCs w:val="24"/>
      <w:lang w:val="en-GB" w:eastAsia="en-US"/>
    </w:rPr>
  </w:style>
  <w:style w:type="paragraph" w:customStyle="1" w:styleId="Point1letter">
    <w:name w:val="Point 1 (letter)"/>
    <w:basedOn w:val="Normln"/>
    <w:rsid w:val="00F03E3C"/>
    <w:pPr>
      <w:tabs>
        <w:tab w:val="num" w:pos="1417"/>
      </w:tabs>
      <w:overflowPunct/>
      <w:autoSpaceDE/>
      <w:autoSpaceDN/>
      <w:adjustRightInd/>
      <w:spacing w:before="120" w:after="120"/>
      <w:ind w:left="1417" w:hanging="567"/>
      <w:jc w:val="both"/>
      <w:textAlignment w:val="auto"/>
    </w:pPr>
    <w:rPr>
      <w:sz w:val="24"/>
      <w:szCs w:val="24"/>
      <w:lang w:val="en-GB" w:eastAsia="en-US"/>
    </w:rPr>
  </w:style>
  <w:style w:type="paragraph" w:customStyle="1" w:styleId="Point2letter">
    <w:name w:val="Point 2 (letter)"/>
    <w:basedOn w:val="Normln"/>
    <w:rsid w:val="00F03E3C"/>
    <w:pPr>
      <w:tabs>
        <w:tab w:val="num" w:pos="1984"/>
      </w:tabs>
      <w:overflowPunct/>
      <w:autoSpaceDE/>
      <w:autoSpaceDN/>
      <w:adjustRightInd/>
      <w:spacing w:before="120" w:after="120"/>
      <w:ind w:left="1984" w:hanging="567"/>
      <w:jc w:val="both"/>
      <w:textAlignment w:val="auto"/>
    </w:pPr>
    <w:rPr>
      <w:sz w:val="24"/>
      <w:szCs w:val="24"/>
      <w:lang w:val="en-GB" w:eastAsia="en-US"/>
    </w:rPr>
  </w:style>
  <w:style w:type="paragraph" w:customStyle="1" w:styleId="Point3letter">
    <w:name w:val="Point 3 (letter)"/>
    <w:basedOn w:val="Normln"/>
    <w:rsid w:val="00F03E3C"/>
    <w:pPr>
      <w:tabs>
        <w:tab w:val="num" w:pos="2551"/>
      </w:tabs>
      <w:overflowPunct/>
      <w:autoSpaceDE/>
      <w:autoSpaceDN/>
      <w:adjustRightInd/>
      <w:spacing w:before="120" w:after="120"/>
      <w:ind w:left="2551" w:hanging="567"/>
      <w:jc w:val="both"/>
      <w:textAlignment w:val="auto"/>
    </w:pPr>
    <w:rPr>
      <w:sz w:val="24"/>
      <w:szCs w:val="24"/>
      <w:lang w:val="en-GB" w:eastAsia="en-US"/>
    </w:rPr>
  </w:style>
  <w:style w:type="paragraph" w:customStyle="1" w:styleId="Point4letter">
    <w:name w:val="Point 4 (letter)"/>
    <w:basedOn w:val="Normln"/>
    <w:rsid w:val="00F03E3C"/>
    <w:pPr>
      <w:tabs>
        <w:tab w:val="num" w:pos="3118"/>
      </w:tabs>
      <w:overflowPunct/>
      <w:autoSpaceDE/>
      <w:autoSpaceDN/>
      <w:adjustRightInd/>
      <w:spacing w:before="120" w:after="120"/>
      <w:ind w:left="3118" w:hanging="567"/>
      <w:jc w:val="both"/>
      <w:textAlignment w:val="auto"/>
    </w:pPr>
    <w:rPr>
      <w:sz w:val="24"/>
      <w:szCs w:val="24"/>
      <w:lang w:val="en-GB" w:eastAsia="en-US"/>
    </w:rPr>
  </w:style>
  <w:style w:type="paragraph" w:styleId="Normlnweb">
    <w:name w:val="Normal (Web)"/>
    <w:basedOn w:val="Normln"/>
    <w:uiPriority w:val="99"/>
    <w:unhideWhenUsed/>
    <w:rsid w:val="00F03E3C"/>
    <w:pPr>
      <w:overflowPunct/>
      <w:autoSpaceDE/>
      <w:autoSpaceDN/>
      <w:adjustRightInd/>
      <w:spacing w:before="100" w:beforeAutospacing="1" w:after="100" w:afterAutospacing="1"/>
      <w:textAlignment w:val="auto"/>
    </w:pPr>
    <w:rPr>
      <w:sz w:val="24"/>
      <w:szCs w:val="24"/>
    </w:rPr>
  </w:style>
  <w:style w:type="paragraph" w:customStyle="1" w:styleId="beznytext">
    <w:name w:val="bezny_text"/>
    <w:basedOn w:val="Normln"/>
    <w:rsid w:val="00F03E3C"/>
    <w:pPr>
      <w:overflowPunct/>
      <w:autoSpaceDE/>
      <w:autoSpaceDN/>
      <w:adjustRightInd/>
      <w:spacing w:before="100" w:beforeAutospacing="1" w:after="100" w:afterAutospacing="1"/>
      <w:textAlignment w:val="auto"/>
    </w:pPr>
    <w:rPr>
      <w:sz w:val="24"/>
      <w:szCs w:val="24"/>
    </w:rPr>
  </w:style>
  <w:style w:type="paragraph" w:styleId="Bezmezer">
    <w:name w:val="No Spacing"/>
    <w:link w:val="BezmezerChar"/>
    <w:uiPriority w:val="1"/>
    <w:qFormat/>
    <w:rsid w:val="00F03E3C"/>
    <w:rPr>
      <w:rFonts w:ascii="Calibri" w:hAnsi="Calibri"/>
      <w:sz w:val="22"/>
      <w:szCs w:val="22"/>
    </w:rPr>
  </w:style>
  <w:style w:type="character" w:customStyle="1" w:styleId="BezmezerChar">
    <w:name w:val="Bez mezer Char"/>
    <w:link w:val="Bezmezer"/>
    <w:uiPriority w:val="1"/>
    <w:rsid w:val="00F03E3C"/>
    <w:rPr>
      <w:rFonts w:ascii="Calibri" w:hAnsi="Calibri"/>
      <w:sz w:val="22"/>
      <w:szCs w:val="22"/>
      <w:lang w:bidi="ar-SA"/>
    </w:rPr>
  </w:style>
  <w:style w:type="paragraph" w:styleId="Zhlav">
    <w:name w:val="header"/>
    <w:basedOn w:val="Normln"/>
    <w:link w:val="ZhlavChar"/>
    <w:uiPriority w:val="99"/>
    <w:unhideWhenUsed/>
    <w:rsid w:val="00F03E3C"/>
    <w:pPr>
      <w:tabs>
        <w:tab w:val="center" w:pos="4536"/>
        <w:tab w:val="right" w:pos="9072"/>
      </w:tabs>
      <w:overflowPunct/>
      <w:autoSpaceDE/>
      <w:autoSpaceDN/>
      <w:adjustRightInd/>
      <w:jc w:val="both"/>
      <w:textAlignment w:val="auto"/>
    </w:pPr>
    <w:rPr>
      <w:rFonts w:ascii="Calibri" w:hAnsi="Calibri"/>
      <w:sz w:val="24"/>
      <w:lang w:val="x-none" w:eastAsia="x-none"/>
    </w:rPr>
  </w:style>
  <w:style w:type="character" w:customStyle="1" w:styleId="ZhlavChar">
    <w:name w:val="Záhlaví Char"/>
    <w:link w:val="Zhlav"/>
    <w:uiPriority w:val="99"/>
    <w:rsid w:val="00F03E3C"/>
    <w:rPr>
      <w:rFonts w:ascii="Calibri" w:hAnsi="Calibri"/>
      <w:sz w:val="24"/>
    </w:rPr>
  </w:style>
  <w:style w:type="paragraph" w:styleId="Zpat">
    <w:name w:val="footer"/>
    <w:basedOn w:val="Normln"/>
    <w:link w:val="ZpatChar"/>
    <w:uiPriority w:val="99"/>
    <w:unhideWhenUsed/>
    <w:rsid w:val="00F03E3C"/>
    <w:pPr>
      <w:tabs>
        <w:tab w:val="center" w:pos="4536"/>
        <w:tab w:val="right" w:pos="9072"/>
      </w:tabs>
      <w:overflowPunct/>
      <w:autoSpaceDE/>
      <w:autoSpaceDN/>
      <w:adjustRightInd/>
      <w:jc w:val="both"/>
      <w:textAlignment w:val="auto"/>
    </w:pPr>
    <w:rPr>
      <w:rFonts w:ascii="Calibri" w:hAnsi="Calibri"/>
      <w:sz w:val="24"/>
      <w:lang w:val="x-none" w:eastAsia="x-none"/>
    </w:rPr>
  </w:style>
  <w:style w:type="character" w:customStyle="1" w:styleId="ZpatChar">
    <w:name w:val="Zápatí Char"/>
    <w:link w:val="Zpat"/>
    <w:uiPriority w:val="99"/>
    <w:rsid w:val="00F03E3C"/>
    <w:rPr>
      <w:rFonts w:ascii="Calibri" w:hAnsi="Calibri"/>
      <w:sz w:val="24"/>
    </w:rPr>
  </w:style>
  <w:style w:type="character" w:customStyle="1" w:styleId="TextbublinyChar">
    <w:name w:val="Text bubliny Char"/>
    <w:link w:val="Textbubliny"/>
    <w:uiPriority w:val="99"/>
    <w:semiHidden/>
    <w:rsid w:val="00F03E3C"/>
    <w:rPr>
      <w:rFonts w:ascii="Tahoma" w:hAnsi="Tahoma" w:cs="Tahoma"/>
      <w:sz w:val="16"/>
      <w:szCs w:val="16"/>
    </w:rPr>
  </w:style>
  <w:style w:type="paragraph" w:styleId="Textbubliny">
    <w:name w:val="Balloon Text"/>
    <w:basedOn w:val="Normln"/>
    <w:link w:val="TextbublinyChar"/>
    <w:uiPriority w:val="99"/>
    <w:semiHidden/>
    <w:unhideWhenUsed/>
    <w:rsid w:val="00F03E3C"/>
    <w:pPr>
      <w:overflowPunct/>
      <w:autoSpaceDE/>
      <w:autoSpaceDN/>
      <w:adjustRightInd/>
      <w:jc w:val="both"/>
      <w:textAlignment w:val="auto"/>
    </w:pPr>
    <w:rPr>
      <w:rFonts w:ascii="Tahoma" w:hAnsi="Tahoma"/>
      <w:sz w:val="16"/>
      <w:szCs w:val="16"/>
      <w:lang w:val="x-none" w:eastAsia="x-none"/>
    </w:rPr>
  </w:style>
  <w:style w:type="character" w:customStyle="1" w:styleId="TextkomenteChar">
    <w:name w:val="Text komentáře Char"/>
    <w:link w:val="Textkomente"/>
    <w:rsid w:val="00F03E3C"/>
    <w:rPr>
      <w:rFonts w:ascii="Calibri" w:hAnsi="Calibri"/>
    </w:rPr>
  </w:style>
  <w:style w:type="paragraph" w:styleId="Textkomente">
    <w:name w:val="annotation text"/>
    <w:basedOn w:val="Normln"/>
    <w:link w:val="TextkomenteChar"/>
    <w:unhideWhenUsed/>
    <w:rsid w:val="00F03E3C"/>
    <w:pPr>
      <w:overflowPunct/>
      <w:autoSpaceDE/>
      <w:autoSpaceDN/>
      <w:adjustRightInd/>
      <w:spacing w:before="200" w:after="200"/>
      <w:jc w:val="both"/>
      <w:textAlignment w:val="auto"/>
    </w:pPr>
    <w:rPr>
      <w:rFonts w:ascii="Calibri" w:hAnsi="Calibri"/>
      <w:lang w:val="x-none" w:eastAsia="x-none"/>
    </w:rPr>
  </w:style>
  <w:style w:type="character" w:customStyle="1" w:styleId="PedmtkomenteChar">
    <w:name w:val="Předmět komentáře Char"/>
    <w:link w:val="Pedmtkomente"/>
    <w:uiPriority w:val="99"/>
    <w:semiHidden/>
    <w:rsid w:val="00F03E3C"/>
    <w:rPr>
      <w:rFonts w:ascii="Calibri" w:hAnsi="Calibri"/>
      <w:b/>
      <w:bCs/>
    </w:rPr>
  </w:style>
  <w:style w:type="paragraph" w:styleId="Pedmtkomente">
    <w:name w:val="annotation subject"/>
    <w:basedOn w:val="Textkomente"/>
    <w:next w:val="Textkomente"/>
    <w:link w:val="PedmtkomenteChar"/>
    <w:uiPriority w:val="99"/>
    <w:semiHidden/>
    <w:unhideWhenUsed/>
    <w:rsid w:val="00F03E3C"/>
    <w:rPr>
      <w:b/>
      <w:bCs/>
    </w:rPr>
  </w:style>
  <w:style w:type="paragraph" w:customStyle="1" w:styleId="Zdroj">
    <w:name w:val="Zdroj"/>
    <w:basedOn w:val="Normln"/>
    <w:next w:val="Normln"/>
    <w:link w:val="ZdrojChar"/>
    <w:rsid w:val="00F03E3C"/>
    <w:pPr>
      <w:overflowPunct/>
      <w:autoSpaceDE/>
      <w:autoSpaceDN/>
      <w:adjustRightInd/>
      <w:spacing w:after="120" w:line="288" w:lineRule="auto"/>
      <w:jc w:val="both"/>
      <w:textAlignment w:val="auto"/>
    </w:pPr>
    <w:rPr>
      <w:rFonts w:ascii="Arial" w:hAnsi="Arial"/>
      <w:sz w:val="18"/>
      <w:szCs w:val="24"/>
      <w:lang w:val="x-none" w:eastAsia="x-none"/>
    </w:rPr>
  </w:style>
  <w:style w:type="character" w:customStyle="1" w:styleId="ZdrojChar">
    <w:name w:val="Zdroj Char"/>
    <w:link w:val="Zdroj"/>
    <w:rsid w:val="00F03E3C"/>
    <w:rPr>
      <w:rFonts w:ascii="Arial" w:hAnsi="Arial"/>
      <w:sz w:val="18"/>
      <w:szCs w:val="24"/>
    </w:rPr>
  </w:style>
  <w:style w:type="paragraph" w:styleId="Nzev">
    <w:name w:val="Title"/>
    <w:basedOn w:val="Normln"/>
    <w:link w:val="NzevChar"/>
    <w:qFormat/>
    <w:rsid w:val="00F03E3C"/>
    <w:pPr>
      <w:jc w:val="center"/>
    </w:pPr>
    <w:rPr>
      <w:b/>
      <w:bCs/>
      <w:sz w:val="24"/>
      <w:lang w:val="x-none" w:eastAsia="x-none"/>
    </w:rPr>
  </w:style>
  <w:style w:type="character" w:customStyle="1" w:styleId="NzevChar">
    <w:name w:val="Název Char"/>
    <w:link w:val="Nzev"/>
    <w:rsid w:val="00F03E3C"/>
    <w:rPr>
      <w:b/>
      <w:bCs/>
      <w:sz w:val="24"/>
    </w:rPr>
  </w:style>
  <w:style w:type="paragraph" w:customStyle="1" w:styleId="OdrazkaIsouhlas">
    <w:name w:val="Odrazka_I_souhlas"/>
    <w:basedOn w:val="Normln"/>
    <w:rsid w:val="00F03E3C"/>
    <w:pPr>
      <w:tabs>
        <w:tab w:val="left" w:pos="284"/>
      </w:tabs>
      <w:overflowPunct/>
      <w:autoSpaceDE/>
      <w:autoSpaceDN/>
      <w:adjustRightInd/>
      <w:spacing w:before="40" w:after="40"/>
      <w:ind w:left="1069" w:hanging="360"/>
      <w:textAlignment w:val="auto"/>
    </w:pPr>
    <w:rPr>
      <w:rFonts w:ascii="Arial" w:hAnsi="Arial" w:cs="Arial"/>
    </w:rPr>
  </w:style>
  <w:style w:type="paragraph" w:customStyle="1" w:styleId="Default">
    <w:name w:val="Default"/>
    <w:link w:val="DefaultChar"/>
    <w:rsid w:val="00F03E3C"/>
    <w:pPr>
      <w:tabs>
        <w:tab w:val="left" w:pos="708"/>
      </w:tabs>
      <w:suppressAutoHyphens/>
      <w:overflowPunct w:val="0"/>
      <w:autoSpaceDE w:val="0"/>
      <w:spacing w:line="200" w:lineRule="atLeast"/>
      <w:textAlignment w:val="baseline"/>
    </w:pPr>
    <w:rPr>
      <w:rFonts w:ascii="Calibri" w:eastAsia="MS Mincho" w:hAnsi="Calibri" w:cs="Calibri"/>
      <w:lang w:eastAsia="en-US"/>
    </w:rPr>
  </w:style>
  <w:style w:type="paragraph" w:customStyle="1" w:styleId="bezmezer1">
    <w:name w:val="bezmezer1"/>
    <w:basedOn w:val="Bezmezer"/>
    <w:qFormat/>
    <w:rsid w:val="00F03E3C"/>
    <w:rPr>
      <w:rFonts w:ascii="Times New Roman" w:eastAsia="Calibri" w:hAnsi="Times New Roman"/>
      <w:sz w:val="24"/>
      <w:szCs w:val="24"/>
      <w:lang w:eastAsia="en-US"/>
    </w:rPr>
  </w:style>
  <w:style w:type="paragraph" w:styleId="Zkladntext3">
    <w:name w:val="Body Text 3"/>
    <w:basedOn w:val="Normln"/>
    <w:link w:val="Zkladntext3Char"/>
    <w:uiPriority w:val="99"/>
    <w:semiHidden/>
    <w:unhideWhenUsed/>
    <w:rsid w:val="00F03E3C"/>
    <w:pPr>
      <w:overflowPunct/>
      <w:autoSpaceDE/>
      <w:autoSpaceDN/>
      <w:adjustRightInd/>
      <w:spacing w:before="200" w:after="120" w:line="276" w:lineRule="auto"/>
      <w:jc w:val="both"/>
      <w:textAlignment w:val="auto"/>
    </w:pPr>
    <w:rPr>
      <w:rFonts w:ascii="Calibri" w:hAnsi="Calibri"/>
      <w:sz w:val="16"/>
      <w:szCs w:val="16"/>
      <w:lang w:val="x-none" w:eastAsia="x-none"/>
    </w:rPr>
  </w:style>
  <w:style w:type="character" w:customStyle="1" w:styleId="Zkladntext3Char">
    <w:name w:val="Základní text 3 Char"/>
    <w:link w:val="Zkladntext3"/>
    <w:uiPriority w:val="99"/>
    <w:semiHidden/>
    <w:rsid w:val="00F03E3C"/>
    <w:rPr>
      <w:rFonts w:ascii="Calibri" w:hAnsi="Calibri"/>
      <w:sz w:val="16"/>
      <w:szCs w:val="16"/>
    </w:rPr>
  </w:style>
  <w:style w:type="paragraph" w:customStyle="1" w:styleId="normln0">
    <w:name w:val="normální"/>
    <w:basedOn w:val="Normln"/>
    <w:qFormat/>
    <w:rsid w:val="00F03E3C"/>
    <w:pPr>
      <w:overflowPunct/>
      <w:autoSpaceDE/>
      <w:autoSpaceDN/>
      <w:adjustRightInd/>
      <w:spacing w:after="200" w:line="276" w:lineRule="auto"/>
      <w:jc w:val="both"/>
      <w:textAlignment w:val="auto"/>
    </w:pPr>
    <w:rPr>
      <w:rFonts w:eastAsia="Calibri"/>
      <w:sz w:val="24"/>
      <w:szCs w:val="24"/>
      <w:lang w:eastAsia="en-US"/>
    </w:rPr>
  </w:style>
  <w:style w:type="paragraph" w:customStyle="1" w:styleId="Odstavecodsazen">
    <w:name w:val="Odstavec odsazený"/>
    <w:basedOn w:val="Normln"/>
    <w:rsid w:val="00F03E3C"/>
    <w:pPr>
      <w:tabs>
        <w:tab w:val="left" w:pos="709"/>
      </w:tabs>
      <w:overflowPunct/>
      <w:autoSpaceDE/>
      <w:autoSpaceDN/>
      <w:adjustRightInd/>
      <w:spacing w:after="120" w:line="360" w:lineRule="auto"/>
      <w:ind w:left="357" w:firstLine="352"/>
      <w:jc w:val="both"/>
      <w:textAlignment w:val="auto"/>
    </w:pPr>
    <w:rPr>
      <w:sz w:val="24"/>
    </w:rPr>
  </w:style>
  <w:style w:type="paragraph" w:styleId="Podpise-mailu">
    <w:name w:val="E-mail Signature"/>
    <w:basedOn w:val="Normln"/>
    <w:link w:val="Podpise-mailuChar"/>
    <w:rsid w:val="00F03E3C"/>
    <w:pPr>
      <w:tabs>
        <w:tab w:val="num" w:pos="720"/>
      </w:tabs>
      <w:overflowPunct/>
      <w:autoSpaceDE/>
      <w:autoSpaceDN/>
      <w:adjustRightInd/>
      <w:spacing w:before="40" w:after="120" w:line="288" w:lineRule="auto"/>
      <w:jc w:val="both"/>
      <w:textAlignment w:val="auto"/>
    </w:pPr>
    <w:rPr>
      <w:rFonts w:ascii="Arial" w:hAnsi="Arial"/>
      <w:szCs w:val="24"/>
      <w:lang w:val="x-none" w:eastAsia="x-none"/>
    </w:rPr>
  </w:style>
  <w:style w:type="character" w:customStyle="1" w:styleId="Podpise-mailuChar">
    <w:name w:val="Podpis e-mailu Char"/>
    <w:link w:val="Podpise-mailu"/>
    <w:rsid w:val="00F03E3C"/>
    <w:rPr>
      <w:rFonts w:ascii="Arial" w:hAnsi="Arial"/>
      <w:szCs w:val="24"/>
    </w:rPr>
  </w:style>
  <w:style w:type="paragraph" w:styleId="Nadpisobsahu">
    <w:name w:val="TOC Heading"/>
    <w:basedOn w:val="Nadpis1"/>
    <w:next w:val="Normln"/>
    <w:uiPriority w:val="39"/>
    <w:qFormat/>
    <w:rsid w:val="005566D0"/>
    <w:pPr>
      <w:keepLines/>
      <w:pageBreakBefore w:val="0"/>
      <w:numPr>
        <w:numId w:val="0"/>
      </w:numPr>
      <w:spacing w:before="480" w:after="0"/>
      <w:jc w:val="left"/>
      <w:outlineLvl w:val="9"/>
    </w:pPr>
    <w:rPr>
      <w:color w:val="365F91"/>
      <w:kern w:val="0"/>
      <w:szCs w:val="28"/>
    </w:rPr>
  </w:style>
  <w:style w:type="paragraph" w:styleId="Obsah4">
    <w:name w:val="toc 4"/>
    <w:basedOn w:val="Normln"/>
    <w:next w:val="Normln"/>
    <w:autoRedefine/>
    <w:uiPriority w:val="39"/>
    <w:unhideWhenUsed/>
    <w:rsid w:val="005566D0"/>
    <w:pPr>
      <w:spacing w:after="100"/>
      <w:ind w:left="600"/>
    </w:pPr>
  </w:style>
  <w:style w:type="table" w:styleId="Mkatabulky">
    <w:name w:val="Table Grid"/>
    <w:basedOn w:val="Normlntabulka"/>
    <w:uiPriority w:val="59"/>
    <w:rsid w:val="009072F3"/>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rsid w:val="00604263"/>
    <w:rPr>
      <w:sz w:val="16"/>
      <w:szCs w:val="16"/>
    </w:rPr>
  </w:style>
  <w:style w:type="character" w:customStyle="1" w:styleId="CharChar5">
    <w:name w:val="Char Char5"/>
    <w:semiHidden/>
    <w:locked/>
    <w:rsid w:val="006D08D8"/>
    <w:rPr>
      <w:rFonts w:ascii="Calibri" w:hAnsi="Calibri"/>
      <w:lang w:bidi="ar-SA"/>
    </w:rPr>
  </w:style>
  <w:style w:type="paragraph" w:customStyle="1" w:styleId="Zdrojtabulkyobrzku">
    <w:name w:val="Zdroj tabulky/obrázku"/>
    <w:basedOn w:val="Normln"/>
    <w:link w:val="ZdrojtabulkyobrzkuChar"/>
    <w:qFormat/>
    <w:rsid w:val="00CB339B"/>
    <w:pPr>
      <w:overflowPunct/>
      <w:autoSpaceDE/>
      <w:autoSpaceDN/>
      <w:adjustRightInd/>
      <w:spacing w:before="120" w:after="240" w:line="288" w:lineRule="auto"/>
      <w:jc w:val="both"/>
      <w:textAlignment w:val="auto"/>
    </w:pPr>
    <w:rPr>
      <w:rFonts w:ascii="Arial" w:hAnsi="Arial"/>
      <w:szCs w:val="22"/>
      <w:lang w:val="x-none" w:eastAsia="x-none"/>
    </w:rPr>
  </w:style>
  <w:style w:type="character" w:customStyle="1" w:styleId="ZdrojtabulkyobrzkuChar">
    <w:name w:val="Zdroj tabulky/obrázku Char"/>
    <w:link w:val="Zdrojtabulkyobrzku"/>
    <w:rsid w:val="00CB339B"/>
    <w:rPr>
      <w:rFonts w:ascii="Arial" w:hAnsi="Arial"/>
      <w:szCs w:val="22"/>
    </w:rPr>
  </w:style>
  <w:style w:type="character" w:customStyle="1" w:styleId="TextMetodikaChar">
    <w:name w:val="Text Metodika Char"/>
    <w:link w:val="TextMetodika"/>
    <w:uiPriority w:val="99"/>
    <w:locked/>
    <w:rsid w:val="004C042F"/>
    <w:rPr>
      <w:rFonts w:ascii="Arial" w:hAnsi="Arial"/>
      <w:lang w:bidi="ar-SA"/>
    </w:rPr>
  </w:style>
  <w:style w:type="paragraph" w:customStyle="1" w:styleId="TextMetodika">
    <w:name w:val="Text Metodika"/>
    <w:basedOn w:val="Normln"/>
    <w:link w:val="TextMetodikaChar"/>
    <w:uiPriority w:val="99"/>
    <w:qFormat/>
    <w:rsid w:val="004C042F"/>
    <w:pPr>
      <w:overflowPunct/>
      <w:autoSpaceDE/>
      <w:autoSpaceDN/>
      <w:adjustRightInd/>
      <w:spacing w:before="120" w:after="120" w:line="312" w:lineRule="auto"/>
      <w:jc w:val="both"/>
      <w:textAlignment w:val="auto"/>
    </w:pPr>
    <w:rPr>
      <w:rFonts w:ascii="Arial" w:hAnsi="Arial"/>
      <w:lang w:val="x-none" w:eastAsia="x-none"/>
    </w:rPr>
  </w:style>
  <w:style w:type="paragraph" w:styleId="Seznamsodrkami">
    <w:name w:val="List Bullet"/>
    <w:basedOn w:val="Normln"/>
    <w:autoRedefine/>
    <w:rsid w:val="00E40039"/>
    <w:pPr>
      <w:overflowPunct/>
      <w:autoSpaceDE/>
      <w:autoSpaceDN/>
      <w:adjustRightInd/>
      <w:jc w:val="both"/>
      <w:textAlignment w:val="auto"/>
    </w:pPr>
    <w:rPr>
      <w:rFonts w:ascii="Calibri" w:hAnsi="Calibri" w:cs="Calibri"/>
      <w:sz w:val="24"/>
      <w:szCs w:val="24"/>
      <w:lang w:eastAsia="en-US"/>
    </w:rPr>
  </w:style>
  <w:style w:type="character" w:customStyle="1" w:styleId="OdstavecseseznamemChar">
    <w:name w:val="Odstavec se seznamem Char"/>
    <w:aliases w:val="Odstavec_muj Char"/>
    <w:link w:val="Odstavecseseznamem1"/>
    <w:uiPriority w:val="34"/>
    <w:rsid w:val="004B5A6C"/>
    <w:rPr>
      <w:lang w:val="cs-CZ" w:eastAsia="cs-CZ" w:bidi="ar-SA"/>
    </w:rPr>
  </w:style>
  <w:style w:type="character" w:customStyle="1" w:styleId="Char1Char1">
    <w:name w:val="Char1 Char1"/>
    <w:aliases w:val="Schriftart: 9 pt Char2,Schriftart: 10 pt Char2,Schriftart: 8 pt Char2,Text poznámky pod čiarou 007 Char2,Footnote Char2,Fußnotentextf Char2,Geneva 9 Char2,Font: Geneva 9 Char2,Boston 10 Char2,f Char2,pozn. pod čarou Char3,Char Char3"/>
    <w:uiPriority w:val="99"/>
    <w:rsid w:val="00E45000"/>
    <w:rPr>
      <w:lang w:val="cs-CZ" w:eastAsia="cs-CZ"/>
    </w:rPr>
  </w:style>
  <w:style w:type="paragraph" w:customStyle="1" w:styleId="NadpisNOK2">
    <w:name w:val="Nadpis NOK 2"/>
    <w:basedOn w:val="Nadpis2"/>
    <w:qFormat/>
    <w:rsid w:val="00AA5B29"/>
    <w:pPr>
      <w:numPr>
        <w:numId w:val="2"/>
      </w:numPr>
      <w:spacing w:line="240" w:lineRule="auto"/>
    </w:pPr>
    <w:rPr>
      <w:rFonts w:ascii="Arial Narrow" w:hAnsi="Arial Narrow" w:cs="Arial Narrow"/>
      <w:iCs w:val="0"/>
      <w:caps/>
      <w:color w:val="003366"/>
      <w:sz w:val="40"/>
      <w:szCs w:val="40"/>
    </w:rPr>
  </w:style>
  <w:style w:type="paragraph" w:customStyle="1" w:styleId="CM4">
    <w:name w:val="CM4"/>
    <w:basedOn w:val="Default"/>
    <w:next w:val="Default"/>
    <w:uiPriority w:val="99"/>
    <w:rsid w:val="00E10173"/>
    <w:pPr>
      <w:tabs>
        <w:tab w:val="clear" w:pos="708"/>
      </w:tabs>
      <w:suppressAutoHyphens w:val="0"/>
      <w:overflowPunct/>
      <w:autoSpaceDN w:val="0"/>
      <w:adjustRightInd w:val="0"/>
      <w:spacing w:line="240" w:lineRule="auto"/>
      <w:textAlignment w:val="auto"/>
    </w:pPr>
    <w:rPr>
      <w:rFonts w:ascii="EUAlbertina" w:eastAsia="Calibri" w:hAnsi="EUAlbertina" w:cs="Times New Roman"/>
      <w:sz w:val="24"/>
      <w:szCs w:val="24"/>
    </w:rPr>
  </w:style>
  <w:style w:type="paragraph" w:customStyle="1" w:styleId="TabNad">
    <w:name w:val="TabNad"/>
    <w:basedOn w:val="Normln"/>
    <w:uiPriority w:val="99"/>
    <w:rsid w:val="00415837"/>
    <w:pPr>
      <w:numPr>
        <w:numId w:val="3"/>
      </w:numPr>
      <w:tabs>
        <w:tab w:val="clear" w:pos="360"/>
      </w:tabs>
      <w:overflowPunct/>
      <w:autoSpaceDE/>
      <w:autoSpaceDN/>
      <w:adjustRightInd/>
      <w:ind w:left="907" w:hanging="907"/>
      <w:textAlignment w:val="auto"/>
    </w:pPr>
    <w:rPr>
      <w:b/>
      <w:bCs/>
      <w:sz w:val="22"/>
      <w:szCs w:val="22"/>
    </w:rPr>
  </w:style>
  <w:style w:type="paragraph" w:styleId="Revize">
    <w:name w:val="Revision"/>
    <w:hidden/>
    <w:uiPriority w:val="99"/>
    <w:semiHidden/>
    <w:rsid w:val="00977285"/>
  </w:style>
  <w:style w:type="character" w:styleId="Siln">
    <w:name w:val="Strong"/>
    <w:uiPriority w:val="22"/>
    <w:qFormat/>
    <w:rsid w:val="007F61BF"/>
    <w:rPr>
      <w:b/>
      <w:bCs/>
      <w:color w:val="58585A"/>
    </w:rPr>
  </w:style>
  <w:style w:type="paragraph" w:styleId="Obsah5">
    <w:name w:val="toc 5"/>
    <w:basedOn w:val="Normln"/>
    <w:next w:val="Normln"/>
    <w:autoRedefine/>
    <w:uiPriority w:val="39"/>
    <w:unhideWhenUsed/>
    <w:rsid w:val="00150B70"/>
    <w:pPr>
      <w:overflowPunct/>
      <w:autoSpaceDE/>
      <w:autoSpaceDN/>
      <w:adjustRightInd/>
      <w:spacing w:after="100" w:line="276" w:lineRule="auto"/>
      <w:ind w:left="880"/>
      <w:textAlignment w:val="auto"/>
    </w:pPr>
    <w:rPr>
      <w:rFonts w:ascii="Calibri" w:hAnsi="Calibri"/>
      <w:sz w:val="22"/>
      <w:szCs w:val="22"/>
    </w:rPr>
  </w:style>
  <w:style w:type="paragraph" w:styleId="Obsah6">
    <w:name w:val="toc 6"/>
    <w:basedOn w:val="Normln"/>
    <w:next w:val="Normln"/>
    <w:autoRedefine/>
    <w:uiPriority w:val="39"/>
    <w:unhideWhenUsed/>
    <w:rsid w:val="00150B70"/>
    <w:pPr>
      <w:overflowPunct/>
      <w:autoSpaceDE/>
      <w:autoSpaceDN/>
      <w:adjustRightInd/>
      <w:spacing w:after="100" w:line="276" w:lineRule="auto"/>
      <w:ind w:left="1100"/>
      <w:textAlignment w:val="auto"/>
    </w:pPr>
    <w:rPr>
      <w:rFonts w:ascii="Calibri" w:hAnsi="Calibri"/>
      <w:sz w:val="22"/>
      <w:szCs w:val="22"/>
    </w:rPr>
  </w:style>
  <w:style w:type="paragraph" w:styleId="Obsah7">
    <w:name w:val="toc 7"/>
    <w:basedOn w:val="Normln"/>
    <w:next w:val="Normln"/>
    <w:autoRedefine/>
    <w:uiPriority w:val="39"/>
    <w:unhideWhenUsed/>
    <w:rsid w:val="00150B70"/>
    <w:pPr>
      <w:overflowPunct/>
      <w:autoSpaceDE/>
      <w:autoSpaceDN/>
      <w:adjustRightInd/>
      <w:spacing w:after="100" w:line="276" w:lineRule="auto"/>
      <w:ind w:left="1320"/>
      <w:textAlignment w:val="auto"/>
    </w:pPr>
    <w:rPr>
      <w:rFonts w:ascii="Calibri" w:hAnsi="Calibri"/>
      <w:sz w:val="22"/>
      <w:szCs w:val="22"/>
    </w:rPr>
  </w:style>
  <w:style w:type="paragraph" w:styleId="Obsah8">
    <w:name w:val="toc 8"/>
    <w:basedOn w:val="Normln"/>
    <w:next w:val="Normln"/>
    <w:autoRedefine/>
    <w:uiPriority w:val="39"/>
    <w:unhideWhenUsed/>
    <w:rsid w:val="00150B70"/>
    <w:pPr>
      <w:overflowPunct/>
      <w:autoSpaceDE/>
      <w:autoSpaceDN/>
      <w:adjustRightInd/>
      <w:spacing w:after="100" w:line="276" w:lineRule="auto"/>
      <w:ind w:left="1540"/>
      <w:textAlignment w:val="auto"/>
    </w:pPr>
    <w:rPr>
      <w:rFonts w:ascii="Calibri" w:hAnsi="Calibri"/>
      <w:sz w:val="22"/>
      <w:szCs w:val="22"/>
    </w:rPr>
  </w:style>
  <w:style w:type="paragraph" w:styleId="Obsah9">
    <w:name w:val="toc 9"/>
    <w:basedOn w:val="Normln"/>
    <w:next w:val="Normln"/>
    <w:autoRedefine/>
    <w:uiPriority w:val="39"/>
    <w:unhideWhenUsed/>
    <w:rsid w:val="00150B70"/>
    <w:pPr>
      <w:overflowPunct/>
      <w:autoSpaceDE/>
      <w:autoSpaceDN/>
      <w:adjustRightInd/>
      <w:spacing w:after="100" w:line="276" w:lineRule="auto"/>
      <w:ind w:left="1760"/>
      <w:textAlignment w:val="auto"/>
    </w:pPr>
    <w:rPr>
      <w:rFonts w:ascii="Calibri" w:hAnsi="Calibri"/>
      <w:sz w:val="22"/>
      <w:szCs w:val="22"/>
    </w:rPr>
  </w:style>
  <w:style w:type="paragraph" w:styleId="Textvysvtlivek">
    <w:name w:val="endnote text"/>
    <w:basedOn w:val="Normln"/>
    <w:link w:val="TextvysvtlivekChar"/>
    <w:uiPriority w:val="99"/>
    <w:rsid w:val="00A72DFD"/>
  </w:style>
  <w:style w:type="character" w:customStyle="1" w:styleId="TextvysvtlivekChar">
    <w:name w:val="Text vysvětlivek Char"/>
    <w:basedOn w:val="Standardnpsmoodstavce"/>
    <w:link w:val="Textvysvtlivek"/>
    <w:uiPriority w:val="99"/>
    <w:rsid w:val="00A72DFD"/>
  </w:style>
  <w:style w:type="character" w:styleId="Odkaznavysvtlivky">
    <w:name w:val="endnote reference"/>
    <w:rsid w:val="00A72DFD"/>
    <w:rPr>
      <w:vertAlign w:val="superscript"/>
    </w:rPr>
  </w:style>
  <w:style w:type="character" w:customStyle="1" w:styleId="st1">
    <w:name w:val="st1"/>
    <w:basedOn w:val="Standardnpsmoodstavce"/>
    <w:rsid w:val="005275B9"/>
  </w:style>
  <w:style w:type="paragraph" w:customStyle="1" w:styleId="Poznmkapodarou">
    <w:name w:val="Poznámka pod čarou"/>
    <w:basedOn w:val="Default"/>
    <w:link w:val="PoznmkapodarouChar"/>
    <w:qFormat/>
    <w:rsid w:val="00B05905"/>
    <w:pPr>
      <w:spacing w:after="60"/>
      <w:jc w:val="both"/>
    </w:pPr>
    <w:rPr>
      <w:rFonts w:ascii="Times New Roman" w:eastAsia="Times New Roman" w:hAnsi="Times New Roman" w:cs="Times New Roman"/>
      <w:lang w:val="x-none" w:eastAsia="x-none"/>
    </w:rPr>
  </w:style>
  <w:style w:type="paragraph" w:customStyle="1" w:styleId="Standardntext">
    <w:name w:val="Standardní text"/>
    <w:basedOn w:val="Normln"/>
    <w:link w:val="StandardntextChar"/>
    <w:qFormat/>
    <w:rsid w:val="00D20E3C"/>
    <w:pPr>
      <w:spacing w:after="120"/>
      <w:jc w:val="both"/>
    </w:pPr>
    <w:rPr>
      <w:sz w:val="24"/>
      <w:szCs w:val="24"/>
      <w:lang w:val="x-none" w:eastAsia="x-none"/>
    </w:rPr>
  </w:style>
  <w:style w:type="character" w:customStyle="1" w:styleId="DefaultChar">
    <w:name w:val="Default Char"/>
    <w:link w:val="Default"/>
    <w:rsid w:val="00F362BC"/>
    <w:rPr>
      <w:rFonts w:ascii="Calibri" w:eastAsia="MS Mincho" w:hAnsi="Calibri" w:cs="Calibri"/>
      <w:lang w:eastAsia="en-US" w:bidi="ar-SA"/>
    </w:rPr>
  </w:style>
  <w:style w:type="character" w:customStyle="1" w:styleId="PoznmkapodarouChar">
    <w:name w:val="Poznámka pod čarou Char"/>
    <w:link w:val="Poznmkapodarou"/>
    <w:rsid w:val="00B05905"/>
    <w:rPr>
      <w:rFonts w:cs="Calibri"/>
    </w:rPr>
  </w:style>
  <w:style w:type="character" w:customStyle="1" w:styleId="StandardntextChar">
    <w:name w:val="Standardní text Char"/>
    <w:link w:val="Standardntext"/>
    <w:rsid w:val="00D20E3C"/>
    <w:rPr>
      <w:rFonts w:cs="Calibri"/>
      <w:sz w:val="24"/>
      <w:szCs w:val="24"/>
    </w:rPr>
  </w:style>
  <w:style w:type="character" w:styleId="Sledovanodkaz">
    <w:name w:val="FollowedHyperlink"/>
    <w:uiPriority w:val="99"/>
    <w:rsid w:val="00D703E0"/>
    <w:rPr>
      <w:color w:val="800080"/>
      <w:u w:val="single"/>
    </w:rPr>
  </w:style>
  <w:style w:type="paragraph" w:customStyle="1" w:styleId="ListDash">
    <w:name w:val="List Dash"/>
    <w:basedOn w:val="Normln"/>
    <w:uiPriority w:val="99"/>
    <w:rsid w:val="004E680E"/>
    <w:pPr>
      <w:numPr>
        <w:numId w:val="5"/>
      </w:numPr>
      <w:overflowPunct/>
      <w:autoSpaceDE/>
      <w:autoSpaceDN/>
      <w:adjustRightInd/>
      <w:spacing w:after="240"/>
      <w:jc w:val="both"/>
      <w:textAlignment w:val="auto"/>
    </w:pPr>
    <w:rPr>
      <w:sz w:val="24"/>
      <w:szCs w:val="24"/>
      <w:lang w:val="en-GB" w:eastAsia="en-US"/>
    </w:rPr>
  </w:style>
  <w:style w:type="paragraph" w:customStyle="1" w:styleId="DAVA">
    <w:name w:val="DAVA"/>
    <w:basedOn w:val="Normln"/>
    <w:link w:val="DAVAChar"/>
    <w:uiPriority w:val="99"/>
    <w:qFormat/>
    <w:rsid w:val="00635DFA"/>
    <w:pPr>
      <w:overflowPunct/>
      <w:autoSpaceDE/>
      <w:autoSpaceDN/>
      <w:adjustRightInd/>
      <w:spacing w:before="120"/>
      <w:textAlignment w:val="auto"/>
    </w:pPr>
    <w:rPr>
      <w:rFonts w:ascii="Arial" w:eastAsia="Calibri" w:hAnsi="Arial"/>
      <w:sz w:val="24"/>
      <w:szCs w:val="28"/>
      <w:lang w:val="x-none" w:eastAsia="en-US"/>
    </w:rPr>
  </w:style>
  <w:style w:type="character" w:customStyle="1" w:styleId="DAVAChar">
    <w:name w:val="DAVA Char"/>
    <w:link w:val="DAVA"/>
    <w:uiPriority w:val="99"/>
    <w:rsid w:val="00635DFA"/>
    <w:rPr>
      <w:rFonts w:ascii="Arial" w:eastAsia="Calibri" w:hAnsi="Arial" w:cs="Arial"/>
      <w:sz w:val="24"/>
      <w:szCs w:val="28"/>
      <w:lang w:eastAsia="en-US"/>
    </w:rPr>
  </w:style>
  <w:style w:type="paragraph" w:customStyle="1" w:styleId="Textdopisu">
    <w:name w:val="Text dopisu"/>
    <w:basedOn w:val="Normln"/>
    <w:rsid w:val="00635DFA"/>
    <w:pPr>
      <w:ind w:firstLine="544"/>
      <w:jc w:val="both"/>
    </w:pPr>
    <w:rPr>
      <w:sz w:val="24"/>
    </w:rPr>
  </w:style>
  <w:style w:type="paragraph" w:customStyle="1" w:styleId="kapitola2A">
    <w:name w:val="kapitola 2A"/>
    <w:basedOn w:val="Nadpis1"/>
    <w:link w:val="kapitola2AChar"/>
    <w:qFormat/>
    <w:rsid w:val="00017D76"/>
    <w:pPr>
      <w:keepNext w:val="0"/>
      <w:pageBreakBefore w:val="0"/>
      <w:numPr>
        <w:numId w:val="9"/>
      </w:numPr>
    </w:pPr>
  </w:style>
  <w:style w:type="paragraph" w:customStyle="1" w:styleId="kapitola2A0">
    <w:name w:val="kapitola 2A.0"/>
    <w:basedOn w:val="Nadpis3"/>
    <w:link w:val="kapitola2A0Char"/>
    <w:qFormat/>
    <w:rsid w:val="00F41B56"/>
    <w:pPr>
      <w:spacing w:after="120"/>
    </w:pPr>
  </w:style>
  <w:style w:type="character" w:customStyle="1" w:styleId="kapitola2AChar">
    <w:name w:val="kapitola 2A Char"/>
    <w:link w:val="kapitola2A"/>
    <w:rsid w:val="00017D76"/>
    <w:rPr>
      <w:rFonts w:ascii="Calibri" w:hAnsi="Calibri"/>
      <w:b/>
      <w:bCs/>
      <w:smallCaps/>
      <w:kern w:val="32"/>
      <w:sz w:val="28"/>
      <w:szCs w:val="32"/>
      <w:lang w:val="x-none" w:eastAsia="x-none"/>
    </w:rPr>
  </w:style>
  <w:style w:type="paragraph" w:customStyle="1" w:styleId="Prioritnosa">
    <w:name w:val="Prioritní osa"/>
    <w:basedOn w:val="Nadpis2"/>
    <w:link w:val="PrioritnosaChar"/>
    <w:qFormat/>
    <w:rsid w:val="00D34C0F"/>
    <w:pPr>
      <w:numPr>
        <w:ilvl w:val="0"/>
        <w:numId w:val="0"/>
      </w:numPr>
      <w:pBdr>
        <w:top w:val="single" w:sz="24" w:space="2" w:color="95B3D7"/>
        <w:left w:val="single" w:sz="24" w:space="4" w:color="DBE5F1"/>
        <w:bottom w:val="single" w:sz="24" w:space="2" w:color="95B3D7"/>
        <w:right w:val="single" w:sz="24" w:space="4" w:color="DBE5F1"/>
      </w:pBdr>
      <w:shd w:val="clear" w:color="auto" w:fill="DBE5F1"/>
      <w:spacing w:before="360"/>
      <w:ind w:left="142" w:right="113" w:hanging="29"/>
    </w:pPr>
  </w:style>
  <w:style w:type="character" w:customStyle="1" w:styleId="kapitola2A0Char">
    <w:name w:val="kapitola 2A.0 Char"/>
    <w:link w:val="kapitola2A0"/>
    <w:rsid w:val="00F41B56"/>
    <w:rPr>
      <w:rFonts w:ascii="Calibri" w:hAnsi="Calibri"/>
      <w:b/>
      <w:bCs/>
      <w:color w:val="365F91"/>
      <w:sz w:val="24"/>
      <w:lang w:val="x-none" w:eastAsia="x-none"/>
    </w:rPr>
  </w:style>
  <w:style w:type="paragraph" w:customStyle="1" w:styleId="Investinpriorita">
    <w:name w:val="Investiční priorita"/>
    <w:basedOn w:val="Prioritnosa"/>
    <w:link w:val="InvestinprioritaChar"/>
    <w:qFormat/>
    <w:rsid w:val="002A3493"/>
    <w:pPr>
      <w:pBdr>
        <w:left w:val="single" w:sz="24" w:space="4" w:color="EDF1F7"/>
        <w:right w:val="single" w:sz="24" w:space="4" w:color="EDF1F7"/>
      </w:pBdr>
      <w:shd w:val="clear" w:color="auto" w:fill="EDF1F7"/>
    </w:pPr>
    <w:rPr>
      <w:i/>
      <w:sz w:val="24"/>
    </w:rPr>
  </w:style>
  <w:style w:type="character" w:customStyle="1" w:styleId="PrioritnosaChar">
    <w:name w:val="Prioritní osa Char"/>
    <w:link w:val="Prioritnosa"/>
    <w:rsid w:val="00D34C0F"/>
    <w:rPr>
      <w:rFonts w:ascii="Calibri" w:hAnsi="Calibri"/>
      <w:b/>
      <w:bCs/>
      <w:iCs/>
      <w:sz w:val="26"/>
      <w:szCs w:val="28"/>
      <w:shd w:val="clear" w:color="auto" w:fill="DBE5F1"/>
    </w:rPr>
  </w:style>
  <w:style w:type="paragraph" w:customStyle="1" w:styleId="kapitola2B">
    <w:name w:val="kapitola 2.B"/>
    <w:basedOn w:val="kapitola2A0"/>
    <w:link w:val="kapitola2BChar"/>
    <w:qFormat/>
    <w:rsid w:val="005444BD"/>
  </w:style>
  <w:style w:type="character" w:customStyle="1" w:styleId="InvestinprioritaChar">
    <w:name w:val="Investiční priorita Char"/>
    <w:link w:val="Investinpriorita"/>
    <w:rsid w:val="002A3493"/>
    <w:rPr>
      <w:rFonts w:ascii="Calibri" w:hAnsi="Calibri"/>
      <w:b/>
      <w:bCs/>
      <w:i/>
      <w:iCs/>
      <w:sz w:val="24"/>
      <w:szCs w:val="28"/>
      <w:shd w:val="clear" w:color="auto" w:fill="EDF1F7"/>
    </w:rPr>
  </w:style>
  <w:style w:type="character" w:customStyle="1" w:styleId="kapitola2BChar">
    <w:name w:val="kapitola 2.B Char"/>
    <w:link w:val="kapitola2B"/>
    <w:rsid w:val="005444BD"/>
    <w:rPr>
      <w:rFonts w:ascii="Calibri" w:hAnsi="Calibri"/>
      <w:b/>
      <w:bCs/>
      <w:color w:val="365F91"/>
      <w:sz w:val="24"/>
      <w:lang w:val="x-none" w:eastAsia="x-none"/>
    </w:rPr>
  </w:style>
  <w:style w:type="numbering" w:customStyle="1" w:styleId="Styl1">
    <w:name w:val="Styl1"/>
    <w:uiPriority w:val="99"/>
    <w:rsid w:val="009210DF"/>
    <w:pPr>
      <w:numPr>
        <w:numId w:val="14"/>
      </w:numPr>
    </w:pPr>
  </w:style>
  <w:style w:type="paragraph" w:customStyle="1" w:styleId="Modrnadpis">
    <w:name w:val="Modrý nadpis"/>
    <w:basedOn w:val="Nadpis4"/>
    <w:link w:val="ModrnadpisChar"/>
    <w:qFormat/>
    <w:rsid w:val="00396141"/>
    <w:pPr>
      <w:numPr>
        <w:ilvl w:val="0"/>
        <w:numId w:val="0"/>
      </w:numPr>
      <w:spacing w:before="240"/>
      <w:ind w:left="862" w:hanging="862"/>
    </w:pPr>
    <w:rPr>
      <w:rFonts w:ascii="Times New Roman" w:hAnsi="Times New Roman"/>
      <w:i w:val="0"/>
      <w:color w:val="548DD4"/>
    </w:rPr>
  </w:style>
  <w:style w:type="paragraph" w:customStyle="1" w:styleId="Tabulka">
    <w:name w:val="Tabulka"/>
    <w:basedOn w:val="Normln"/>
    <w:link w:val="TabulkaChar"/>
    <w:qFormat/>
    <w:rsid w:val="00BA1E1C"/>
    <w:pPr>
      <w:overflowPunct/>
      <w:spacing w:before="60" w:after="60"/>
      <w:jc w:val="center"/>
      <w:textAlignment w:val="auto"/>
    </w:pPr>
    <w:rPr>
      <w:sz w:val="22"/>
      <w:szCs w:val="22"/>
      <w:lang w:val="x-none" w:eastAsia="x-none"/>
    </w:rPr>
  </w:style>
  <w:style w:type="character" w:customStyle="1" w:styleId="ModrnadpisChar">
    <w:name w:val="Modrý nadpis Char"/>
    <w:link w:val="Modrnadpis"/>
    <w:rsid w:val="00396141"/>
    <w:rPr>
      <w:b/>
      <w:bCs/>
      <w:iCs/>
      <w:color w:val="548DD4"/>
      <w:sz w:val="24"/>
    </w:rPr>
  </w:style>
  <w:style w:type="character" w:customStyle="1" w:styleId="TabulkaChar">
    <w:name w:val="Tabulka Char"/>
    <w:link w:val="Tabulka"/>
    <w:rsid w:val="00BA1E1C"/>
    <w:rPr>
      <w:rFonts w:cs="Calibri"/>
      <w:sz w:val="22"/>
      <w:szCs w:val="22"/>
    </w:rPr>
  </w:style>
  <w:style w:type="character" w:styleId="slostrnky">
    <w:name w:val="page number"/>
    <w:basedOn w:val="Standardnpsmoodstavce"/>
    <w:rsid w:val="00CB5EF1"/>
  </w:style>
  <w:style w:type="paragraph" w:styleId="Prosttext">
    <w:name w:val="Plain Text"/>
    <w:basedOn w:val="Normln"/>
    <w:link w:val="ProsttextChar"/>
    <w:uiPriority w:val="99"/>
    <w:unhideWhenUsed/>
    <w:rsid w:val="000C5A5B"/>
    <w:pPr>
      <w:overflowPunct/>
      <w:autoSpaceDE/>
      <w:autoSpaceDN/>
      <w:adjustRightInd/>
      <w:textAlignment w:val="auto"/>
    </w:pPr>
    <w:rPr>
      <w:rFonts w:ascii="Consolas" w:eastAsia="Calibri" w:hAnsi="Consolas"/>
      <w:sz w:val="21"/>
      <w:szCs w:val="21"/>
      <w:lang w:val="x-none" w:eastAsia="en-US"/>
    </w:rPr>
  </w:style>
  <w:style w:type="character" w:customStyle="1" w:styleId="ProsttextChar">
    <w:name w:val="Prostý text Char"/>
    <w:link w:val="Prosttext"/>
    <w:uiPriority w:val="99"/>
    <w:rsid w:val="000C5A5B"/>
    <w:rPr>
      <w:rFonts w:ascii="Consolas" w:eastAsia="Calibri" w:hAnsi="Consolas" w:cs="Times New Roman"/>
      <w:sz w:val="21"/>
      <w:szCs w:val="21"/>
      <w:lang w:eastAsia="en-US"/>
    </w:rPr>
  </w:style>
  <w:style w:type="paragraph" w:styleId="Zkladntextodsazen2">
    <w:name w:val="Body Text Indent 2"/>
    <w:basedOn w:val="Normln"/>
    <w:link w:val="Zkladntextodsazen2Char"/>
    <w:rsid w:val="00850113"/>
    <w:pPr>
      <w:spacing w:after="120" w:line="480" w:lineRule="auto"/>
      <w:ind w:left="283"/>
    </w:pPr>
  </w:style>
  <w:style w:type="character" w:customStyle="1" w:styleId="Zkladntextodsazen2Char">
    <w:name w:val="Základní text odsazený 2 Char"/>
    <w:basedOn w:val="Standardnpsmoodstavce"/>
    <w:link w:val="Zkladntextodsazen2"/>
    <w:rsid w:val="00850113"/>
  </w:style>
  <w:style w:type="paragraph" w:styleId="Citt">
    <w:name w:val="Quote"/>
    <w:basedOn w:val="Normln"/>
    <w:next w:val="Normln"/>
    <w:link w:val="CittChar"/>
    <w:uiPriority w:val="29"/>
    <w:qFormat/>
    <w:rsid w:val="003E654D"/>
    <w:rPr>
      <w:i/>
      <w:iCs/>
      <w:color w:val="000000"/>
      <w:lang w:val="x-none" w:eastAsia="x-none"/>
    </w:rPr>
  </w:style>
  <w:style w:type="character" w:customStyle="1" w:styleId="CittChar">
    <w:name w:val="Citát Char"/>
    <w:link w:val="Citt"/>
    <w:uiPriority w:val="29"/>
    <w:rsid w:val="003E654D"/>
    <w:rPr>
      <w:i/>
      <w:iCs/>
      <w:color w:val="000000"/>
    </w:rPr>
  </w:style>
  <w:style w:type="paragraph" w:customStyle="1" w:styleId="ClOP">
    <w:name w:val="Cíl OP"/>
    <w:basedOn w:val="Citt"/>
    <w:link w:val="ClOPChar"/>
    <w:qFormat/>
    <w:rsid w:val="003E654D"/>
    <w:pPr>
      <w:pBdr>
        <w:top w:val="single" w:sz="24" w:space="4" w:color="95B3D7"/>
        <w:bottom w:val="single" w:sz="24" w:space="4" w:color="95B3D7"/>
      </w:pBdr>
      <w:spacing w:before="240" w:after="240"/>
      <w:jc w:val="center"/>
    </w:pPr>
    <w:rPr>
      <w:b/>
      <w:i w:val="0"/>
      <w:sz w:val="24"/>
      <w:szCs w:val="24"/>
    </w:rPr>
  </w:style>
  <w:style w:type="character" w:customStyle="1" w:styleId="ClOPChar">
    <w:name w:val="Cíl OP Char"/>
    <w:link w:val="ClOP"/>
    <w:rsid w:val="003E654D"/>
    <w:rPr>
      <w:b/>
      <w:i w:val="0"/>
      <w:iCs/>
      <w:color w:val="000000"/>
      <w:sz w:val="24"/>
      <w:szCs w:val="24"/>
    </w:rPr>
  </w:style>
  <w:style w:type="table" w:styleId="Svtlmka">
    <w:name w:val="Light Grid"/>
    <w:basedOn w:val="Normlntabulka"/>
    <w:uiPriority w:val="62"/>
    <w:rsid w:val="005746C1"/>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TextkomenteChar1">
    <w:name w:val="Text komentáře Char1"/>
    <w:uiPriority w:val="99"/>
    <w:semiHidden/>
    <w:rsid w:val="005746C1"/>
    <w:rPr>
      <w:rFonts w:ascii="Calibri" w:hAnsi="Calibri"/>
    </w:rPr>
  </w:style>
  <w:style w:type="paragraph" w:customStyle="1" w:styleId="TextNOK">
    <w:name w:val="Text NOK"/>
    <w:basedOn w:val="Normln"/>
    <w:link w:val="TextNOKChar"/>
    <w:qFormat/>
    <w:rsid w:val="00B91AC2"/>
    <w:pPr>
      <w:overflowPunct/>
      <w:autoSpaceDE/>
      <w:autoSpaceDN/>
      <w:adjustRightInd/>
      <w:spacing w:after="120" w:line="288" w:lineRule="auto"/>
      <w:jc w:val="both"/>
      <w:textAlignment w:val="auto"/>
    </w:pPr>
    <w:rPr>
      <w:rFonts w:ascii="Arial" w:hAnsi="Arial"/>
      <w:szCs w:val="22"/>
      <w:lang w:val="x-none" w:eastAsia="x-none"/>
    </w:rPr>
  </w:style>
  <w:style w:type="character" w:customStyle="1" w:styleId="TextNOKChar">
    <w:name w:val="Text NOK Char"/>
    <w:link w:val="TextNOK"/>
    <w:rsid w:val="00B91AC2"/>
    <w:rPr>
      <w:rFonts w:ascii="Arial" w:hAnsi="Arial"/>
      <w:szCs w:val="22"/>
    </w:rPr>
  </w:style>
  <w:style w:type="paragraph" w:customStyle="1" w:styleId="Tiret0">
    <w:name w:val="Tiret 0"/>
    <w:basedOn w:val="Normln"/>
    <w:rsid w:val="0035272A"/>
    <w:pPr>
      <w:numPr>
        <w:numId w:val="63"/>
      </w:numPr>
      <w:overflowPunct/>
      <w:autoSpaceDE/>
      <w:autoSpaceDN/>
      <w:adjustRightInd/>
      <w:spacing w:before="120" w:after="120"/>
      <w:jc w:val="both"/>
      <w:textAlignment w:val="auto"/>
    </w:pPr>
    <w:rPr>
      <w:sz w:val="24"/>
      <w:szCs w:val="24"/>
      <w:lang w:eastAsia="en-US"/>
    </w:rPr>
  </w:style>
  <w:style w:type="paragraph" w:styleId="Textpoznpodarou">
    <w:name w:val="footnote text"/>
    <w:aliases w:val="Schriftart: 9 pt,Schriftart: 10 pt,Schriftart: 8 pt,Text poznámky pod čiarou 007,Footnote,Fußnotentextf,Geneva 9,Font: Geneva 9,Boston 10,f,pozn. pod čarou,Char,Text pozn. pod čarou1,Char Char Char1,Footnote Text Char1,o,Char Char1"/>
    <w:basedOn w:val="Normln"/>
    <w:link w:val="TextpoznpodarouChar"/>
    <w:uiPriority w:val="99"/>
    <w:qFormat/>
    <w:rsid w:val="004E6DD3"/>
    <w:pPr>
      <w:jc w:val="both"/>
    </w:pPr>
  </w:style>
  <w:style w:type="character" w:customStyle="1" w:styleId="TextpoznpodarouChar">
    <w:name w:val="Text pozn. pod čarou Char"/>
    <w:aliases w:val="Schriftart: 9 pt Char,Schriftart: 10 pt Char,Schriftart: 8 pt Char,Text poznámky pod čiarou 007 Char,Footnote Char,Fußnotentextf Char,Geneva 9 Char,Font: Geneva 9 Char,Boston 10 Char,f Char,pozn. pod čarou Char,Char Char,o Char"/>
    <w:basedOn w:val="Standardnpsmoodstavce"/>
    <w:link w:val="Textpoznpodarou"/>
    <w:uiPriority w:val="99"/>
    <w:rsid w:val="004E6DD3"/>
  </w:style>
  <w:style w:type="character" w:styleId="Zvraznn">
    <w:name w:val="Emphasis"/>
    <w:uiPriority w:val="20"/>
    <w:qFormat/>
    <w:rsid w:val="00F37CF9"/>
    <w:rPr>
      <w:b/>
      <w:bCs/>
      <w:i w:val="0"/>
      <w:iCs w:val="0"/>
    </w:rPr>
  </w:style>
  <w:style w:type="paragraph" w:customStyle="1" w:styleId="Text1">
    <w:name w:val="Text 1"/>
    <w:basedOn w:val="Normln"/>
    <w:link w:val="Text1Char"/>
    <w:uiPriority w:val="99"/>
    <w:rsid w:val="00E517C6"/>
    <w:pPr>
      <w:overflowPunct/>
      <w:autoSpaceDE/>
      <w:autoSpaceDN/>
      <w:adjustRightInd/>
      <w:spacing w:after="240"/>
      <w:ind w:left="482"/>
      <w:jc w:val="both"/>
      <w:textAlignment w:val="auto"/>
    </w:pPr>
    <w:rPr>
      <w:sz w:val="24"/>
      <w:lang w:val="en-GB" w:eastAsia="en-US"/>
    </w:rPr>
  </w:style>
  <w:style w:type="character" w:customStyle="1" w:styleId="Text1Char">
    <w:name w:val="Text 1 Char"/>
    <w:link w:val="Text1"/>
    <w:uiPriority w:val="99"/>
    <w:locked/>
    <w:rsid w:val="00E517C6"/>
    <w:rPr>
      <w:sz w:val="24"/>
      <w:lang w:val="en-GB" w:eastAsia="en-US"/>
    </w:rPr>
  </w:style>
  <w:style w:type="paragraph" w:customStyle="1" w:styleId="CM1">
    <w:name w:val="CM1"/>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paragraph" w:customStyle="1" w:styleId="CM3">
    <w:name w:val="CM3"/>
    <w:basedOn w:val="Default"/>
    <w:next w:val="Default"/>
    <w:uiPriority w:val="99"/>
    <w:rsid w:val="00146DC1"/>
    <w:pPr>
      <w:tabs>
        <w:tab w:val="clear" w:pos="708"/>
      </w:tabs>
      <w:suppressAutoHyphens w:val="0"/>
      <w:overflowPunct/>
      <w:autoSpaceDN w:val="0"/>
      <w:adjustRightInd w:val="0"/>
      <w:spacing w:line="240" w:lineRule="auto"/>
      <w:textAlignment w:val="auto"/>
    </w:pPr>
    <w:rPr>
      <w:rFonts w:ascii="EUAlbertina" w:eastAsia="Times New Roman" w:hAnsi="EUAlbertina" w:cs="Times New Roman"/>
      <w:sz w:val="24"/>
      <w:szCs w:val="24"/>
      <w:lang w:eastAsia="cs-CZ"/>
    </w:rPr>
  </w:style>
  <w:style w:type="character" w:customStyle="1" w:styleId="TextbublinyChar1">
    <w:name w:val="Text bubliny Char1"/>
    <w:uiPriority w:val="99"/>
    <w:semiHidden/>
    <w:rsid w:val="00B02CDE"/>
    <w:rPr>
      <w:rFonts w:ascii="Tahoma" w:eastAsia="Times New Roman" w:hAnsi="Tahoma" w:cs="Tahoma"/>
      <w:sz w:val="16"/>
      <w:szCs w:val="16"/>
      <w:lang w:eastAsia="cs-CZ"/>
    </w:rPr>
  </w:style>
  <w:style w:type="character" w:customStyle="1" w:styleId="PedmtkomenteChar1">
    <w:name w:val="Předmět komentáře Char1"/>
    <w:uiPriority w:val="99"/>
    <w:semiHidden/>
    <w:rsid w:val="00B02CDE"/>
    <w:rPr>
      <w:rFonts w:ascii="Times New Roman" w:eastAsia="Times New Roman" w:hAnsi="Times New Roman" w:cs="Times New Roman"/>
      <w:b/>
      <w:bCs/>
      <w:sz w:val="20"/>
      <w:szCs w:val="20"/>
      <w:lang w:eastAsia="cs-CZ"/>
    </w:rPr>
  </w:style>
  <w:style w:type="paragraph" w:customStyle="1" w:styleId="Text3">
    <w:name w:val="Text 3"/>
    <w:basedOn w:val="Normln"/>
    <w:rsid w:val="000534DA"/>
    <w:pPr>
      <w:overflowPunct/>
      <w:autoSpaceDE/>
      <w:autoSpaceDN/>
      <w:adjustRightInd/>
      <w:spacing w:before="120" w:after="120"/>
      <w:ind w:left="1984"/>
      <w:jc w:val="both"/>
      <w:textAlignment w:val="auto"/>
    </w:pPr>
    <w:rPr>
      <w:rFonts w:eastAsia="Calibri"/>
      <w:sz w:val="24"/>
      <w:lang w:eastAsia="en-GB"/>
    </w:rPr>
  </w:style>
  <w:style w:type="paragraph" w:customStyle="1" w:styleId="ZZNormln">
    <w:name w:val="ZZ Normální"/>
    <w:basedOn w:val="Normln"/>
    <w:rsid w:val="000A44AF"/>
    <w:pPr>
      <w:spacing w:after="120"/>
      <w:jc w:val="both"/>
    </w:pPr>
    <w:rPr>
      <w:rFonts w:ascii="Arial" w:hAnsi="Arial" w:cs="Arial"/>
      <w:sz w:val="24"/>
    </w:rPr>
  </w:style>
  <w:style w:type="paragraph" w:customStyle="1" w:styleId="StylArial11bZarovnatdoblokuVlevo063cm">
    <w:name w:val="Styl Arial 11 b. Zarovnat do bloku Vlevo:  063 cm"/>
    <w:basedOn w:val="Normln"/>
    <w:rsid w:val="00D973E4"/>
    <w:pPr>
      <w:overflowPunct/>
      <w:autoSpaceDE/>
      <w:autoSpaceDN/>
      <w:adjustRightInd/>
      <w:spacing w:before="120"/>
      <w:ind w:left="357"/>
      <w:jc w:val="both"/>
      <w:textAlignment w:val="auto"/>
    </w:pPr>
    <w:rPr>
      <w:rFonts w:ascii="Arial" w:hAnsi="Arial"/>
      <w:sz w:val="22"/>
    </w:rPr>
  </w:style>
  <w:style w:type="paragraph" w:customStyle="1" w:styleId="Normln1">
    <w:name w:val="Normální1"/>
    <w:basedOn w:val="Normln"/>
    <w:rsid w:val="00D973E4"/>
    <w:pPr>
      <w:overflowPunct/>
      <w:autoSpaceDE/>
      <w:autoSpaceDN/>
      <w:adjustRightInd/>
      <w:spacing w:before="100" w:beforeAutospacing="1" w:after="100" w:afterAutospacing="1"/>
      <w:textAlignment w:val="auto"/>
    </w:pPr>
    <w:rPr>
      <w:sz w:val="24"/>
      <w:szCs w:val="24"/>
    </w:rPr>
  </w:style>
  <w:style w:type="paragraph" w:customStyle="1" w:styleId="Specifickcl">
    <w:name w:val="Specifický cíl"/>
    <w:basedOn w:val="Nadpis4"/>
    <w:link w:val="SpecifickclChar"/>
    <w:qFormat/>
    <w:rsid w:val="00D973E4"/>
    <w:pPr>
      <w:numPr>
        <w:ilvl w:val="0"/>
        <w:numId w:val="0"/>
      </w:numPr>
      <w:ind w:left="862" w:hanging="862"/>
    </w:pPr>
    <w:rPr>
      <w:i w:val="0"/>
      <w:color w:val="548DD4"/>
    </w:rPr>
  </w:style>
  <w:style w:type="character" w:customStyle="1" w:styleId="SpecifickclChar">
    <w:name w:val="Specifický cíl Char"/>
    <w:link w:val="Specifickcl"/>
    <w:rsid w:val="00D973E4"/>
    <w:rPr>
      <w:rFonts w:ascii="Calibri" w:hAnsi="Calibri"/>
      <w:b/>
      <w:bCs/>
      <w:i w:val="0"/>
      <w:iCs/>
      <w:color w:val="548DD4"/>
      <w:sz w:val="24"/>
    </w:rPr>
  </w:style>
  <w:style w:type="character" w:customStyle="1" w:styleId="st">
    <w:name w:val="st"/>
    <w:basedOn w:val="Standardnpsmoodstavce"/>
    <w:rsid w:val="00D973E4"/>
  </w:style>
  <w:style w:type="paragraph" w:customStyle="1" w:styleId="Char4CharCharCharCharCharCharCharCharChar">
    <w:name w:val="Char4 Char Char Char Char Char Char Char Char Char"/>
    <w:basedOn w:val="Normln"/>
    <w:rsid w:val="00D973E4"/>
    <w:pPr>
      <w:overflowPunct/>
      <w:autoSpaceDE/>
      <w:autoSpaceDN/>
      <w:adjustRightInd/>
      <w:spacing w:after="160" w:line="240" w:lineRule="exact"/>
      <w:textAlignment w:val="auto"/>
    </w:pPr>
    <w:rPr>
      <w:rFonts w:ascii="Times New Roman Bold" w:hAnsi="Times New Roman Bold"/>
      <w:sz w:val="22"/>
      <w:szCs w:val="26"/>
      <w:lang w:val="sk-SK" w:eastAsia="en-US"/>
    </w:rPr>
  </w:style>
  <w:style w:type="numbering" w:customStyle="1" w:styleId="Bezseznamu1">
    <w:name w:val="Bez seznamu1"/>
    <w:next w:val="Bezseznamu"/>
    <w:uiPriority w:val="99"/>
    <w:semiHidden/>
    <w:unhideWhenUsed/>
    <w:rsid w:val="00BD3D1A"/>
  </w:style>
  <w:style w:type="table" w:customStyle="1" w:styleId="Mkatabulky1">
    <w:name w:val="Mřížka tabulky1"/>
    <w:basedOn w:val="Normlntabulka"/>
    <w:next w:val="Mkatabulky"/>
    <w:uiPriority w:val="59"/>
    <w:rsid w:val="00BD3D1A"/>
    <w:pPr>
      <w:jc w:val="both"/>
    </w:pPr>
    <w:rPr>
      <w:rFonts w:ascii="Tahoma" w:eastAsia="Calibri" w:hAnsi="Tahoma"/>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vysvtlivekChar1">
    <w:name w:val="Text vysvětlivek Char1"/>
    <w:uiPriority w:val="99"/>
    <w:semiHidden/>
    <w:rsid w:val="00BD3D1A"/>
    <w:rPr>
      <w:szCs w:val="20"/>
    </w:rPr>
  </w:style>
  <w:style w:type="character" w:customStyle="1" w:styleId="TextpoznpodarouChar1">
    <w:name w:val="Text pozn. pod čarou Char1"/>
    <w:uiPriority w:val="99"/>
    <w:semiHidden/>
    <w:rsid w:val="00BD3D1A"/>
    <w:rPr>
      <w:szCs w:val="20"/>
    </w:rPr>
  </w:style>
  <w:style w:type="table" w:styleId="Stednstnovn2zvraznn1">
    <w:name w:val="Medium Shading 2 Accent 1"/>
    <w:basedOn w:val="Normlntabulka"/>
    <w:uiPriority w:val="64"/>
    <w:rsid w:val="00B55193"/>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longtext">
    <w:name w:val="long_text"/>
    <w:basedOn w:val="Standardnpsmoodstavce"/>
    <w:rsid w:val="002A7237"/>
  </w:style>
  <w:style w:type="character" w:customStyle="1" w:styleId="hps">
    <w:name w:val="hps"/>
    <w:basedOn w:val="Standardnpsmoodstavce"/>
    <w:rsid w:val="002A7237"/>
  </w:style>
  <w:style w:type="character" w:customStyle="1" w:styleId="CharChar7">
    <w:name w:val="Char Char7"/>
    <w:locked/>
    <w:rsid w:val="0083211D"/>
    <w:rPr>
      <w:rFonts w:ascii="Calibri" w:hAnsi="Calibri"/>
      <w:lang w:bidi="ar-SA"/>
    </w:rPr>
  </w:style>
  <w:style w:type="paragraph" w:styleId="Odstavecseseznamem">
    <w:name w:val="List Paragraph"/>
    <w:basedOn w:val="Normln"/>
    <w:uiPriority w:val="34"/>
    <w:qFormat/>
    <w:rsid w:val="00722D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9701">
      <w:bodyDiv w:val="1"/>
      <w:marLeft w:val="0"/>
      <w:marRight w:val="0"/>
      <w:marTop w:val="0"/>
      <w:marBottom w:val="0"/>
      <w:divBdr>
        <w:top w:val="none" w:sz="0" w:space="0" w:color="auto"/>
        <w:left w:val="none" w:sz="0" w:space="0" w:color="auto"/>
        <w:bottom w:val="none" w:sz="0" w:space="0" w:color="auto"/>
        <w:right w:val="none" w:sz="0" w:space="0" w:color="auto"/>
      </w:divBdr>
    </w:div>
    <w:div w:id="111752168">
      <w:bodyDiv w:val="1"/>
      <w:marLeft w:val="0"/>
      <w:marRight w:val="0"/>
      <w:marTop w:val="0"/>
      <w:marBottom w:val="0"/>
      <w:divBdr>
        <w:top w:val="none" w:sz="0" w:space="0" w:color="auto"/>
        <w:left w:val="none" w:sz="0" w:space="0" w:color="auto"/>
        <w:bottom w:val="none" w:sz="0" w:space="0" w:color="auto"/>
        <w:right w:val="none" w:sz="0" w:space="0" w:color="auto"/>
      </w:divBdr>
    </w:div>
    <w:div w:id="138571116">
      <w:bodyDiv w:val="1"/>
      <w:marLeft w:val="0"/>
      <w:marRight w:val="0"/>
      <w:marTop w:val="0"/>
      <w:marBottom w:val="0"/>
      <w:divBdr>
        <w:top w:val="none" w:sz="0" w:space="0" w:color="auto"/>
        <w:left w:val="none" w:sz="0" w:space="0" w:color="auto"/>
        <w:bottom w:val="none" w:sz="0" w:space="0" w:color="auto"/>
        <w:right w:val="none" w:sz="0" w:space="0" w:color="auto"/>
      </w:divBdr>
      <w:divsChild>
        <w:div w:id="960303252">
          <w:marLeft w:val="1685"/>
          <w:marRight w:val="0"/>
          <w:marTop w:val="120"/>
          <w:marBottom w:val="0"/>
          <w:divBdr>
            <w:top w:val="none" w:sz="0" w:space="0" w:color="auto"/>
            <w:left w:val="none" w:sz="0" w:space="0" w:color="auto"/>
            <w:bottom w:val="none" w:sz="0" w:space="0" w:color="auto"/>
            <w:right w:val="none" w:sz="0" w:space="0" w:color="auto"/>
          </w:divBdr>
        </w:div>
        <w:div w:id="1566333408">
          <w:marLeft w:val="1685"/>
          <w:marRight w:val="0"/>
          <w:marTop w:val="96"/>
          <w:marBottom w:val="120"/>
          <w:divBdr>
            <w:top w:val="none" w:sz="0" w:space="0" w:color="auto"/>
            <w:left w:val="none" w:sz="0" w:space="0" w:color="auto"/>
            <w:bottom w:val="none" w:sz="0" w:space="0" w:color="auto"/>
            <w:right w:val="none" w:sz="0" w:space="0" w:color="auto"/>
          </w:divBdr>
        </w:div>
      </w:divsChild>
    </w:div>
    <w:div w:id="167330240">
      <w:bodyDiv w:val="1"/>
      <w:marLeft w:val="0"/>
      <w:marRight w:val="0"/>
      <w:marTop w:val="0"/>
      <w:marBottom w:val="0"/>
      <w:divBdr>
        <w:top w:val="none" w:sz="0" w:space="0" w:color="auto"/>
        <w:left w:val="none" w:sz="0" w:space="0" w:color="auto"/>
        <w:bottom w:val="none" w:sz="0" w:space="0" w:color="auto"/>
        <w:right w:val="none" w:sz="0" w:space="0" w:color="auto"/>
      </w:divBdr>
    </w:div>
    <w:div w:id="168642100">
      <w:bodyDiv w:val="1"/>
      <w:marLeft w:val="0"/>
      <w:marRight w:val="0"/>
      <w:marTop w:val="0"/>
      <w:marBottom w:val="0"/>
      <w:divBdr>
        <w:top w:val="none" w:sz="0" w:space="0" w:color="auto"/>
        <w:left w:val="none" w:sz="0" w:space="0" w:color="auto"/>
        <w:bottom w:val="none" w:sz="0" w:space="0" w:color="auto"/>
        <w:right w:val="none" w:sz="0" w:space="0" w:color="auto"/>
      </w:divBdr>
    </w:div>
    <w:div w:id="172425380">
      <w:bodyDiv w:val="1"/>
      <w:marLeft w:val="0"/>
      <w:marRight w:val="0"/>
      <w:marTop w:val="0"/>
      <w:marBottom w:val="0"/>
      <w:divBdr>
        <w:top w:val="none" w:sz="0" w:space="0" w:color="auto"/>
        <w:left w:val="none" w:sz="0" w:space="0" w:color="auto"/>
        <w:bottom w:val="none" w:sz="0" w:space="0" w:color="auto"/>
        <w:right w:val="none" w:sz="0" w:space="0" w:color="auto"/>
      </w:divBdr>
    </w:div>
    <w:div w:id="179197756">
      <w:bodyDiv w:val="1"/>
      <w:marLeft w:val="0"/>
      <w:marRight w:val="0"/>
      <w:marTop w:val="0"/>
      <w:marBottom w:val="0"/>
      <w:divBdr>
        <w:top w:val="none" w:sz="0" w:space="0" w:color="auto"/>
        <w:left w:val="none" w:sz="0" w:space="0" w:color="auto"/>
        <w:bottom w:val="none" w:sz="0" w:space="0" w:color="auto"/>
        <w:right w:val="none" w:sz="0" w:space="0" w:color="auto"/>
      </w:divBdr>
    </w:div>
    <w:div w:id="205797738">
      <w:bodyDiv w:val="1"/>
      <w:marLeft w:val="0"/>
      <w:marRight w:val="0"/>
      <w:marTop w:val="0"/>
      <w:marBottom w:val="0"/>
      <w:divBdr>
        <w:top w:val="none" w:sz="0" w:space="0" w:color="auto"/>
        <w:left w:val="none" w:sz="0" w:space="0" w:color="auto"/>
        <w:bottom w:val="none" w:sz="0" w:space="0" w:color="auto"/>
        <w:right w:val="none" w:sz="0" w:space="0" w:color="auto"/>
      </w:divBdr>
    </w:div>
    <w:div w:id="275530898">
      <w:bodyDiv w:val="1"/>
      <w:marLeft w:val="0"/>
      <w:marRight w:val="0"/>
      <w:marTop w:val="0"/>
      <w:marBottom w:val="0"/>
      <w:divBdr>
        <w:top w:val="none" w:sz="0" w:space="0" w:color="auto"/>
        <w:left w:val="none" w:sz="0" w:space="0" w:color="auto"/>
        <w:bottom w:val="none" w:sz="0" w:space="0" w:color="auto"/>
        <w:right w:val="none" w:sz="0" w:space="0" w:color="auto"/>
      </w:divBdr>
    </w:div>
    <w:div w:id="311176680">
      <w:bodyDiv w:val="1"/>
      <w:marLeft w:val="0"/>
      <w:marRight w:val="0"/>
      <w:marTop w:val="0"/>
      <w:marBottom w:val="0"/>
      <w:divBdr>
        <w:top w:val="none" w:sz="0" w:space="0" w:color="auto"/>
        <w:left w:val="none" w:sz="0" w:space="0" w:color="auto"/>
        <w:bottom w:val="none" w:sz="0" w:space="0" w:color="auto"/>
        <w:right w:val="none" w:sz="0" w:space="0" w:color="auto"/>
      </w:divBdr>
    </w:div>
    <w:div w:id="339703314">
      <w:bodyDiv w:val="1"/>
      <w:marLeft w:val="0"/>
      <w:marRight w:val="0"/>
      <w:marTop w:val="0"/>
      <w:marBottom w:val="0"/>
      <w:divBdr>
        <w:top w:val="none" w:sz="0" w:space="0" w:color="auto"/>
        <w:left w:val="none" w:sz="0" w:space="0" w:color="auto"/>
        <w:bottom w:val="none" w:sz="0" w:space="0" w:color="auto"/>
        <w:right w:val="none" w:sz="0" w:space="0" w:color="auto"/>
      </w:divBdr>
    </w:div>
    <w:div w:id="388504413">
      <w:bodyDiv w:val="1"/>
      <w:marLeft w:val="0"/>
      <w:marRight w:val="0"/>
      <w:marTop w:val="0"/>
      <w:marBottom w:val="0"/>
      <w:divBdr>
        <w:top w:val="none" w:sz="0" w:space="0" w:color="auto"/>
        <w:left w:val="none" w:sz="0" w:space="0" w:color="auto"/>
        <w:bottom w:val="none" w:sz="0" w:space="0" w:color="auto"/>
        <w:right w:val="none" w:sz="0" w:space="0" w:color="auto"/>
      </w:divBdr>
    </w:div>
    <w:div w:id="411466775">
      <w:bodyDiv w:val="1"/>
      <w:marLeft w:val="0"/>
      <w:marRight w:val="0"/>
      <w:marTop w:val="0"/>
      <w:marBottom w:val="0"/>
      <w:divBdr>
        <w:top w:val="none" w:sz="0" w:space="0" w:color="auto"/>
        <w:left w:val="none" w:sz="0" w:space="0" w:color="auto"/>
        <w:bottom w:val="none" w:sz="0" w:space="0" w:color="auto"/>
        <w:right w:val="none" w:sz="0" w:space="0" w:color="auto"/>
      </w:divBdr>
      <w:divsChild>
        <w:div w:id="141361170">
          <w:marLeft w:val="1987"/>
          <w:marRight w:val="0"/>
          <w:marTop w:val="228"/>
          <w:marBottom w:val="0"/>
          <w:divBdr>
            <w:top w:val="none" w:sz="0" w:space="0" w:color="auto"/>
            <w:left w:val="none" w:sz="0" w:space="0" w:color="auto"/>
            <w:bottom w:val="none" w:sz="0" w:space="0" w:color="auto"/>
            <w:right w:val="none" w:sz="0" w:space="0" w:color="auto"/>
          </w:divBdr>
        </w:div>
        <w:div w:id="237520919">
          <w:marLeft w:val="1987"/>
          <w:marRight w:val="0"/>
          <w:marTop w:val="228"/>
          <w:marBottom w:val="0"/>
          <w:divBdr>
            <w:top w:val="none" w:sz="0" w:space="0" w:color="auto"/>
            <w:left w:val="none" w:sz="0" w:space="0" w:color="auto"/>
            <w:bottom w:val="none" w:sz="0" w:space="0" w:color="auto"/>
            <w:right w:val="none" w:sz="0" w:space="0" w:color="auto"/>
          </w:divBdr>
        </w:div>
        <w:div w:id="400713405">
          <w:marLeft w:val="1987"/>
          <w:marRight w:val="0"/>
          <w:marTop w:val="228"/>
          <w:marBottom w:val="0"/>
          <w:divBdr>
            <w:top w:val="none" w:sz="0" w:space="0" w:color="auto"/>
            <w:left w:val="none" w:sz="0" w:space="0" w:color="auto"/>
            <w:bottom w:val="none" w:sz="0" w:space="0" w:color="auto"/>
            <w:right w:val="none" w:sz="0" w:space="0" w:color="auto"/>
          </w:divBdr>
        </w:div>
        <w:div w:id="1011222477">
          <w:marLeft w:val="1987"/>
          <w:marRight w:val="0"/>
          <w:marTop w:val="228"/>
          <w:marBottom w:val="0"/>
          <w:divBdr>
            <w:top w:val="none" w:sz="0" w:space="0" w:color="auto"/>
            <w:left w:val="none" w:sz="0" w:space="0" w:color="auto"/>
            <w:bottom w:val="none" w:sz="0" w:space="0" w:color="auto"/>
            <w:right w:val="none" w:sz="0" w:space="0" w:color="auto"/>
          </w:divBdr>
        </w:div>
        <w:div w:id="1522472095">
          <w:marLeft w:val="1987"/>
          <w:marRight w:val="0"/>
          <w:marTop w:val="228"/>
          <w:marBottom w:val="0"/>
          <w:divBdr>
            <w:top w:val="none" w:sz="0" w:space="0" w:color="auto"/>
            <w:left w:val="none" w:sz="0" w:space="0" w:color="auto"/>
            <w:bottom w:val="none" w:sz="0" w:space="0" w:color="auto"/>
            <w:right w:val="none" w:sz="0" w:space="0" w:color="auto"/>
          </w:divBdr>
        </w:div>
      </w:divsChild>
    </w:div>
    <w:div w:id="430514860">
      <w:bodyDiv w:val="1"/>
      <w:marLeft w:val="0"/>
      <w:marRight w:val="0"/>
      <w:marTop w:val="0"/>
      <w:marBottom w:val="0"/>
      <w:divBdr>
        <w:top w:val="none" w:sz="0" w:space="0" w:color="auto"/>
        <w:left w:val="none" w:sz="0" w:space="0" w:color="auto"/>
        <w:bottom w:val="none" w:sz="0" w:space="0" w:color="auto"/>
        <w:right w:val="none" w:sz="0" w:space="0" w:color="auto"/>
      </w:divBdr>
    </w:div>
    <w:div w:id="448166915">
      <w:bodyDiv w:val="1"/>
      <w:marLeft w:val="0"/>
      <w:marRight w:val="0"/>
      <w:marTop w:val="0"/>
      <w:marBottom w:val="0"/>
      <w:divBdr>
        <w:top w:val="none" w:sz="0" w:space="0" w:color="auto"/>
        <w:left w:val="none" w:sz="0" w:space="0" w:color="auto"/>
        <w:bottom w:val="none" w:sz="0" w:space="0" w:color="auto"/>
        <w:right w:val="none" w:sz="0" w:space="0" w:color="auto"/>
      </w:divBdr>
    </w:div>
    <w:div w:id="451824781">
      <w:bodyDiv w:val="1"/>
      <w:marLeft w:val="0"/>
      <w:marRight w:val="0"/>
      <w:marTop w:val="0"/>
      <w:marBottom w:val="0"/>
      <w:divBdr>
        <w:top w:val="none" w:sz="0" w:space="0" w:color="auto"/>
        <w:left w:val="none" w:sz="0" w:space="0" w:color="auto"/>
        <w:bottom w:val="none" w:sz="0" w:space="0" w:color="auto"/>
        <w:right w:val="none" w:sz="0" w:space="0" w:color="auto"/>
      </w:divBdr>
    </w:div>
    <w:div w:id="465784517">
      <w:bodyDiv w:val="1"/>
      <w:marLeft w:val="0"/>
      <w:marRight w:val="0"/>
      <w:marTop w:val="0"/>
      <w:marBottom w:val="0"/>
      <w:divBdr>
        <w:top w:val="none" w:sz="0" w:space="0" w:color="auto"/>
        <w:left w:val="none" w:sz="0" w:space="0" w:color="auto"/>
        <w:bottom w:val="none" w:sz="0" w:space="0" w:color="auto"/>
        <w:right w:val="none" w:sz="0" w:space="0" w:color="auto"/>
      </w:divBdr>
    </w:div>
    <w:div w:id="488182249">
      <w:bodyDiv w:val="1"/>
      <w:marLeft w:val="0"/>
      <w:marRight w:val="0"/>
      <w:marTop w:val="0"/>
      <w:marBottom w:val="0"/>
      <w:divBdr>
        <w:top w:val="none" w:sz="0" w:space="0" w:color="auto"/>
        <w:left w:val="none" w:sz="0" w:space="0" w:color="auto"/>
        <w:bottom w:val="none" w:sz="0" w:space="0" w:color="auto"/>
        <w:right w:val="none" w:sz="0" w:space="0" w:color="auto"/>
      </w:divBdr>
    </w:div>
    <w:div w:id="518350909">
      <w:bodyDiv w:val="1"/>
      <w:marLeft w:val="0"/>
      <w:marRight w:val="0"/>
      <w:marTop w:val="0"/>
      <w:marBottom w:val="0"/>
      <w:divBdr>
        <w:top w:val="none" w:sz="0" w:space="0" w:color="auto"/>
        <w:left w:val="none" w:sz="0" w:space="0" w:color="auto"/>
        <w:bottom w:val="none" w:sz="0" w:space="0" w:color="auto"/>
        <w:right w:val="none" w:sz="0" w:space="0" w:color="auto"/>
      </w:divBdr>
    </w:div>
    <w:div w:id="529151670">
      <w:bodyDiv w:val="1"/>
      <w:marLeft w:val="0"/>
      <w:marRight w:val="0"/>
      <w:marTop w:val="0"/>
      <w:marBottom w:val="0"/>
      <w:divBdr>
        <w:top w:val="none" w:sz="0" w:space="0" w:color="auto"/>
        <w:left w:val="none" w:sz="0" w:space="0" w:color="auto"/>
        <w:bottom w:val="none" w:sz="0" w:space="0" w:color="auto"/>
        <w:right w:val="none" w:sz="0" w:space="0" w:color="auto"/>
      </w:divBdr>
    </w:div>
    <w:div w:id="569123853">
      <w:bodyDiv w:val="1"/>
      <w:marLeft w:val="0"/>
      <w:marRight w:val="0"/>
      <w:marTop w:val="0"/>
      <w:marBottom w:val="0"/>
      <w:divBdr>
        <w:top w:val="none" w:sz="0" w:space="0" w:color="auto"/>
        <w:left w:val="none" w:sz="0" w:space="0" w:color="auto"/>
        <w:bottom w:val="none" w:sz="0" w:space="0" w:color="auto"/>
        <w:right w:val="none" w:sz="0" w:space="0" w:color="auto"/>
      </w:divBdr>
    </w:div>
    <w:div w:id="613631012">
      <w:bodyDiv w:val="1"/>
      <w:marLeft w:val="0"/>
      <w:marRight w:val="0"/>
      <w:marTop w:val="0"/>
      <w:marBottom w:val="0"/>
      <w:divBdr>
        <w:top w:val="none" w:sz="0" w:space="0" w:color="auto"/>
        <w:left w:val="none" w:sz="0" w:space="0" w:color="auto"/>
        <w:bottom w:val="none" w:sz="0" w:space="0" w:color="auto"/>
        <w:right w:val="none" w:sz="0" w:space="0" w:color="auto"/>
      </w:divBdr>
    </w:div>
    <w:div w:id="668169545">
      <w:bodyDiv w:val="1"/>
      <w:marLeft w:val="0"/>
      <w:marRight w:val="0"/>
      <w:marTop w:val="0"/>
      <w:marBottom w:val="0"/>
      <w:divBdr>
        <w:top w:val="none" w:sz="0" w:space="0" w:color="auto"/>
        <w:left w:val="none" w:sz="0" w:space="0" w:color="auto"/>
        <w:bottom w:val="none" w:sz="0" w:space="0" w:color="auto"/>
        <w:right w:val="none" w:sz="0" w:space="0" w:color="auto"/>
      </w:divBdr>
    </w:div>
    <w:div w:id="738017219">
      <w:bodyDiv w:val="1"/>
      <w:marLeft w:val="0"/>
      <w:marRight w:val="0"/>
      <w:marTop w:val="0"/>
      <w:marBottom w:val="0"/>
      <w:divBdr>
        <w:top w:val="none" w:sz="0" w:space="0" w:color="auto"/>
        <w:left w:val="none" w:sz="0" w:space="0" w:color="auto"/>
        <w:bottom w:val="none" w:sz="0" w:space="0" w:color="auto"/>
        <w:right w:val="none" w:sz="0" w:space="0" w:color="auto"/>
      </w:divBdr>
    </w:div>
    <w:div w:id="782650553">
      <w:bodyDiv w:val="1"/>
      <w:marLeft w:val="0"/>
      <w:marRight w:val="0"/>
      <w:marTop w:val="0"/>
      <w:marBottom w:val="0"/>
      <w:divBdr>
        <w:top w:val="none" w:sz="0" w:space="0" w:color="auto"/>
        <w:left w:val="none" w:sz="0" w:space="0" w:color="auto"/>
        <w:bottom w:val="none" w:sz="0" w:space="0" w:color="auto"/>
        <w:right w:val="none" w:sz="0" w:space="0" w:color="auto"/>
      </w:divBdr>
    </w:div>
    <w:div w:id="785153185">
      <w:bodyDiv w:val="1"/>
      <w:marLeft w:val="0"/>
      <w:marRight w:val="0"/>
      <w:marTop w:val="0"/>
      <w:marBottom w:val="0"/>
      <w:divBdr>
        <w:top w:val="none" w:sz="0" w:space="0" w:color="auto"/>
        <w:left w:val="none" w:sz="0" w:space="0" w:color="auto"/>
        <w:bottom w:val="none" w:sz="0" w:space="0" w:color="auto"/>
        <w:right w:val="none" w:sz="0" w:space="0" w:color="auto"/>
      </w:divBdr>
    </w:div>
    <w:div w:id="803934705">
      <w:bodyDiv w:val="1"/>
      <w:marLeft w:val="0"/>
      <w:marRight w:val="0"/>
      <w:marTop w:val="0"/>
      <w:marBottom w:val="0"/>
      <w:divBdr>
        <w:top w:val="none" w:sz="0" w:space="0" w:color="auto"/>
        <w:left w:val="none" w:sz="0" w:space="0" w:color="auto"/>
        <w:bottom w:val="none" w:sz="0" w:space="0" w:color="auto"/>
        <w:right w:val="none" w:sz="0" w:space="0" w:color="auto"/>
      </w:divBdr>
      <w:divsChild>
        <w:div w:id="748574360">
          <w:marLeft w:val="562"/>
          <w:marRight w:val="0"/>
          <w:marTop w:val="67"/>
          <w:marBottom w:val="120"/>
          <w:divBdr>
            <w:top w:val="none" w:sz="0" w:space="0" w:color="auto"/>
            <w:left w:val="none" w:sz="0" w:space="0" w:color="auto"/>
            <w:bottom w:val="none" w:sz="0" w:space="0" w:color="auto"/>
            <w:right w:val="none" w:sz="0" w:space="0" w:color="auto"/>
          </w:divBdr>
        </w:div>
        <w:div w:id="872111083">
          <w:marLeft w:val="562"/>
          <w:marRight w:val="0"/>
          <w:marTop w:val="67"/>
          <w:marBottom w:val="120"/>
          <w:divBdr>
            <w:top w:val="none" w:sz="0" w:space="0" w:color="auto"/>
            <w:left w:val="none" w:sz="0" w:space="0" w:color="auto"/>
            <w:bottom w:val="none" w:sz="0" w:space="0" w:color="auto"/>
            <w:right w:val="none" w:sz="0" w:space="0" w:color="auto"/>
          </w:divBdr>
        </w:div>
        <w:div w:id="1067074890">
          <w:marLeft w:val="562"/>
          <w:marRight w:val="0"/>
          <w:marTop w:val="67"/>
          <w:marBottom w:val="360"/>
          <w:divBdr>
            <w:top w:val="none" w:sz="0" w:space="0" w:color="auto"/>
            <w:left w:val="none" w:sz="0" w:space="0" w:color="auto"/>
            <w:bottom w:val="none" w:sz="0" w:space="0" w:color="auto"/>
            <w:right w:val="none" w:sz="0" w:space="0" w:color="auto"/>
          </w:divBdr>
        </w:div>
        <w:div w:id="1467045074">
          <w:marLeft w:val="562"/>
          <w:marRight w:val="0"/>
          <w:marTop w:val="67"/>
          <w:marBottom w:val="0"/>
          <w:divBdr>
            <w:top w:val="none" w:sz="0" w:space="0" w:color="auto"/>
            <w:left w:val="none" w:sz="0" w:space="0" w:color="auto"/>
            <w:bottom w:val="none" w:sz="0" w:space="0" w:color="auto"/>
            <w:right w:val="none" w:sz="0" w:space="0" w:color="auto"/>
          </w:divBdr>
        </w:div>
      </w:divsChild>
    </w:div>
    <w:div w:id="830682930">
      <w:bodyDiv w:val="1"/>
      <w:marLeft w:val="0"/>
      <w:marRight w:val="0"/>
      <w:marTop w:val="0"/>
      <w:marBottom w:val="0"/>
      <w:divBdr>
        <w:top w:val="none" w:sz="0" w:space="0" w:color="auto"/>
        <w:left w:val="none" w:sz="0" w:space="0" w:color="auto"/>
        <w:bottom w:val="none" w:sz="0" w:space="0" w:color="auto"/>
        <w:right w:val="none" w:sz="0" w:space="0" w:color="auto"/>
      </w:divBdr>
    </w:div>
    <w:div w:id="836187954">
      <w:bodyDiv w:val="1"/>
      <w:marLeft w:val="0"/>
      <w:marRight w:val="0"/>
      <w:marTop w:val="0"/>
      <w:marBottom w:val="0"/>
      <w:divBdr>
        <w:top w:val="none" w:sz="0" w:space="0" w:color="auto"/>
        <w:left w:val="none" w:sz="0" w:space="0" w:color="auto"/>
        <w:bottom w:val="none" w:sz="0" w:space="0" w:color="auto"/>
        <w:right w:val="none" w:sz="0" w:space="0" w:color="auto"/>
      </w:divBdr>
      <w:divsChild>
        <w:div w:id="90976804">
          <w:marLeft w:val="1699"/>
          <w:marRight w:val="0"/>
          <w:marTop w:val="0"/>
          <w:marBottom w:val="60"/>
          <w:divBdr>
            <w:top w:val="none" w:sz="0" w:space="0" w:color="auto"/>
            <w:left w:val="none" w:sz="0" w:space="0" w:color="auto"/>
            <w:bottom w:val="none" w:sz="0" w:space="0" w:color="auto"/>
            <w:right w:val="none" w:sz="0" w:space="0" w:color="auto"/>
          </w:divBdr>
        </w:div>
        <w:div w:id="209417843">
          <w:marLeft w:val="2722"/>
          <w:marRight w:val="0"/>
          <w:marTop w:val="0"/>
          <w:marBottom w:val="60"/>
          <w:divBdr>
            <w:top w:val="none" w:sz="0" w:space="0" w:color="auto"/>
            <w:left w:val="none" w:sz="0" w:space="0" w:color="auto"/>
            <w:bottom w:val="none" w:sz="0" w:space="0" w:color="auto"/>
            <w:right w:val="none" w:sz="0" w:space="0" w:color="auto"/>
          </w:divBdr>
        </w:div>
        <w:div w:id="337779817">
          <w:marLeft w:val="1699"/>
          <w:marRight w:val="0"/>
          <w:marTop w:val="0"/>
          <w:marBottom w:val="60"/>
          <w:divBdr>
            <w:top w:val="none" w:sz="0" w:space="0" w:color="auto"/>
            <w:left w:val="none" w:sz="0" w:space="0" w:color="auto"/>
            <w:bottom w:val="none" w:sz="0" w:space="0" w:color="auto"/>
            <w:right w:val="none" w:sz="0" w:space="0" w:color="auto"/>
          </w:divBdr>
        </w:div>
        <w:div w:id="499084814">
          <w:marLeft w:val="1699"/>
          <w:marRight w:val="0"/>
          <w:marTop w:val="0"/>
          <w:marBottom w:val="60"/>
          <w:divBdr>
            <w:top w:val="none" w:sz="0" w:space="0" w:color="auto"/>
            <w:left w:val="none" w:sz="0" w:space="0" w:color="auto"/>
            <w:bottom w:val="none" w:sz="0" w:space="0" w:color="auto"/>
            <w:right w:val="none" w:sz="0" w:space="0" w:color="auto"/>
          </w:divBdr>
        </w:div>
        <w:div w:id="848060796">
          <w:marLeft w:val="562"/>
          <w:marRight w:val="0"/>
          <w:marTop w:val="0"/>
          <w:marBottom w:val="60"/>
          <w:divBdr>
            <w:top w:val="none" w:sz="0" w:space="0" w:color="auto"/>
            <w:left w:val="none" w:sz="0" w:space="0" w:color="auto"/>
            <w:bottom w:val="none" w:sz="0" w:space="0" w:color="auto"/>
            <w:right w:val="none" w:sz="0" w:space="0" w:color="auto"/>
          </w:divBdr>
        </w:div>
        <w:div w:id="875773003">
          <w:marLeft w:val="1699"/>
          <w:marRight w:val="0"/>
          <w:marTop w:val="0"/>
          <w:marBottom w:val="60"/>
          <w:divBdr>
            <w:top w:val="none" w:sz="0" w:space="0" w:color="auto"/>
            <w:left w:val="none" w:sz="0" w:space="0" w:color="auto"/>
            <w:bottom w:val="none" w:sz="0" w:space="0" w:color="auto"/>
            <w:right w:val="none" w:sz="0" w:space="0" w:color="auto"/>
          </w:divBdr>
        </w:div>
        <w:div w:id="875850436">
          <w:marLeft w:val="1699"/>
          <w:marRight w:val="0"/>
          <w:marTop w:val="0"/>
          <w:marBottom w:val="60"/>
          <w:divBdr>
            <w:top w:val="none" w:sz="0" w:space="0" w:color="auto"/>
            <w:left w:val="none" w:sz="0" w:space="0" w:color="auto"/>
            <w:bottom w:val="none" w:sz="0" w:space="0" w:color="auto"/>
            <w:right w:val="none" w:sz="0" w:space="0" w:color="auto"/>
          </w:divBdr>
        </w:div>
        <w:div w:id="960067483">
          <w:marLeft w:val="1699"/>
          <w:marRight w:val="0"/>
          <w:marTop w:val="0"/>
          <w:marBottom w:val="60"/>
          <w:divBdr>
            <w:top w:val="none" w:sz="0" w:space="0" w:color="auto"/>
            <w:left w:val="none" w:sz="0" w:space="0" w:color="auto"/>
            <w:bottom w:val="none" w:sz="0" w:space="0" w:color="auto"/>
            <w:right w:val="none" w:sz="0" w:space="0" w:color="auto"/>
          </w:divBdr>
        </w:div>
        <w:div w:id="1101415409">
          <w:marLeft w:val="1699"/>
          <w:marRight w:val="0"/>
          <w:marTop w:val="0"/>
          <w:marBottom w:val="60"/>
          <w:divBdr>
            <w:top w:val="none" w:sz="0" w:space="0" w:color="auto"/>
            <w:left w:val="none" w:sz="0" w:space="0" w:color="auto"/>
            <w:bottom w:val="none" w:sz="0" w:space="0" w:color="auto"/>
            <w:right w:val="none" w:sz="0" w:space="0" w:color="auto"/>
          </w:divBdr>
        </w:div>
        <w:div w:id="1993676406">
          <w:marLeft w:val="2722"/>
          <w:marRight w:val="0"/>
          <w:marTop w:val="0"/>
          <w:marBottom w:val="60"/>
          <w:divBdr>
            <w:top w:val="none" w:sz="0" w:space="0" w:color="auto"/>
            <w:left w:val="none" w:sz="0" w:space="0" w:color="auto"/>
            <w:bottom w:val="none" w:sz="0" w:space="0" w:color="auto"/>
            <w:right w:val="none" w:sz="0" w:space="0" w:color="auto"/>
          </w:divBdr>
        </w:div>
        <w:div w:id="2040466794">
          <w:marLeft w:val="2722"/>
          <w:marRight w:val="0"/>
          <w:marTop w:val="0"/>
          <w:marBottom w:val="60"/>
          <w:divBdr>
            <w:top w:val="none" w:sz="0" w:space="0" w:color="auto"/>
            <w:left w:val="none" w:sz="0" w:space="0" w:color="auto"/>
            <w:bottom w:val="none" w:sz="0" w:space="0" w:color="auto"/>
            <w:right w:val="none" w:sz="0" w:space="0" w:color="auto"/>
          </w:divBdr>
        </w:div>
      </w:divsChild>
    </w:div>
    <w:div w:id="838498915">
      <w:bodyDiv w:val="1"/>
      <w:marLeft w:val="0"/>
      <w:marRight w:val="0"/>
      <w:marTop w:val="0"/>
      <w:marBottom w:val="0"/>
      <w:divBdr>
        <w:top w:val="none" w:sz="0" w:space="0" w:color="auto"/>
        <w:left w:val="none" w:sz="0" w:space="0" w:color="auto"/>
        <w:bottom w:val="none" w:sz="0" w:space="0" w:color="auto"/>
        <w:right w:val="none" w:sz="0" w:space="0" w:color="auto"/>
      </w:divBdr>
    </w:div>
    <w:div w:id="859777190">
      <w:bodyDiv w:val="1"/>
      <w:marLeft w:val="0"/>
      <w:marRight w:val="0"/>
      <w:marTop w:val="0"/>
      <w:marBottom w:val="0"/>
      <w:divBdr>
        <w:top w:val="none" w:sz="0" w:space="0" w:color="auto"/>
        <w:left w:val="none" w:sz="0" w:space="0" w:color="auto"/>
        <w:bottom w:val="none" w:sz="0" w:space="0" w:color="auto"/>
        <w:right w:val="none" w:sz="0" w:space="0" w:color="auto"/>
      </w:divBdr>
    </w:div>
    <w:div w:id="920455268">
      <w:bodyDiv w:val="1"/>
      <w:marLeft w:val="0"/>
      <w:marRight w:val="0"/>
      <w:marTop w:val="0"/>
      <w:marBottom w:val="0"/>
      <w:divBdr>
        <w:top w:val="none" w:sz="0" w:space="0" w:color="auto"/>
        <w:left w:val="none" w:sz="0" w:space="0" w:color="auto"/>
        <w:bottom w:val="none" w:sz="0" w:space="0" w:color="auto"/>
        <w:right w:val="none" w:sz="0" w:space="0" w:color="auto"/>
      </w:divBdr>
    </w:div>
    <w:div w:id="923996636">
      <w:bodyDiv w:val="1"/>
      <w:marLeft w:val="0"/>
      <w:marRight w:val="0"/>
      <w:marTop w:val="0"/>
      <w:marBottom w:val="0"/>
      <w:divBdr>
        <w:top w:val="none" w:sz="0" w:space="0" w:color="auto"/>
        <w:left w:val="none" w:sz="0" w:space="0" w:color="auto"/>
        <w:bottom w:val="none" w:sz="0" w:space="0" w:color="auto"/>
        <w:right w:val="none" w:sz="0" w:space="0" w:color="auto"/>
      </w:divBdr>
    </w:div>
    <w:div w:id="990255667">
      <w:bodyDiv w:val="1"/>
      <w:marLeft w:val="0"/>
      <w:marRight w:val="0"/>
      <w:marTop w:val="0"/>
      <w:marBottom w:val="0"/>
      <w:divBdr>
        <w:top w:val="none" w:sz="0" w:space="0" w:color="auto"/>
        <w:left w:val="none" w:sz="0" w:space="0" w:color="auto"/>
        <w:bottom w:val="none" w:sz="0" w:space="0" w:color="auto"/>
        <w:right w:val="none" w:sz="0" w:space="0" w:color="auto"/>
      </w:divBdr>
    </w:div>
    <w:div w:id="1024331544">
      <w:bodyDiv w:val="1"/>
      <w:marLeft w:val="0"/>
      <w:marRight w:val="0"/>
      <w:marTop w:val="0"/>
      <w:marBottom w:val="0"/>
      <w:divBdr>
        <w:top w:val="none" w:sz="0" w:space="0" w:color="auto"/>
        <w:left w:val="none" w:sz="0" w:space="0" w:color="auto"/>
        <w:bottom w:val="none" w:sz="0" w:space="0" w:color="auto"/>
        <w:right w:val="none" w:sz="0" w:space="0" w:color="auto"/>
      </w:divBdr>
    </w:div>
    <w:div w:id="1050155281">
      <w:bodyDiv w:val="1"/>
      <w:marLeft w:val="0"/>
      <w:marRight w:val="0"/>
      <w:marTop w:val="0"/>
      <w:marBottom w:val="0"/>
      <w:divBdr>
        <w:top w:val="none" w:sz="0" w:space="0" w:color="auto"/>
        <w:left w:val="none" w:sz="0" w:space="0" w:color="auto"/>
        <w:bottom w:val="none" w:sz="0" w:space="0" w:color="auto"/>
        <w:right w:val="none" w:sz="0" w:space="0" w:color="auto"/>
      </w:divBdr>
    </w:div>
    <w:div w:id="1089423084">
      <w:bodyDiv w:val="1"/>
      <w:marLeft w:val="0"/>
      <w:marRight w:val="0"/>
      <w:marTop w:val="0"/>
      <w:marBottom w:val="0"/>
      <w:divBdr>
        <w:top w:val="none" w:sz="0" w:space="0" w:color="auto"/>
        <w:left w:val="none" w:sz="0" w:space="0" w:color="auto"/>
        <w:bottom w:val="none" w:sz="0" w:space="0" w:color="auto"/>
        <w:right w:val="none" w:sz="0" w:space="0" w:color="auto"/>
      </w:divBdr>
      <w:divsChild>
        <w:div w:id="382216221">
          <w:marLeft w:val="562"/>
          <w:marRight w:val="0"/>
          <w:marTop w:val="0"/>
          <w:marBottom w:val="0"/>
          <w:divBdr>
            <w:top w:val="none" w:sz="0" w:space="0" w:color="auto"/>
            <w:left w:val="none" w:sz="0" w:space="0" w:color="auto"/>
            <w:bottom w:val="none" w:sz="0" w:space="0" w:color="auto"/>
            <w:right w:val="none" w:sz="0" w:space="0" w:color="auto"/>
          </w:divBdr>
        </w:div>
        <w:div w:id="1302688625">
          <w:marLeft w:val="562"/>
          <w:marRight w:val="0"/>
          <w:marTop w:val="0"/>
          <w:marBottom w:val="120"/>
          <w:divBdr>
            <w:top w:val="none" w:sz="0" w:space="0" w:color="auto"/>
            <w:left w:val="none" w:sz="0" w:space="0" w:color="auto"/>
            <w:bottom w:val="none" w:sz="0" w:space="0" w:color="auto"/>
            <w:right w:val="none" w:sz="0" w:space="0" w:color="auto"/>
          </w:divBdr>
        </w:div>
        <w:div w:id="1510949561">
          <w:marLeft w:val="562"/>
          <w:marRight w:val="0"/>
          <w:marTop w:val="0"/>
          <w:marBottom w:val="120"/>
          <w:divBdr>
            <w:top w:val="none" w:sz="0" w:space="0" w:color="auto"/>
            <w:left w:val="none" w:sz="0" w:space="0" w:color="auto"/>
            <w:bottom w:val="none" w:sz="0" w:space="0" w:color="auto"/>
            <w:right w:val="none" w:sz="0" w:space="0" w:color="auto"/>
          </w:divBdr>
        </w:div>
        <w:div w:id="1676300609">
          <w:marLeft w:val="562"/>
          <w:marRight w:val="0"/>
          <w:marTop w:val="0"/>
          <w:marBottom w:val="0"/>
          <w:divBdr>
            <w:top w:val="none" w:sz="0" w:space="0" w:color="auto"/>
            <w:left w:val="none" w:sz="0" w:space="0" w:color="auto"/>
            <w:bottom w:val="none" w:sz="0" w:space="0" w:color="auto"/>
            <w:right w:val="none" w:sz="0" w:space="0" w:color="auto"/>
          </w:divBdr>
        </w:div>
        <w:div w:id="1879321270">
          <w:marLeft w:val="562"/>
          <w:marRight w:val="0"/>
          <w:marTop w:val="0"/>
          <w:marBottom w:val="0"/>
          <w:divBdr>
            <w:top w:val="none" w:sz="0" w:space="0" w:color="auto"/>
            <w:left w:val="none" w:sz="0" w:space="0" w:color="auto"/>
            <w:bottom w:val="none" w:sz="0" w:space="0" w:color="auto"/>
            <w:right w:val="none" w:sz="0" w:space="0" w:color="auto"/>
          </w:divBdr>
        </w:div>
        <w:div w:id="2126657276">
          <w:marLeft w:val="562"/>
          <w:marRight w:val="0"/>
          <w:marTop w:val="0"/>
          <w:marBottom w:val="0"/>
          <w:divBdr>
            <w:top w:val="none" w:sz="0" w:space="0" w:color="auto"/>
            <w:left w:val="none" w:sz="0" w:space="0" w:color="auto"/>
            <w:bottom w:val="none" w:sz="0" w:space="0" w:color="auto"/>
            <w:right w:val="none" w:sz="0" w:space="0" w:color="auto"/>
          </w:divBdr>
        </w:div>
      </w:divsChild>
    </w:div>
    <w:div w:id="1143347891">
      <w:bodyDiv w:val="1"/>
      <w:marLeft w:val="0"/>
      <w:marRight w:val="0"/>
      <w:marTop w:val="0"/>
      <w:marBottom w:val="0"/>
      <w:divBdr>
        <w:top w:val="none" w:sz="0" w:space="0" w:color="auto"/>
        <w:left w:val="none" w:sz="0" w:space="0" w:color="auto"/>
        <w:bottom w:val="none" w:sz="0" w:space="0" w:color="auto"/>
        <w:right w:val="none" w:sz="0" w:space="0" w:color="auto"/>
      </w:divBdr>
      <w:divsChild>
        <w:div w:id="98107742">
          <w:marLeft w:val="562"/>
          <w:marRight w:val="0"/>
          <w:marTop w:val="96"/>
          <w:marBottom w:val="360"/>
          <w:divBdr>
            <w:top w:val="none" w:sz="0" w:space="0" w:color="auto"/>
            <w:left w:val="none" w:sz="0" w:space="0" w:color="auto"/>
            <w:bottom w:val="none" w:sz="0" w:space="0" w:color="auto"/>
            <w:right w:val="none" w:sz="0" w:space="0" w:color="auto"/>
          </w:divBdr>
        </w:div>
        <w:div w:id="359554486">
          <w:marLeft w:val="562"/>
          <w:marRight w:val="0"/>
          <w:marTop w:val="96"/>
          <w:marBottom w:val="360"/>
          <w:divBdr>
            <w:top w:val="none" w:sz="0" w:space="0" w:color="auto"/>
            <w:left w:val="none" w:sz="0" w:space="0" w:color="auto"/>
            <w:bottom w:val="none" w:sz="0" w:space="0" w:color="auto"/>
            <w:right w:val="none" w:sz="0" w:space="0" w:color="auto"/>
          </w:divBdr>
        </w:div>
        <w:div w:id="1676306237">
          <w:marLeft w:val="562"/>
          <w:marRight w:val="0"/>
          <w:marTop w:val="96"/>
          <w:marBottom w:val="360"/>
          <w:divBdr>
            <w:top w:val="none" w:sz="0" w:space="0" w:color="auto"/>
            <w:left w:val="none" w:sz="0" w:space="0" w:color="auto"/>
            <w:bottom w:val="none" w:sz="0" w:space="0" w:color="auto"/>
            <w:right w:val="none" w:sz="0" w:space="0" w:color="auto"/>
          </w:divBdr>
        </w:div>
        <w:div w:id="1904020358">
          <w:marLeft w:val="562"/>
          <w:marRight w:val="0"/>
          <w:marTop w:val="96"/>
          <w:marBottom w:val="360"/>
          <w:divBdr>
            <w:top w:val="none" w:sz="0" w:space="0" w:color="auto"/>
            <w:left w:val="none" w:sz="0" w:space="0" w:color="auto"/>
            <w:bottom w:val="none" w:sz="0" w:space="0" w:color="auto"/>
            <w:right w:val="none" w:sz="0" w:space="0" w:color="auto"/>
          </w:divBdr>
        </w:div>
      </w:divsChild>
    </w:div>
    <w:div w:id="1174149870">
      <w:bodyDiv w:val="1"/>
      <w:marLeft w:val="0"/>
      <w:marRight w:val="0"/>
      <w:marTop w:val="0"/>
      <w:marBottom w:val="0"/>
      <w:divBdr>
        <w:top w:val="none" w:sz="0" w:space="0" w:color="auto"/>
        <w:left w:val="none" w:sz="0" w:space="0" w:color="auto"/>
        <w:bottom w:val="none" w:sz="0" w:space="0" w:color="auto"/>
        <w:right w:val="none" w:sz="0" w:space="0" w:color="auto"/>
      </w:divBdr>
    </w:div>
    <w:div w:id="1214660370">
      <w:bodyDiv w:val="1"/>
      <w:marLeft w:val="0"/>
      <w:marRight w:val="0"/>
      <w:marTop w:val="0"/>
      <w:marBottom w:val="0"/>
      <w:divBdr>
        <w:top w:val="none" w:sz="0" w:space="0" w:color="auto"/>
        <w:left w:val="none" w:sz="0" w:space="0" w:color="auto"/>
        <w:bottom w:val="none" w:sz="0" w:space="0" w:color="auto"/>
        <w:right w:val="none" w:sz="0" w:space="0" w:color="auto"/>
      </w:divBdr>
      <w:divsChild>
        <w:div w:id="2115587479">
          <w:marLeft w:val="0"/>
          <w:marRight w:val="0"/>
          <w:marTop w:val="0"/>
          <w:marBottom w:val="0"/>
          <w:divBdr>
            <w:top w:val="none" w:sz="0" w:space="0" w:color="auto"/>
            <w:left w:val="single" w:sz="24" w:space="0" w:color="FFFFFF"/>
            <w:bottom w:val="none" w:sz="0" w:space="0" w:color="auto"/>
            <w:right w:val="single" w:sz="24" w:space="0" w:color="FFFFFF"/>
          </w:divBdr>
          <w:divsChild>
            <w:div w:id="350844496">
              <w:marLeft w:val="0"/>
              <w:marRight w:val="0"/>
              <w:marTop w:val="0"/>
              <w:marBottom w:val="0"/>
              <w:divBdr>
                <w:top w:val="none" w:sz="0" w:space="0" w:color="auto"/>
                <w:left w:val="none" w:sz="0" w:space="0" w:color="auto"/>
                <w:bottom w:val="none" w:sz="0" w:space="0" w:color="auto"/>
                <w:right w:val="none" w:sz="0" w:space="0" w:color="auto"/>
              </w:divBdr>
              <w:divsChild>
                <w:div w:id="1164778265">
                  <w:marLeft w:val="0"/>
                  <w:marRight w:val="0"/>
                  <w:marTop w:val="0"/>
                  <w:marBottom w:val="0"/>
                  <w:divBdr>
                    <w:top w:val="none" w:sz="0" w:space="0" w:color="auto"/>
                    <w:left w:val="none" w:sz="0" w:space="0" w:color="auto"/>
                    <w:bottom w:val="none" w:sz="0" w:space="0" w:color="auto"/>
                    <w:right w:val="none" w:sz="0" w:space="0" w:color="auto"/>
                  </w:divBdr>
                  <w:divsChild>
                    <w:div w:id="14581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806174">
      <w:bodyDiv w:val="1"/>
      <w:marLeft w:val="0"/>
      <w:marRight w:val="0"/>
      <w:marTop w:val="0"/>
      <w:marBottom w:val="0"/>
      <w:divBdr>
        <w:top w:val="none" w:sz="0" w:space="0" w:color="auto"/>
        <w:left w:val="none" w:sz="0" w:space="0" w:color="auto"/>
        <w:bottom w:val="none" w:sz="0" w:space="0" w:color="auto"/>
        <w:right w:val="none" w:sz="0" w:space="0" w:color="auto"/>
      </w:divBdr>
    </w:div>
    <w:div w:id="1284195790">
      <w:bodyDiv w:val="1"/>
      <w:marLeft w:val="0"/>
      <w:marRight w:val="0"/>
      <w:marTop w:val="0"/>
      <w:marBottom w:val="0"/>
      <w:divBdr>
        <w:top w:val="none" w:sz="0" w:space="0" w:color="auto"/>
        <w:left w:val="none" w:sz="0" w:space="0" w:color="auto"/>
        <w:bottom w:val="none" w:sz="0" w:space="0" w:color="auto"/>
        <w:right w:val="none" w:sz="0" w:space="0" w:color="auto"/>
      </w:divBdr>
    </w:div>
    <w:div w:id="1306163954">
      <w:bodyDiv w:val="1"/>
      <w:marLeft w:val="0"/>
      <w:marRight w:val="0"/>
      <w:marTop w:val="0"/>
      <w:marBottom w:val="0"/>
      <w:divBdr>
        <w:top w:val="none" w:sz="0" w:space="0" w:color="auto"/>
        <w:left w:val="none" w:sz="0" w:space="0" w:color="auto"/>
        <w:bottom w:val="none" w:sz="0" w:space="0" w:color="auto"/>
        <w:right w:val="none" w:sz="0" w:space="0" w:color="auto"/>
      </w:divBdr>
    </w:div>
    <w:div w:id="1371954644">
      <w:bodyDiv w:val="1"/>
      <w:marLeft w:val="0"/>
      <w:marRight w:val="0"/>
      <w:marTop w:val="0"/>
      <w:marBottom w:val="0"/>
      <w:divBdr>
        <w:top w:val="none" w:sz="0" w:space="0" w:color="auto"/>
        <w:left w:val="none" w:sz="0" w:space="0" w:color="auto"/>
        <w:bottom w:val="none" w:sz="0" w:space="0" w:color="auto"/>
        <w:right w:val="none" w:sz="0" w:space="0" w:color="auto"/>
      </w:divBdr>
    </w:div>
    <w:div w:id="1450663639">
      <w:bodyDiv w:val="1"/>
      <w:marLeft w:val="0"/>
      <w:marRight w:val="0"/>
      <w:marTop w:val="0"/>
      <w:marBottom w:val="0"/>
      <w:divBdr>
        <w:top w:val="none" w:sz="0" w:space="0" w:color="auto"/>
        <w:left w:val="none" w:sz="0" w:space="0" w:color="auto"/>
        <w:bottom w:val="none" w:sz="0" w:space="0" w:color="auto"/>
        <w:right w:val="none" w:sz="0" w:space="0" w:color="auto"/>
      </w:divBdr>
    </w:div>
    <w:div w:id="1458067721">
      <w:bodyDiv w:val="1"/>
      <w:marLeft w:val="0"/>
      <w:marRight w:val="0"/>
      <w:marTop w:val="0"/>
      <w:marBottom w:val="0"/>
      <w:divBdr>
        <w:top w:val="none" w:sz="0" w:space="0" w:color="auto"/>
        <w:left w:val="none" w:sz="0" w:space="0" w:color="auto"/>
        <w:bottom w:val="none" w:sz="0" w:space="0" w:color="auto"/>
        <w:right w:val="none" w:sz="0" w:space="0" w:color="auto"/>
      </w:divBdr>
      <w:divsChild>
        <w:div w:id="31612164">
          <w:marLeft w:val="2261"/>
          <w:marRight w:val="0"/>
          <w:marTop w:val="0"/>
          <w:marBottom w:val="120"/>
          <w:divBdr>
            <w:top w:val="none" w:sz="0" w:space="0" w:color="auto"/>
            <w:left w:val="none" w:sz="0" w:space="0" w:color="auto"/>
            <w:bottom w:val="none" w:sz="0" w:space="0" w:color="auto"/>
            <w:right w:val="none" w:sz="0" w:space="0" w:color="auto"/>
          </w:divBdr>
        </w:div>
        <w:div w:id="61946796">
          <w:marLeft w:val="2261"/>
          <w:marRight w:val="0"/>
          <w:marTop w:val="0"/>
          <w:marBottom w:val="120"/>
          <w:divBdr>
            <w:top w:val="none" w:sz="0" w:space="0" w:color="auto"/>
            <w:left w:val="none" w:sz="0" w:space="0" w:color="auto"/>
            <w:bottom w:val="none" w:sz="0" w:space="0" w:color="auto"/>
            <w:right w:val="none" w:sz="0" w:space="0" w:color="auto"/>
          </w:divBdr>
        </w:div>
        <w:div w:id="510606023">
          <w:marLeft w:val="2261"/>
          <w:marRight w:val="0"/>
          <w:marTop w:val="0"/>
          <w:marBottom w:val="120"/>
          <w:divBdr>
            <w:top w:val="none" w:sz="0" w:space="0" w:color="auto"/>
            <w:left w:val="none" w:sz="0" w:space="0" w:color="auto"/>
            <w:bottom w:val="none" w:sz="0" w:space="0" w:color="auto"/>
            <w:right w:val="none" w:sz="0" w:space="0" w:color="auto"/>
          </w:divBdr>
        </w:div>
        <w:div w:id="546533241">
          <w:marLeft w:val="2261"/>
          <w:marRight w:val="0"/>
          <w:marTop w:val="0"/>
          <w:marBottom w:val="120"/>
          <w:divBdr>
            <w:top w:val="none" w:sz="0" w:space="0" w:color="auto"/>
            <w:left w:val="none" w:sz="0" w:space="0" w:color="auto"/>
            <w:bottom w:val="none" w:sz="0" w:space="0" w:color="auto"/>
            <w:right w:val="none" w:sz="0" w:space="0" w:color="auto"/>
          </w:divBdr>
        </w:div>
        <w:div w:id="601961455">
          <w:marLeft w:val="1195"/>
          <w:marRight w:val="0"/>
          <w:marTop w:val="0"/>
          <w:marBottom w:val="120"/>
          <w:divBdr>
            <w:top w:val="none" w:sz="0" w:space="0" w:color="auto"/>
            <w:left w:val="none" w:sz="0" w:space="0" w:color="auto"/>
            <w:bottom w:val="none" w:sz="0" w:space="0" w:color="auto"/>
            <w:right w:val="none" w:sz="0" w:space="0" w:color="auto"/>
          </w:divBdr>
        </w:div>
        <w:div w:id="807288348">
          <w:marLeft w:val="2261"/>
          <w:marRight w:val="0"/>
          <w:marTop w:val="0"/>
          <w:marBottom w:val="120"/>
          <w:divBdr>
            <w:top w:val="none" w:sz="0" w:space="0" w:color="auto"/>
            <w:left w:val="none" w:sz="0" w:space="0" w:color="auto"/>
            <w:bottom w:val="none" w:sz="0" w:space="0" w:color="auto"/>
            <w:right w:val="none" w:sz="0" w:space="0" w:color="auto"/>
          </w:divBdr>
        </w:div>
        <w:div w:id="863326715">
          <w:marLeft w:val="2261"/>
          <w:marRight w:val="0"/>
          <w:marTop w:val="0"/>
          <w:marBottom w:val="120"/>
          <w:divBdr>
            <w:top w:val="none" w:sz="0" w:space="0" w:color="auto"/>
            <w:left w:val="none" w:sz="0" w:space="0" w:color="auto"/>
            <w:bottom w:val="none" w:sz="0" w:space="0" w:color="auto"/>
            <w:right w:val="none" w:sz="0" w:space="0" w:color="auto"/>
          </w:divBdr>
        </w:div>
        <w:div w:id="972826549">
          <w:marLeft w:val="1166"/>
          <w:marRight w:val="0"/>
          <w:marTop w:val="0"/>
          <w:marBottom w:val="120"/>
          <w:divBdr>
            <w:top w:val="none" w:sz="0" w:space="0" w:color="auto"/>
            <w:left w:val="none" w:sz="0" w:space="0" w:color="auto"/>
            <w:bottom w:val="none" w:sz="0" w:space="0" w:color="auto"/>
            <w:right w:val="none" w:sz="0" w:space="0" w:color="auto"/>
          </w:divBdr>
        </w:div>
        <w:div w:id="1168248050">
          <w:marLeft w:val="2261"/>
          <w:marRight w:val="0"/>
          <w:marTop w:val="0"/>
          <w:marBottom w:val="120"/>
          <w:divBdr>
            <w:top w:val="none" w:sz="0" w:space="0" w:color="auto"/>
            <w:left w:val="none" w:sz="0" w:space="0" w:color="auto"/>
            <w:bottom w:val="none" w:sz="0" w:space="0" w:color="auto"/>
            <w:right w:val="none" w:sz="0" w:space="0" w:color="auto"/>
          </w:divBdr>
        </w:div>
        <w:div w:id="1244800753">
          <w:marLeft w:val="2261"/>
          <w:marRight w:val="0"/>
          <w:marTop w:val="0"/>
          <w:marBottom w:val="120"/>
          <w:divBdr>
            <w:top w:val="none" w:sz="0" w:space="0" w:color="auto"/>
            <w:left w:val="none" w:sz="0" w:space="0" w:color="auto"/>
            <w:bottom w:val="none" w:sz="0" w:space="0" w:color="auto"/>
            <w:right w:val="none" w:sz="0" w:space="0" w:color="auto"/>
          </w:divBdr>
        </w:div>
        <w:div w:id="1767847728">
          <w:marLeft w:val="1195"/>
          <w:marRight w:val="0"/>
          <w:marTop w:val="0"/>
          <w:marBottom w:val="120"/>
          <w:divBdr>
            <w:top w:val="none" w:sz="0" w:space="0" w:color="auto"/>
            <w:left w:val="none" w:sz="0" w:space="0" w:color="auto"/>
            <w:bottom w:val="none" w:sz="0" w:space="0" w:color="auto"/>
            <w:right w:val="none" w:sz="0" w:space="0" w:color="auto"/>
          </w:divBdr>
        </w:div>
      </w:divsChild>
    </w:div>
    <w:div w:id="1461877691">
      <w:bodyDiv w:val="1"/>
      <w:marLeft w:val="0"/>
      <w:marRight w:val="0"/>
      <w:marTop w:val="0"/>
      <w:marBottom w:val="0"/>
      <w:divBdr>
        <w:top w:val="none" w:sz="0" w:space="0" w:color="auto"/>
        <w:left w:val="none" w:sz="0" w:space="0" w:color="auto"/>
        <w:bottom w:val="none" w:sz="0" w:space="0" w:color="auto"/>
        <w:right w:val="none" w:sz="0" w:space="0" w:color="auto"/>
      </w:divBdr>
    </w:div>
    <w:div w:id="1508867195">
      <w:bodyDiv w:val="1"/>
      <w:marLeft w:val="0"/>
      <w:marRight w:val="0"/>
      <w:marTop w:val="0"/>
      <w:marBottom w:val="0"/>
      <w:divBdr>
        <w:top w:val="none" w:sz="0" w:space="0" w:color="auto"/>
        <w:left w:val="none" w:sz="0" w:space="0" w:color="auto"/>
        <w:bottom w:val="none" w:sz="0" w:space="0" w:color="auto"/>
        <w:right w:val="none" w:sz="0" w:space="0" w:color="auto"/>
      </w:divBdr>
    </w:div>
    <w:div w:id="1523326377">
      <w:bodyDiv w:val="1"/>
      <w:marLeft w:val="0"/>
      <w:marRight w:val="0"/>
      <w:marTop w:val="0"/>
      <w:marBottom w:val="0"/>
      <w:divBdr>
        <w:top w:val="none" w:sz="0" w:space="0" w:color="auto"/>
        <w:left w:val="none" w:sz="0" w:space="0" w:color="auto"/>
        <w:bottom w:val="none" w:sz="0" w:space="0" w:color="auto"/>
        <w:right w:val="none" w:sz="0" w:space="0" w:color="auto"/>
      </w:divBdr>
      <w:divsChild>
        <w:div w:id="128935599">
          <w:marLeft w:val="1080"/>
          <w:marRight w:val="0"/>
          <w:marTop w:val="77"/>
          <w:marBottom w:val="120"/>
          <w:divBdr>
            <w:top w:val="none" w:sz="0" w:space="0" w:color="auto"/>
            <w:left w:val="none" w:sz="0" w:space="0" w:color="auto"/>
            <w:bottom w:val="none" w:sz="0" w:space="0" w:color="auto"/>
            <w:right w:val="none" w:sz="0" w:space="0" w:color="auto"/>
          </w:divBdr>
        </w:div>
        <w:div w:id="1216967177">
          <w:marLeft w:val="965"/>
          <w:marRight w:val="0"/>
          <w:marTop w:val="77"/>
          <w:marBottom w:val="120"/>
          <w:divBdr>
            <w:top w:val="none" w:sz="0" w:space="0" w:color="auto"/>
            <w:left w:val="none" w:sz="0" w:space="0" w:color="auto"/>
            <w:bottom w:val="none" w:sz="0" w:space="0" w:color="auto"/>
            <w:right w:val="none" w:sz="0" w:space="0" w:color="auto"/>
          </w:divBdr>
        </w:div>
        <w:div w:id="1229535951">
          <w:marLeft w:val="562"/>
          <w:marRight w:val="0"/>
          <w:marTop w:val="77"/>
          <w:marBottom w:val="120"/>
          <w:divBdr>
            <w:top w:val="none" w:sz="0" w:space="0" w:color="auto"/>
            <w:left w:val="none" w:sz="0" w:space="0" w:color="auto"/>
            <w:bottom w:val="none" w:sz="0" w:space="0" w:color="auto"/>
            <w:right w:val="none" w:sz="0" w:space="0" w:color="auto"/>
          </w:divBdr>
        </w:div>
        <w:div w:id="1519543239">
          <w:marLeft w:val="562"/>
          <w:marRight w:val="0"/>
          <w:marTop w:val="77"/>
          <w:marBottom w:val="120"/>
          <w:divBdr>
            <w:top w:val="none" w:sz="0" w:space="0" w:color="auto"/>
            <w:left w:val="none" w:sz="0" w:space="0" w:color="auto"/>
            <w:bottom w:val="none" w:sz="0" w:space="0" w:color="auto"/>
            <w:right w:val="none" w:sz="0" w:space="0" w:color="auto"/>
          </w:divBdr>
        </w:div>
      </w:divsChild>
    </w:div>
    <w:div w:id="1596330478">
      <w:bodyDiv w:val="1"/>
      <w:marLeft w:val="0"/>
      <w:marRight w:val="0"/>
      <w:marTop w:val="0"/>
      <w:marBottom w:val="0"/>
      <w:divBdr>
        <w:top w:val="none" w:sz="0" w:space="0" w:color="auto"/>
        <w:left w:val="none" w:sz="0" w:space="0" w:color="auto"/>
        <w:bottom w:val="none" w:sz="0" w:space="0" w:color="auto"/>
        <w:right w:val="none" w:sz="0" w:space="0" w:color="auto"/>
      </w:divBdr>
    </w:div>
    <w:div w:id="1618637417">
      <w:bodyDiv w:val="1"/>
      <w:marLeft w:val="0"/>
      <w:marRight w:val="0"/>
      <w:marTop w:val="0"/>
      <w:marBottom w:val="0"/>
      <w:divBdr>
        <w:top w:val="none" w:sz="0" w:space="0" w:color="auto"/>
        <w:left w:val="none" w:sz="0" w:space="0" w:color="auto"/>
        <w:bottom w:val="none" w:sz="0" w:space="0" w:color="auto"/>
        <w:right w:val="none" w:sz="0" w:space="0" w:color="auto"/>
      </w:divBdr>
    </w:div>
    <w:div w:id="1633441463">
      <w:bodyDiv w:val="1"/>
      <w:marLeft w:val="0"/>
      <w:marRight w:val="0"/>
      <w:marTop w:val="0"/>
      <w:marBottom w:val="0"/>
      <w:divBdr>
        <w:top w:val="none" w:sz="0" w:space="0" w:color="auto"/>
        <w:left w:val="none" w:sz="0" w:space="0" w:color="auto"/>
        <w:bottom w:val="none" w:sz="0" w:space="0" w:color="auto"/>
        <w:right w:val="none" w:sz="0" w:space="0" w:color="auto"/>
      </w:divBdr>
    </w:div>
    <w:div w:id="1649480290">
      <w:bodyDiv w:val="1"/>
      <w:marLeft w:val="0"/>
      <w:marRight w:val="0"/>
      <w:marTop w:val="0"/>
      <w:marBottom w:val="0"/>
      <w:divBdr>
        <w:top w:val="none" w:sz="0" w:space="0" w:color="auto"/>
        <w:left w:val="none" w:sz="0" w:space="0" w:color="auto"/>
        <w:bottom w:val="none" w:sz="0" w:space="0" w:color="auto"/>
        <w:right w:val="none" w:sz="0" w:space="0" w:color="auto"/>
      </w:divBdr>
    </w:div>
    <w:div w:id="1676029974">
      <w:bodyDiv w:val="1"/>
      <w:marLeft w:val="0"/>
      <w:marRight w:val="0"/>
      <w:marTop w:val="0"/>
      <w:marBottom w:val="0"/>
      <w:divBdr>
        <w:top w:val="none" w:sz="0" w:space="0" w:color="auto"/>
        <w:left w:val="none" w:sz="0" w:space="0" w:color="auto"/>
        <w:bottom w:val="none" w:sz="0" w:space="0" w:color="auto"/>
        <w:right w:val="none" w:sz="0" w:space="0" w:color="auto"/>
      </w:divBdr>
    </w:div>
    <w:div w:id="1711689371">
      <w:bodyDiv w:val="1"/>
      <w:marLeft w:val="0"/>
      <w:marRight w:val="0"/>
      <w:marTop w:val="0"/>
      <w:marBottom w:val="0"/>
      <w:divBdr>
        <w:top w:val="none" w:sz="0" w:space="0" w:color="auto"/>
        <w:left w:val="none" w:sz="0" w:space="0" w:color="auto"/>
        <w:bottom w:val="none" w:sz="0" w:space="0" w:color="auto"/>
        <w:right w:val="none" w:sz="0" w:space="0" w:color="auto"/>
      </w:divBdr>
    </w:div>
    <w:div w:id="1725637011">
      <w:bodyDiv w:val="1"/>
      <w:marLeft w:val="0"/>
      <w:marRight w:val="0"/>
      <w:marTop w:val="0"/>
      <w:marBottom w:val="0"/>
      <w:divBdr>
        <w:top w:val="none" w:sz="0" w:space="0" w:color="auto"/>
        <w:left w:val="none" w:sz="0" w:space="0" w:color="auto"/>
        <w:bottom w:val="none" w:sz="0" w:space="0" w:color="auto"/>
        <w:right w:val="none" w:sz="0" w:space="0" w:color="auto"/>
      </w:divBdr>
    </w:div>
    <w:div w:id="1727606290">
      <w:bodyDiv w:val="1"/>
      <w:marLeft w:val="0"/>
      <w:marRight w:val="0"/>
      <w:marTop w:val="0"/>
      <w:marBottom w:val="0"/>
      <w:divBdr>
        <w:top w:val="none" w:sz="0" w:space="0" w:color="auto"/>
        <w:left w:val="none" w:sz="0" w:space="0" w:color="auto"/>
        <w:bottom w:val="none" w:sz="0" w:space="0" w:color="auto"/>
        <w:right w:val="none" w:sz="0" w:space="0" w:color="auto"/>
      </w:divBdr>
    </w:div>
    <w:div w:id="1755468816">
      <w:bodyDiv w:val="1"/>
      <w:marLeft w:val="0"/>
      <w:marRight w:val="0"/>
      <w:marTop w:val="0"/>
      <w:marBottom w:val="0"/>
      <w:divBdr>
        <w:top w:val="none" w:sz="0" w:space="0" w:color="auto"/>
        <w:left w:val="none" w:sz="0" w:space="0" w:color="auto"/>
        <w:bottom w:val="none" w:sz="0" w:space="0" w:color="auto"/>
        <w:right w:val="none" w:sz="0" w:space="0" w:color="auto"/>
      </w:divBdr>
    </w:div>
    <w:div w:id="1789005425">
      <w:bodyDiv w:val="1"/>
      <w:marLeft w:val="0"/>
      <w:marRight w:val="0"/>
      <w:marTop w:val="0"/>
      <w:marBottom w:val="0"/>
      <w:divBdr>
        <w:top w:val="none" w:sz="0" w:space="0" w:color="auto"/>
        <w:left w:val="none" w:sz="0" w:space="0" w:color="auto"/>
        <w:bottom w:val="none" w:sz="0" w:space="0" w:color="auto"/>
        <w:right w:val="none" w:sz="0" w:space="0" w:color="auto"/>
      </w:divBdr>
    </w:div>
    <w:div w:id="1796094503">
      <w:bodyDiv w:val="1"/>
      <w:marLeft w:val="0"/>
      <w:marRight w:val="0"/>
      <w:marTop w:val="0"/>
      <w:marBottom w:val="0"/>
      <w:divBdr>
        <w:top w:val="none" w:sz="0" w:space="0" w:color="auto"/>
        <w:left w:val="none" w:sz="0" w:space="0" w:color="auto"/>
        <w:bottom w:val="none" w:sz="0" w:space="0" w:color="auto"/>
        <w:right w:val="none" w:sz="0" w:space="0" w:color="auto"/>
      </w:divBdr>
    </w:div>
    <w:div w:id="1817531369">
      <w:bodyDiv w:val="1"/>
      <w:marLeft w:val="0"/>
      <w:marRight w:val="0"/>
      <w:marTop w:val="0"/>
      <w:marBottom w:val="0"/>
      <w:divBdr>
        <w:top w:val="none" w:sz="0" w:space="0" w:color="auto"/>
        <w:left w:val="none" w:sz="0" w:space="0" w:color="auto"/>
        <w:bottom w:val="none" w:sz="0" w:space="0" w:color="auto"/>
        <w:right w:val="none" w:sz="0" w:space="0" w:color="auto"/>
      </w:divBdr>
    </w:div>
    <w:div w:id="1859738365">
      <w:bodyDiv w:val="1"/>
      <w:marLeft w:val="0"/>
      <w:marRight w:val="0"/>
      <w:marTop w:val="0"/>
      <w:marBottom w:val="0"/>
      <w:divBdr>
        <w:top w:val="none" w:sz="0" w:space="0" w:color="auto"/>
        <w:left w:val="none" w:sz="0" w:space="0" w:color="auto"/>
        <w:bottom w:val="none" w:sz="0" w:space="0" w:color="auto"/>
        <w:right w:val="none" w:sz="0" w:space="0" w:color="auto"/>
      </w:divBdr>
    </w:div>
    <w:div w:id="1876309185">
      <w:bodyDiv w:val="1"/>
      <w:marLeft w:val="0"/>
      <w:marRight w:val="0"/>
      <w:marTop w:val="0"/>
      <w:marBottom w:val="0"/>
      <w:divBdr>
        <w:top w:val="none" w:sz="0" w:space="0" w:color="auto"/>
        <w:left w:val="none" w:sz="0" w:space="0" w:color="auto"/>
        <w:bottom w:val="none" w:sz="0" w:space="0" w:color="auto"/>
        <w:right w:val="none" w:sz="0" w:space="0" w:color="auto"/>
      </w:divBdr>
    </w:div>
    <w:div w:id="1881476421">
      <w:bodyDiv w:val="1"/>
      <w:marLeft w:val="0"/>
      <w:marRight w:val="0"/>
      <w:marTop w:val="0"/>
      <w:marBottom w:val="0"/>
      <w:divBdr>
        <w:top w:val="none" w:sz="0" w:space="0" w:color="auto"/>
        <w:left w:val="none" w:sz="0" w:space="0" w:color="auto"/>
        <w:bottom w:val="none" w:sz="0" w:space="0" w:color="auto"/>
        <w:right w:val="none" w:sz="0" w:space="0" w:color="auto"/>
      </w:divBdr>
    </w:div>
    <w:div w:id="1892691129">
      <w:bodyDiv w:val="1"/>
      <w:marLeft w:val="0"/>
      <w:marRight w:val="0"/>
      <w:marTop w:val="0"/>
      <w:marBottom w:val="0"/>
      <w:divBdr>
        <w:top w:val="none" w:sz="0" w:space="0" w:color="auto"/>
        <w:left w:val="none" w:sz="0" w:space="0" w:color="auto"/>
        <w:bottom w:val="none" w:sz="0" w:space="0" w:color="auto"/>
        <w:right w:val="none" w:sz="0" w:space="0" w:color="auto"/>
      </w:divBdr>
    </w:div>
    <w:div w:id="1999571660">
      <w:bodyDiv w:val="1"/>
      <w:marLeft w:val="0"/>
      <w:marRight w:val="0"/>
      <w:marTop w:val="0"/>
      <w:marBottom w:val="0"/>
      <w:divBdr>
        <w:top w:val="none" w:sz="0" w:space="0" w:color="auto"/>
        <w:left w:val="none" w:sz="0" w:space="0" w:color="auto"/>
        <w:bottom w:val="none" w:sz="0" w:space="0" w:color="auto"/>
        <w:right w:val="none" w:sz="0" w:space="0" w:color="auto"/>
      </w:divBdr>
      <w:divsChild>
        <w:div w:id="81685245">
          <w:marLeft w:val="562"/>
          <w:marRight w:val="0"/>
          <w:marTop w:val="91"/>
          <w:marBottom w:val="0"/>
          <w:divBdr>
            <w:top w:val="none" w:sz="0" w:space="0" w:color="auto"/>
            <w:left w:val="none" w:sz="0" w:space="0" w:color="auto"/>
            <w:bottom w:val="none" w:sz="0" w:space="0" w:color="auto"/>
            <w:right w:val="none" w:sz="0" w:space="0" w:color="auto"/>
          </w:divBdr>
        </w:div>
        <w:div w:id="231744886">
          <w:marLeft w:val="2822"/>
          <w:marRight w:val="0"/>
          <w:marTop w:val="91"/>
          <w:marBottom w:val="0"/>
          <w:divBdr>
            <w:top w:val="none" w:sz="0" w:space="0" w:color="auto"/>
            <w:left w:val="none" w:sz="0" w:space="0" w:color="auto"/>
            <w:bottom w:val="none" w:sz="0" w:space="0" w:color="auto"/>
            <w:right w:val="none" w:sz="0" w:space="0" w:color="auto"/>
          </w:divBdr>
        </w:div>
        <w:div w:id="485827489">
          <w:marLeft w:val="2822"/>
          <w:marRight w:val="0"/>
          <w:marTop w:val="91"/>
          <w:marBottom w:val="0"/>
          <w:divBdr>
            <w:top w:val="none" w:sz="0" w:space="0" w:color="auto"/>
            <w:left w:val="none" w:sz="0" w:space="0" w:color="auto"/>
            <w:bottom w:val="none" w:sz="0" w:space="0" w:color="auto"/>
            <w:right w:val="none" w:sz="0" w:space="0" w:color="auto"/>
          </w:divBdr>
        </w:div>
        <w:div w:id="678041625">
          <w:marLeft w:val="562"/>
          <w:marRight w:val="0"/>
          <w:marTop w:val="91"/>
          <w:marBottom w:val="0"/>
          <w:divBdr>
            <w:top w:val="none" w:sz="0" w:space="0" w:color="auto"/>
            <w:left w:val="none" w:sz="0" w:space="0" w:color="auto"/>
            <w:bottom w:val="none" w:sz="0" w:space="0" w:color="auto"/>
            <w:right w:val="none" w:sz="0" w:space="0" w:color="auto"/>
          </w:divBdr>
        </w:div>
        <w:div w:id="831799393">
          <w:marLeft w:val="562"/>
          <w:marRight w:val="0"/>
          <w:marTop w:val="91"/>
          <w:marBottom w:val="0"/>
          <w:divBdr>
            <w:top w:val="none" w:sz="0" w:space="0" w:color="auto"/>
            <w:left w:val="none" w:sz="0" w:space="0" w:color="auto"/>
            <w:bottom w:val="none" w:sz="0" w:space="0" w:color="auto"/>
            <w:right w:val="none" w:sz="0" w:space="0" w:color="auto"/>
          </w:divBdr>
        </w:div>
        <w:div w:id="1064176988">
          <w:marLeft w:val="562"/>
          <w:marRight w:val="0"/>
          <w:marTop w:val="91"/>
          <w:marBottom w:val="0"/>
          <w:divBdr>
            <w:top w:val="none" w:sz="0" w:space="0" w:color="auto"/>
            <w:left w:val="none" w:sz="0" w:space="0" w:color="auto"/>
            <w:bottom w:val="none" w:sz="0" w:space="0" w:color="auto"/>
            <w:right w:val="none" w:sz="0" w:space="0" w:color="auto"/>
          </w:divBdr>
        </w:div>
        <w:div w:id="1241330548">
          <w:marLeft w:val="2822"/>
          <w:marRight w:val="0"/>
          <w:marTop w:val="91"/>
          <w:marBottom w:val="0"/>
          <w:divBdr>
            <w:top w:val="none" w:sz="0" w:space="0" w:color="auto"/>
            <w:left w:val="none" w:sz="0" w:space="0" w:color="auto"/>
            <w:bottom w:val="none" w:sz="0" w:space="0" w:color="auto"/>
            <w:right w:val="none" w:sz="0" w:space="0" w:color="auto"/>
          </w:divBdr>
        </w:div>
        <w:div w:id="2034570952">
          <w:marLeft w:val="562"/>
          <w:marRight w:val="0"/>
          <w:marTop w:val="91"/>
          <w:marBottom w:val="0"/>
          <w:divBdr>
            <w:top w:val="none" w:sz="0" w:space="0" w:color="auto"/>
            <w:left w:val="none" w:sz="0" w:space="0" w:color="auto"/>
            <w:bottom w:val="none" w:sz="0" w:space="0" w:color="auto"/>
            <w:right w:val="none" w:sz="0" w:space="0" w:color="auto"/>
          </w:divBdr>
        </w:div>
      </w:divsChild>
    </w:div>
    <w:div w:id="2020541995">
      <w:bodyDiv w:val="1"/>
      <w:marLeft w:val="0"/>
      <w:marRight w:val="0"/>
      <w:marTop w:val="0"/>
      <w:marBottom w:val="0"/>
      <w:divBdr>
        <w:top w:val="none" w:sz="0" w:space="0" w:color="auto"/>
        <w:left w:val="none" w:sz="0" w:space="0" w:color="auto"/>
        <w:bottom w:val="none" w:sz="0" w:space="0" w:color="auto"/>
        <w:right w:val="none" w:sz="0" w:space="0" w:color="auto"/>
      </w:divBdr>
    </w:div>
    <w:div w:id="2132818399">
      <w:bodyDiv w:val="1"/>
      <w:marLeft w:val="0"/>
      <w:marRight w:val="0"/>
      <w:marTop w:val="0"/>
      <w:marBottom w:val="0"/>
      <w:divBdr>
        <w:top w:val="none" w:sz="0" w:space="0" w:color="auto"/>
        <w:left w:val="none" w:sz="0" w:space="0" w:color="auto"/>
        <w:bottom w:val="none" w:sz="0" w:space="0" w:color="auto"/>
        <w:right w:val="none" w:sz="0" w:space="0" w:color="auto"/>
      </w:divBdr>
      <w:divsChild>
        <w:div w:id="569736426">
          <w:marLeft w:val="1987"/>
          <w:marRight w:val="0"/>
          <w:marTop w:val="228"/>
          <w:marBottom w:val="0"/>
          <w:divBdr>
            <w:top w:val="none" w:sz="0" w:space="0" w:color="auto"/>
            <w:left w:val="none" w:sz="0" w:space="0" w:color="auto"/>
            <w:bottom w:val="none" w:sz="0" w:space="0" w:color="auto"/>
            <w:right w:val="none" w:sz="0" w:space="0" w:color="auto"/>
          </w:divBdr>
        </w:div>
        <w:div w:id="583880020">
          <w:marLeft w:val="1987"/>
          <w:marRight w:val="0"/>
          <w:marTop w:val="228"/>
          <w:marBottom w:val="0"/>
          <w:divBdr>
            <w:top w:val="none" w:sz="0" w:space="0" w:color="auto"/>
            <w:left w:val="none" w:sz="0" w:space="0" w:color="auto"/>
            <w:bottom w:val="none" w:sz="0" w:space="0" w:color="auto"/>
            <w:right w:val="none" w:sz="0" w:space="0" w:color="auto"/>
          </w:divBdr>
        </w:div>
        <w:div w:id="1471560481">
          <w:marLeft w:val="1987"/>
          <w:marRight w:val="0"/>
          <w:marTop w:val="228"/>
          <w:marBottom w:val="0"/>
          <w:divBdr>
            <w:top w:val="none" w:sz="0" w:space="0" w:color="auto"/>
            <w:left w:val="none" w:sz="0" w:space="0" w:color="auto"/>
            <w:bottom w:val="none" w:sz="0" w:space="0" w:color="auto"/>
            <w:right w:val="none" w:sz="0" w:space="0" w:color="auto"/>
          </w:divBdr>
        </w:div>
        <w:div w:id="1779831768">
          <w:marLeft w:val="1987"/>
          <w:marRight w:val="0"/>
          <w:marTop w:val="228"/>
          <w:marBottom w:val="0"/>
          <w:divBdr>
            <w:top w:val="none" w:sz="0" w:space="0" w:color="auto"/>
            <w:left w:val="none" w:sz="0" w:space="0" w:color="auto"/>
            <w:bottom w:val="none" w:sz="0" w:space="0" w:color="auto"/>
            <w:right w:val="none" w:sz="0" w:space="0" w:color="auto"/>
          </w:divBdr>
        </w:div>
        <w:div w:id="2120250191">
          <w:marLeft w:val="1987"/>
          <w:marRight w:val="0"/>
          <w:marTop w:val="22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ortal.gov.cz/app/zakony/zakonPar.jsp?idBiblio=49962&amp;fulltext=&amp;nr=458~2F2000&amp;part=&amp;name=&amp;rpp=15" TargetMode="External"/><Relationship Id="rId21" Type="http://schemas.openxmlformats.org/officeDocument/2006/relationships/header" Target="header7.xml"/><Relationship Id="rId42" Type="http://schemas.openxmlformats.org/officeDocument/2006/relationships/header" Target="header17.xml"/><Relationship Id="rId63" Type="http://schemas.openxmlformats.org/officeDocument/2006/relationships/hyperlink" Target="http://www.mfcr.cz/cs/legislativa/metodiky/2014/metodika-financnich-toku-a-kontroly-prog-17121" TargetMode="External"/><Relationship Id="rId84" Type="http://schemas.openxmlformats.org/officeDocument/2006/relationships/hyperlink" Target="http://www.mpo.cz/dokument83642.html" TargetMode="External"/><Relationship Id="rId138" Type="http://schemas.openxmlformats.org/officeDocument/2006/relationships/hyperlink" Target="http://www.komora.cz/" TargetMode="External"/><Relationship Id="rId159" Type="http://schemas.openxmlformats.org/officeDocument/2006/relationships/hyperlink" Target="http://tacr.cz/" TargetMode="External"/><Relationship Id="rId170" Type="http://schemas.openxmlformats.org/officeDocument/2006/relationships/hyperlink" Target="http://www.asociacenno.cz/" TargetMode="External"/><Relationship Id="rId191" Type="http://schemas.openxmlformats.org/officeDocument/2006/relationships/hyperlink" Target="http://nsmascr.cz/o-nas/mistni-akncni-skupiny/" TargetMode="External"/><Relationship Id="rId205" Type="http://schemas.openxmlformats.org/officeDocument/2006/relationships/hyperlink" Target="http://www.asvep.cz/" TargetMode="External"/><Relationship Id="rId226" Type="http://schemas.openxmlformats.org/officeDocument/2006/relationships/hyperlink" Target="http://www.cvca.cz" TargetMode="External"/><Relationship Id="rId247" Type="http://schemas.openxmlformats.org/officeDocument/2006/relationships/theme" Target="theme/theme1.xml"/><Relationship Id="rId107" Type="http://schemas.openxmlformats.org/officeDocument/2006/relationships/hyperlink" Target="http://portal.gov.cz/app/zakony/zakonPar.jsp?idBiblio=49857&amp;fulltext=&amp;nr=406~2F2000&amp;part=&amp;name=&amp;rpp=15" TargetMode="External"/><Relationship Id="rId11" Type="http://schemas.openxmlformats.org/officeDocument/2006/relationships/header" Target="header2.xml"/><Relationship Id="rId32" Type="http://schemas.openxmlformats.org/officeDocument/2006/relationships/footer" Target="footer12.xml"/><Relationship Id="rId53" Type="http://schemas.openxmlformats.org/officeDocument/2006/relationships/hyperlink" Target="http://www.vlada.cz/cz/ppov/vvzpo/dokumenty/zprava-o-plneni-opatreni-narodniho-planu-vytvareni-rovnych-prilezitosti-pro-osoby-se-zdravotnim-postizenim-na-obdobi-2010-2014-v-roce-2012-110987/" TargetMode="External"/><Relationship Id="rId74" Type="http://schemas.openxmlformats.org/officeDocument/2006/relationships/hyperlink" Target="http://portal.cenia.cz/eiasea/view/SEA100_koncepce" TargetMode="External"/><Relationship Id="rId128" Type="http://schemas.openxmlformats.org/officeDocument/2006/relationships/header" Target="header20.xml"/><Relationship Id="rId149" Type="http://schemas.openxmlformats.org/officeDocument/2006/relationships/hyperlink" Target="http://www.kzps.cz/" TargetMode="External"/><Relationship Id="rId5" Type="http://schemas.openxmlformats.org/officeDocument/2006/relationships/settings" Target="settings.xml"/><Relationship Id="rId95" Type="http://schemas.openxmlformats.org/officeDocument/2006/relationships/hyperlink" Target="http://www.mpo.cz/assets/cz/e-komunikace-a-posta/Internet/2013/4/Digi_esko_v.2.0.pdf" TargetMode="External"/><Relationship Id="rId160" Type="http://schemas.openxmlformats.org/officeDocument/2006/relationships/hyperlink" Target="http://www.tc.cz/cs/" TargetMode="External"/><Relationship Id="rId181" Type="http://schemas.openxmlformats.org/officeDocument/2006/relationships/hyperlink" Target="http://tacr.cz/" TargetMode="External"/><Relationship Id="rId216" Type="http://schemas.openxmlformats.org/officeDocument/2006/relationships/hyperlink" Target="http://www.amsp.cz/" TargetMode="External"/><Relationship Id="rId237" Type="http://schemas.openxmlformats.org/officeDocument/2006/relationships/chart" Target="charts/chart2.xml"/><Relationship Id="rId22" Type="http://schemas.openxmlformats.org/officeDocument/2006/relationships/footer" Target="footer7.xml"/><Relationship Id="rId43" Type="http://schemas.openxmlformats.org/officeDocument/2006/relationships/footer" Target="footer17.xml"/><Relationship Id="rId64" Type="http://schemas.openxmlformats.org/officeDocument/2006/relationships/hyperlink" Target="http://www.uohs.cz/cs/verejna-podpora/manualy-metodiky-a-dalsi-dokumenty.html" TargetMode="External"/><Relationship Id="rId118" Type="http://schemas.openxmlformats.org/officeDocument/2006/relationships/hyperlink" Target="http://portal.gov.cz/app/zakony/zakonPar.jsp?idBiblio=49962&amp;fulltext=&amp;nr=458~2F2000&amp;part=&amp;name=&amp;rpp=15" TargetMode="External"/><Relationship Id="rId139" Type="http://schemas.openxmlformats.org/officeDocument/2006/relationships/hyperlink" Target="http://www.pkcr.cz/" TargetMode="External"/><Relationship Id="rId85" Type="http://schemas.openxmlformats.org/officeDocument/2006/relationships/hyperlink" Target="http://www.mpo.cz/assets/cz/e-komunikace-a-posta/Internet/2013/4/Digi_esko_v.2.0.pdf" TargetMode="External"/><Relationship Id="rId150" Type="http://schemas.openxmlformats.org/officeDocument/2006/relationships/hyperlink" Target="http://www.amsp.cz/" TargetMode="External"/><Relationship Id="rId171" Type="http://schemas.openxmlformats.org/officeDocument/2006/relationships/hyperlink" Target="http://www.kzps.cz/" TargetMode="External"/><Relationship Id="rId192" Type="http://schemas.openxmlformats.org/officeDocument/2006/relationships/hyperlink" Target="http://fpvs.cz/" TargetMode="External"/><Relationship Id="rId206" Type="http://schemas.openxmlformats.org/officeDocument/2006/relationships/hyperlink" Target="http://nsmascr.cz/o-nas/mistni-akncni-skupiny/" TargetMode="External"/><Relationship Id="rId227" Type="http://schemas.openxmlformats.org/officeDocument/2006/relationships/hyperlink" Target="http://www.mmr.cz/cs/Uvodni-strana" TargetMode="External"/><Relationship Id="rId248" Type="http://schemas.openxmlformats.org/officeDocument/2006/relationships/customXml" Target="../customXml/item2.xml"/><Relationship Id="rId12" Type="http://schemas.openxmlformats.org/officeDocument/2006/relationships/footer" Target="footer2.xml"/><Relationship Id="rId33" Type="http://schemas.openxmlformats.org/officeDocument/2006/relationships/header" Target="header13.xml"/><Relationship Id="rId108" Type="http://schemas.openxmlformats.org/officeDocument/2006/relationships/hyperlink" Target="http://portal.gov.cz/app/zakony/zakonPar.jsp?idBiblio=49962&amp;fulltext=&amp;nr=458~2F2000&amp;part=&amp;name=&amp;rpp=15" TargetMode="External"/><Relationship Id="rId129" Type="http://schemas.openxmlformats.org/officeDocument/2006/relationships/footer" Target="footer20.xml"/><Relationship Id="rId54" Type="http://schemas.openxmlformats.org/officeDocument/2006/relationships/hyperlink" Target="http://www.vlada.cz/cz/ppov/vvzpo/dokumenty/narodni-plan-vytvareni-rovnych-prilezitosti-pro-osoby-se-zdravotnim-postizenim-na-obdobi-2010---2014-70026/" TargetMode="External"/><Relationship Id="rId75" Type="http://schemas.openxmlformats.org/officeDocument/2006/relationships/hyperlink" Target="http://www.mzp.cz/cz/posuzovani_vlivu_zivotni_prostredi" TargetMode="External"/><Relationship Id="rId96" Type="http://schemas.openxmlformats.org/officeDocument/2006/relationships/hyperlink" Target="http://www.mpo.cz/dokument83642.html" TargetMode="External"/><Relationship Id="rId140" Type="http://schemas.openxmlformats.org/officeDocument/2006/relationships/hyperlink" Target="http://tacr.cz/" TargetMode="External"/><Relationship Id="rId161" Type="http://schemas.openxmlformats.org/officeDocument/2006/relationships/hyperlink" Target="http://www.jic.cz/" TargetMode="External"/><Relationship Id="rId182" Type="http://schemas.openxmlformats.org/officeDocument/2006/relationships/hyperlink" Target="http://www.komora.cz/" TargetMode="External"/><Relationship Id="rId217" Type="http://schemas.openxmlformats.org/officeDocument/2006/relationships/hyperlink" Target="http://www.asociacenno.cz/" TargetMode="External"/><Relationship Id="rId6" Type="http://schemas.openxmlformats.org/officeDocument/2006/relationships/webSettings" Target="webSettings.xml"/><Relationship Id="rId238" Type="http://schemas.openxmlformats.org/officeDocument/2006/relationships/chart" Target="charts/chart3.xml"/><Relationship Id="rId23" Type="http://schemas.openxmlformats.org/officeDocument/2006/relationships/header" Target="header8.xml"/><Relationship Id="rId119" Type="http://schemas.openxmlformats.org/officeDocument/2006/relationships/hyperlink" Target="http://portal.gov.cz/app/zakony/zakonPar.jsp?idBiblio=49962&amp;fulltext=&amp;nr=458~2F2000&amp;part=&amp;name=&amp;rpp=15" TargetMode="External"/><Relationship Id="rId44" Type="http://schemas.openxmlformats.org/officeDocument/2006/relationships/hyperlink" Target="http://www.mpo.cz/cz/podpora-podnikani/oppik/" TargetMode="External"/><Relationship Id="rId65" Type="http://schemas.openxmlformats.org/officeDocument/2006/relationships/hyperlink" Target="http://eagri.cz/public/web/mze/farmar/registr-podpor-de-minimis/" TargetMode="External"/><Relationship Id="rId86" Type="http://schemas.openxmlformats.org/officeDocument/2006/relationships/hyperlink" Target="http://www.mpo.cz/dokument119071.html" TargetMode="External"/><Relationship Id="rId130" Type="http://schemas.openxmlformats.org/officeDocument/2006/relationships/hyperlink" Target="http://www.mmr.cz/cs/Uvodni-strana" TargetMode="External"/><Relationship Id="rId151" Type="http://schemas.openxmlformats.org/officeDocument/2006/relationships/hyperlink" Target="http://www.asociacekraju.cz/" TargetMode="External"/><Relationship Id="rId172" Type="http://schemas.openxmlformats.org/officeDocument/2006/relationships/hyperlink" Target="http://crc.muni.cz/" TargetMode="External"/><Relationship Id="rId193" Type="http://schemas.openxmlformats.org/officeDocument/2006/relationships/hyperlink" Target="http://www.praha.eu/jnp/cz/home/index.html" TargetMode="External"/><Relationship Id="rId207" Type="http://schemas.openxmlformats.org/officeDocument/2006/relationships/hyperlink" Target="http://www.kzps.cz/" TargetMode="External"/><Relationship Id="rId228" Type="http://schemas.openxmlformats.org/officeDocument/2006/relationships/hyperlink" Target="http://www.smocr.cz/" TargetMode="External"/><Relationship Id="rId249" Type="http://schemas.openxmlformats.org/officeDocument/2006/relationships/customXml" Target="../customXml/item3.xml"/><Relationship Id="rId13" Type="http://schemas.openxmlformats.org/officeDocument/2006/relationships/header" Target="header3.xml"/><Relationship Id="rId109" Type="http://schemas.openxmlformats.org/officeDocument/2006/relationships/hyperlink" Target="http://www.eru.cz/dias-browse_articles.php?parentId=91&amp;deep=off&amp;type=" TargetMode="External"/><Relationship Id="rId34" Type="http://schemas.openxmlformats.org/officeDocument/2006/relationships/footer" Target="footer13.xml"/><Relationship Id="rId55" Type="http://schemas.openxmlformats.org/officeDocument/2006/relationships/hyperlink" Target="http://www.portal-vz.cz/cs/Jak-na-zadavani-verejnych-zakazek/Legislativa-a-Judikatura/Legislativa/Narodni-legislativa-aktualni-a-uplne-zneni-z-(1)" TargetMode="External"/><Relationship Id="rId76" Type="http://schemas.openxmlformats.org/officeDocument/2006/relationships/hyperlink" Target="http://portal.cenia.cz/eiasea/view/eia100_cr" TargetMode="External"/><Relationship Id="rId97" Type="http://schemas.openxmlformats.org/officeDocument/2006/relationships/hyperlink" Target="http://www.mpo.cz/assets/cz/e-komunikace-a-posta/Internet/2013/4/Digi_esko_v.2.0.pdf" TargetMode="External"/><Relationship Id="rId120" Type="http://schemas.openxmlformats.org/officeDocument/2006/relationships/hyperlink" Target="http://portal.gov.cz/app/zakony/zakonPar.jsp?idBiblio=49962&amp;fulltext=&amp;nr=458~2F2000&amp;part=&amp;name=&amp;rpp=15" TargetMode="External"/><Relationship Id="rId141" Type="http://schemas.openxmlformats.org/officeDocument/2006/relationships/hyperlink" Target="http://www.cmzrb.cz/" TargetMode="External"/><Relationship Id="rId7" Type="http://schemas.openxmlformats.org/officeDocument/2006/relationships/footnotes" Target="footnotes.xml"/><Relationship Id="rId162" Type="http://schemas.openxmlformats.org/officeDocument/2006/relationships/hyperlink" Target="http://www.komora.cz/" TargetMode="External"/><Relationship Id="rId183" Type="http://schemas.openxmlformats.org/officeDocument/2006/relationships/hyperlink" Target="http://www.cmzrb.cz/" TargetMode="External"/><Relationship Id="rId218" Type="http://schemas.openxmlformats.org/officeDocument/2006/relationships/hyperlink" Target="http://nsmascr.cz/o-nas/mistni-akncni-skupiny/" TargetMode="External"/><Relationship Id="rId239" Type="http://schemas.openxmlformats.org/officeDocument/2006/relationships/chart" Target="charts/chart4.xml"/><Relationship Id="rId250" Type="http://schemas.openxmlformats.org/officeDocument/2006/relationships/customXml" Target="../customXml/item4.xml"/><Relationship Id="rId24" Type="http://schemas.openxmlformats.org/officeDocument/2006/relationships/footer" Target="footer8.xml"/><Relationship Id="rId45" Type="http://schemas.openxmlformats.org/officeDocument/2006/relationships/header" Target="header18.xml"/><Relationship Id="rId66" Type="http://schemas.openxmlformats.org/officeDocument/2006/relationships/hyperlink" Target="http://www.uohs.cz/cs/verejna-podpora/akuality-z-verejne-podpory.html" TargetMode="External"/><Relationship Id="rId87" Type="http://schemas.openxmlformats.org/officeDocument/2006/relationships/hyperlink" Target="http://www.mpo.cz/assets/cz/e-komunikace-a-posta/Internet/2013/4/Digi_esko_v.2.0.pdf" TargetMode="External"/><Relationship Id="rId110" Type="http://schemas.openxmlformats.org/officeDocument/2006/relationships/hyperlink" Target="http://portal.gov.cz/app/zakony/zakonPar.jsp?idBiblio=49857&amp;fulltext=&amp;nr=406~2F2000&amp;part=&amp;name=&amp;rpp=15" TargetMode="External"/><Relationship Id="rId131" Type="http://schemas.openxmlformats.org/officeDocument/2006/relationships/hyperlink" Target="http://www.mfcr.cz/cps/rde/xchg/" TargetMode="External"/><Relationship Id="rId152" Type="http://schemas.openxmlformats.org/officeDocument/2006/relationships/hyperlink" Target="http://www.asociacenno.cz/" TargetMode="External"/><Relationship Id="rId173" Type="http://schemas.openxmlformats.org/officeDocument/2006/relationships/hyperlink" Target="http://www.utb.cz/" TargetMode="External"/><Relationship Id="rId194" Type="http://schemas.openxmlformats.org/officeDocument/2006/relationships/hyperlink" Target="http://www.komora.cz/" TargetMode="External"/><Relationship Id="rId208" Type="http://schemas.openxmlformats.org/officeDocument/2006/relationships/hyperlink" Target="http://www.tscr.cz/" TargetMode="External"/><Relationship Id="rId229" Type="http://schemas.openxmlformats.org/officeDocument/2006/relationships/hyperlink" Target="https://www.czech-ba.cz/" TargetMode="External"/><Relationship Id="rId240" Type="http://schemas.openxmlformats.org/officeDocument/2006/relationships/image" Target="media/image7.png"/><Relationship Id="rId14" Type="http://schemas.openxmlformats.org/officeDocument/2006/relationships/footer" Target="footer3.xml"/><Relationship Id="rId35" Type="http://schemas.openxmlformats.org/officeDocument/2006/relationships/header" Target="header14.xml"/><Relationship Id="rId56" Type="http://schemas.openxmlformats.org/officeDocument/2006/relationships/hyperlink" Target="http://www.portal-vz.cz/cs/Jak-na-zadavani-verejnych-zakazek/Metodiky-stanoviska" TargetMode="External"/><Relationship Id="rId77" Type="http://schemas.openxmlformats.org/officeDocument/2006/relationships/hyperlink" Target="http://portal.cenia.cz/eiasea/view/SEA100_koncepce" TargetMode="External"/><Relationship Id="rId100" Type="http://schemas.openxmlformats.org/officeDocument/2006/relationships/hyperlink" Target="http://www.sbirka.cz/POSL4TYD/NOVE/13-304.htm" TargetMode="External"/><Relationship Id="rId8" Type="http://schemas.openxmlformats.org/officeDocument/2006/relationships/endnotes" Target="endnotes.xml"/><Relationship Id="rId98" Type="http://schemas.openxmlformats.org/officeDocument/2006/relationships/hyperlink" Target="http://www.vlada.cz/assets/media-centrum/aktualne/Strategie-mezinarodni-konkurenceschopnosti-Ceske-republiky.pdf" TargetMode="External"/><Relationship Id="rId121" Type="http://schemas.openxmlformats.org/officeDocument/2006/relationships/hyperlink" Target="http://www.vlada.cz/assets/media-centrum/aktualne/Strategie-mezinarodni-konkurenceschopnosti-Ceske-republiky.pdf" TargetMode="External"/><Relationship Id="rId142" Type="http://schemas.openxmlformats.org/officeDocument/2006/relationships/hyperlink" Target="http://www.vyzkum.cz/FrontClanek.aspx?idsekce=496" TargetMode="External"/><Relationship Id="rId163" Type="http://schemas.openxmlformats.org/officeDocument/2006/relationships/hyperlink" Target="http://www.pkcr.cz/" TargetMode="External"/><Relationship Id="rId184" Type="http://schemas.openxmlformats.org/officeDocument/2006/relationships/hyperlink" Target="http://www.spcr.cz/" TargetMode="External"/><Relationship Id="rId219" Type="http://schemas.openxmlformats.org/officeDocument/2006/relationships/hyperlink" Target="http://www.ctu.cz/" TargetMode="External"/><Relationship Id="rId230" Type="http://schemas.openxmlformats.org/officeDocument/2006/relationships/hyperlink" Target="http://cmzrb.cz" TargetMode="External"/><Relationship Id="rId25" Type="http://schemas.openxmlformats.org/officeDocument/2006/relationships/header" Target="header9.xml"/><Relationship Id="rId46" Type="http://schemas.openxmlformats.org/officeDocument/2006/relationships/footer" Target="footer18.xml"/><Relationship Id="rId67" Type="http://schemas.openxmlformats.org/officeDocument/2006/relationships/hyperlink" Target="http://www.vzdelavaninsrr.cz/" TargetMode="External"/><Relationship Id="rId88" Type="http://schemas.openxmlformats.org/officeDocument/2006/relationships/hyperlink" Target="http://www.mpo.cz/assets/cz/e-komunikace-a-posta/Internet/2013/4/Digi_esko_v.2.0.pdf" TargetMode="External"/><Relationship Id="rId111" Type="http://schemas.openxmlformats.org/officeDocument/2006/relationships/hyperlink" Target="http://portal.gov.cz/app/zakony/zakonPar.jsp?idBiblio=49962&amp;fulltext=&amp;nr=458~2F2000&amp;part=&amp;name=&amp;rpp=15" TargetMode="External"/><Relationship Id="rId132" Type="http://schemas.openxmlformats.org/officeDocument/2006/relationships/hyperlink" Target="http://mzp.cz/" TargetMode="External"/><Relationship Id="rId153" Type="http://schemas.openxmlformats.org/officeDocument/2006/relationships/hyperlink" Target="http://nsmascr.cz/o-nas/mistni-akncni-skupiny/" TargetMode="External"/><Relationship Id="rId174" Type="http://schemas.openxmlformats.org/officeDocument/2006/relationships/hyperlink" Target="http://nsmascr.cz/o-nas/mistni-akncni-skupiny/" TargetMode="External"/><Relationship Id="rId195" Type="http://schemas.openxmlformats.org/officeDocument/2006/relationships/hyperlink" Target="http://www.pkcr.cz/" TargetMode="External"/><Relationship Id="rId209" Type="http://schemas.openxmlformats.org/officeDocument/2006/relationships/hyperlink" Target="http://www.csres.cz/" TargetMode="External"/><Relationship Id="rId220" Type="http://schemas.openxmlformats.org/officeDocument/2006/relationships/hyperlink" Target="http://www.vse.cz/" TargetMode="External"/><Relationship Id="rId241" Type="http://schemas.openxmlformats.org/officeDocument/2006/relationships/chart" Target="charts/chart5.xml"/><Relationship Id="rId15" Type="http://schemas.openxmlformats.org/officeDocument/2006/relationships/header" Target="header4.xml"/><Relationship Id="rId36" Type="http://schemas.openxmlformats.org/officeDocument/2006/relationships/footer" Target="footer14.xml"/><Relationship Id="rId57" Type="http://schemas.openxmlformats.org/officeDocument/2006/relationships/hyperlink" Target="http://www.strukturalni-fondy.cz/cs/Fondy-EU/Narodni-organ-pro-koordinaci/Dokumenty" TargetMode="External"/><Relationship Id="rId78" Type="http://schemas.openxmlformats.org/officeDocument/2006/relationships/hyperlink" Target="http://portal.cenia.cz/eiasea/osoby/osoby" TargetMode="External"/><Relationship Id="rId99" Type="http://schemas.openxmlformats.org/officeDocument/2006/relationships/hyperlink" Target="http://www.vlada.cz/assets/evropske-zalezitosti/aktualne/NPR-2014.pdf" TargetMode="External"/><Relationship Id="rId101" Type="http://schemas.openxmlformats.org/officeDocument/2006/relationships/hyperlink" Target="http://www.vlada.cz/assets/ppov/lrv/ria/metodiky/Uplne-zneni-Obecnych-zasad-_ucinnost-od-1-2--2014_.pdf" TargetMode="External"/><Relationship Id="rId122" Type="http://schemas.openxmlformats.org/officeDocument/2006/relationships/hyperlink" Target="http://www.mpo.cz/dokument119071.html" TargetMode="External"/><Relationship Id="rId143" Type="http://schemas.openxmlformats.org/officeDocument/2006/relationships/hyperlink" Target="http://www.spcr.cz/" TargetMode="External"/><Relationship Id="rId164" Type="http://schemas.openxmlformats.org/officeDocument/2006/relationships/hyperlink" Target="http://www.spcr.cz/" TargetMode="External"/><Relationship Id="rId185" Type="http://schemas.openxmlformats.org/officeDocument/2006/relationships/hyperlink" Target="http://www.socr.cz/"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www.jic.cz/" TargetMode="External"/><Relationship Id="rId210" Type="http://schemas.openxmlformats.org/officeDocument/2006/relationships/hyperlink" Target="http://www.sanceprobudovy.cz/cs.html?start=20" TargetMode="External"/><Relationship Id="rId215" Type="http://schemas.openxmlformats.org/officeDocument/2006/relationships/hyperlink" Target="http://www.socr.cz/" TargetMode="External"/><Relationship Id="rId236" Type="http://schemas.openxmlformats.org/officeDocument/2006/relationships/image" Target="media/image6.png"/><Relationship Id="rId26" Type="http://schemas.openxmlformats.org/officeDocument/2006/relationships/footer" Target="footer9.xml"/><Relationship Id="rId231" Type="http://schemas.openxmlformats.org/officeDocument/2006/relationships/header" Target="header21.xml"/><Relationship Id="rId47" Type="http://schemas.openxmlformats.org/officeDocument/2006/relationships/header" Target="header19.xml"/><Relationship Id="rId68" Type="http://schemas.openxmlformats.org/officeDocument/2006/relationships/hyperlink" Target="http://www.strukturalni-fondy.cz" TargetMode="External"/><Relationship Id="rId89" Type="http://schemas.openxmlformats.org/officeDocument/2006/relationships/hyperlink" Target="http://www.mpo.cz/dokument119071.html" TargetMode="External"/><Relationship Id="rId112" Type="http://schemas.openxmlformats.org/officeDocument/2006/relationships/hyperlink" Target="http://www.eru.cz/dias-browse_articles.php?parentId=91&amp;deep=off&amp;type=" TargetMode="External"/><Relationship Id="rId133" Type="http://schemas.openxmlformats.org/officeDocument/2006/relationships/hyperlink" Target="http://www.mpsv.cz/cs/" TargetMode="External"/><Relationship Id="rId154" Type="http://schemas.openxmlformats.org/officeDocument/2006/relationships/hyperlink" Target="http://www.czso.cz/" TargetMode="External"/><Relationship Id="rId175" Type="http://schemas.openxmlformats.org/officeDocument/2006/relationships/hyperlink" Target="http://www.praha.eu/jnp/cz/home/index.html" TargetMode="External"/><Relationship Id="rId196" Type="http://schemas.openxmlformats.org/officeDocument/2006/relationships/hyperlink" Target="http://www.agrocr.cz/" TargetMode="External"/><Relationship Id="rId200" Type="http://schemas.openxmlformats.org/officeDocument/2006/relationships/hyperlink" Target="http://www.amsp.cz/" TargetMode="External"/><Relationship Id="rId16" Type="http://schemas.openxmlformats.org/officeDocument/2006/relationships/footer" Target="footer4.xml"/><Relationship Id="rId221" Type="http://schemas.openxmlformats.org/officeDocument/2006/relationships/hyperlink" Target="http://www.praha.eu/jnp/cz/home/index.html" TargetMode="External"/><Relationship Id="rId242" Type="http://schemas.openxmlformats.org/officeDocument/2006/relationships/header" Target="header22.xml"/><Relationship Id="rId37" Type="http://schemas.openxmlformats.org/officeDocument/2006/relationships/header" Target="header15.xml"/><Relationship Id="rId58" Type="http://schemas.openxmlformats.org/officeDocument/2006/relationships/hyperlink" Target="http://www.portal-vz.cz/cs/Jak-na-zadavani-verejnych-zakazek/Legislativa-a-Judikatura/Legislativa/Narodni-legislativa-aktualni-a-uplne-zneni-z-(1)" TargetMode="External"/><Relationship Id="rId79" Type="http://schemas.openxmlformats.org/officeDocument/2006/relationships/hyperlink" Target="http://www.mpo.cz/dokument83642.html" TargetMode="External"/><Relationship Id="rId102" Type="http://schemas.openxmlformats.org/officeDocument/2006/relationships/hyperlink" Target="http://portal.gov.cz/app/zakony/zakonPar.jsp?idBiblio=49857&amp;fulltext=&amp;nr=406~2F2000&amp;part=&amp;name=&amp;rpp=15" TargetMode="External"/><Relationship Id="rId123" Type="http://schemas.openxmlformats.org/officeDocument/2006/relationships/hyperlink" Target="http://www.vlada.cz/assets/evropske-zalezitosti/aktualne/NPR-2014.pdf" TargetMode="External"/><Relationship Id="rId144" Type="http://schemas.openxmlformats.org/officeDocument/2006/relationships/hyperlink" Target="http://www.socr.cz/" TargetMode="External"/><Relationship Id="rId90" Type="http://schemas.openxmlformats.org/officeDocument/2006/relationships/hyperlink" Target="http://www.czso.cz/csu/redakce.nsf/i/informacni_ekonomika" TargetMode="External"/><Relationship Id="rId165" Type="http://schemas.openxmlformats.org/officeDocument/2006/relationships/hyperlink" Target="http://www.socr.cz/" TargetMode="External"/><Relationship Id="rId186" Type="http://schemas.openxmlformats.org/officeDocument/2006/relationships/hyperlink" Target="http://www.sps.cz/index.ASP" TargetMode="External"/><Relationship Id="rId211" Type="http://schemas.openxmlformats.org/officeDocument/2006/relationships/hyperlink" Target="http://www.praha.eu/jnp/cz/home/index.html" TargetMode="External"/><Relationship Id="rId232" Type="http://schemas.openxmlformats.org/officeDocument/2006/relationships/footer" Target="footer21.xml"/><Relationship Id="rId27" Type="http://schemas.openxmlformats.org/officeDocument/2006/relationships/header" Target="header10.xml"/><Relationship Id="rId48" Type="http://schemas.openxmlformats.org/officeDocument/2006/relationships/footer" Target="footer19.xml"/><Relationship Id="rId69" Type="http://schemas.openxmlformats.org/officeDocument/2006/relationships/hyperlink" Target="http://portal.cenia.cz/eiasea/static/sea_legislativa" TargetMode="External"/><Relationship Id="rId113" Type="http://schemas.openxmlformats.org/officeDocument/2006/relationships/hyperlink" Target="http://portal.gov.cz/app/zakony/zakonPar.jsp?idBiblio=77573&amp;fulltext=&amp;nr=165~2F2012&amp;part=&amp;name=&amp;rpp=15" TargetMode="External"/><Relationship Id="rId134" Type="http://schemas.openxmlformats.org/officeDocument/2006/relationships/hyperlink" Target="http://www.msmt.cz/" TargetMode="External"/><Relationship Id="rId80" Type="http://schemas.openxmlformats.org/officeDocument/2006/relationships/hyperlink" Target="http://www.mpo.cz/assets/cz/e-komunikace-a-posta/Internet/2013/4/Digi_esko_v.2.0.pdf" TargetMode="External"/><Relationship Id="rId155" Type="http://schemas.openxmlformats.org/officeDocument/2006/relationships/hyperlink" Target="http://www.praha.eu/jnp/cz/home/index.html" TargetMode="External"/><Relationship Id="rId176" Type="http://schemas.openxmlformats.org/officeDocument/2006/relationships/hyperlink" Target="http://www.msmt.cz/" TargetMode="External"/><Relationship Id="rId197" Type="http://schemas.openxmlformats.org/officeDocument/2006/relationships/hyperlink" Target="http://www.spcr.cz/" TargetMode="External"/><Relationship Id="rId201" Type="http://schemas.openxmlformats.org/officeDocument/2006/relationships/hyperlink" Target="http://www.asociacenno.cz/" TargetMode="External"/><Relationship Id="rId222" Type="http://schemas.openxmlformats.org/officeDocument/2006/relationships/hyperlink" Target="http://www.vlada.cz/cz/ppov/ekonomicka-rada/narodni-ekonomicka-rada-vlady-51371/" TargetMode="External"/><Relationship Id="rId243" Type="http://schemas.openxmlformats.org/officeDocument/2006/relationships/footer" Target="footer22.xml"/><Relationship Id="rId17" Type="http://schemas.openxmlformats.org/officeDocument/2006/relationships/header" Target="header5.xml"/><Relationship Id="rId38" Type="http://schemas.openxmlformats.org/officeDocument/2006/relationships/footer" Target="footer15.xml"/><Relationship Id="rId59" Type="http://schemas.openxmlformats.org/officeDocument/2006/relationships/hyperlink" Target="http://www.portal-vz.cz/cs/Jak-na-zadavani-verejnych-zakazek/Metodiky-stanoviska/Metodicke-pokyny" TargetMode="External"/><Relationship Id="rId103" Type="http://schemas.openxmlformats.org/officeDocument/2006/relationships/hyperlink" Target="http://portal.gov.cz/app/zakony/zakonPar.jsp?idBiblio=78282&amp;fulltext=&amp;nr=318~2F2012&amp;part=&amp;name=&amp;rpp=15" TargetMode="External"/><Relationship Id="rId124" Type="http://schemas.openxmlformats.org/officeDocument/2006/relationships/hyperlink" Target="http://www.mpo.cz/dokument144140.html" TargetMode="External"/><Relationship Id="rId70" Type="http://schemas.openxmlformats.org/officeDocument/2006/relationships/hyperlink" Target="http://portal.cenia.cz/eiasea/static/eia_legislativa" TargetMode="External"/><Relationship Id="rId91" Type="http://schemas.openxmlformats.org/officeDocument/2006/relationships/hyperlink" Target="http://www.mpo.cz/dokument83642.html" TargetMode="External"/><Relationship Id="rId145" Type="http://schemas.openxmlformats.org/officeDocument/2006/relationships/hyperlink" Target="http://www.sps.cz/index.ASP" TargetMode="External"/><Relationship Id="rId166" Type="http://schemas.openxmlformats.org/officeDocument/2006/relationships/hyperlink" Target="http://www.smocr.cz/" TargetMode="External"/><Relationship Id="rId187" Type="http://schemas.openxmlformats.org/officeDocument/2006/relationships/hyperlink" Target="http://www.scmvd.cz/" TargetMode="External"/><Relationship Id="rId1" Type="http://schemas.openxmlformats.org/officeDocument/2006/relationships/customXml" Target="../customXml/item1.xml"/><Relationship Id="rId212" Type="http://schemas.openxmlformats.org/officeDocument/2006/relationships/hyperlink" Target="http://www.mdcr.cz/cs/default.htm" TargetMode="External"/><Relationship Id="rId233" Type="http://schemas.openxmlformats.org/officeDocument/2006/relationships/image" Target="media/image4.emf"/><Relationship Id="rId28" Type="http://schemas.openxmlformats.org/officeDocument/2006/relationships/footer" Target="footer10.xml"/><Relationship Id="rId49" Type="http://schemas.openxmlformats.org/officeDocument/2006/relationships/hyperlink" Target="http://www.ochrance.cz/en/discrimination/" TargetMode="External"/><Relationship Id="rId114" Type="http://schemas.openxmlformats.org/officeDocument/2006/relationships/hyperlink" Target="http://www.eru.cz/dias-browse_articles.php?parentId=384&amp;deep=off&amp;type=" TargetMode="External"/><Relationship Id="rId60" Type="http://schemas.openxmlformats.org/officeDocument/2006/relationships/hyperlink" Target="http://www.vestnikverejnychzakazek.cz/" TargetMode="External"/><Relationship Id="rId81" Type="http://schemas.openxmlformats.org/officeDocument/2006/relationships/hyperlink" Target="http://www.mpo.cz/dokument119071.html" TargetMode="External"/><Relationship Id="rId135" Type="http://schemas.openxmlformats.org/officeDocument/2006/relationships/hyperlink" Target="http://eagri.cz/public/web/mze/ministerstvo-zemedelstvi/" TargetMode="External"/><Relationship Id="rId156" Type="http://schemas.openxmlformats.org/officeDocument/2006/relationships/hyperlink" Target="http://www.msmt.cz/" TargetMode="External"/><Relationship Id="rId177" Type="http://schemas.openxmlformats.org/officeDocument/2006/relationships/hyperlink" Target="http://www.mkcr.cz/" TargetMode="External"/><Relationship Id="rId198" Type="http://schemas.openxmlformats.org/officeDocument/2006/relationships/hyperlink" Target="http://www.smocr.cz/" TargetMode="External"/><Relationship Id="rId202" Type="http://schemas.openxmlformats.org/officeDocument/2006/relationships/hyperlink" Target="http://adtt.cz/" TargetMode="External"/><Relationship Id="rId223" Type="http://schemas.openxmlformats.org/officeDocument/2006/relationships/hyperlink" Target="http://www.cmzrb.cz/" TargetMode="External"/><Relationship Id="rId244" Type="http://schemas.openxmlformats.org/officeDocument/2006/relationships/header" Target="header23.xml"/><Relationship Id="rId18" Type="http://schemas.openxmlformats.org/officeDocument/2006/relationships/footer" Target="footer5.xml"/><Relationship Id="rId39" Type="http://schemas.openxmlformats.org/officeDocument/2006/relationships/hyperlink" Target="http://eur-lex.europa.eu/LexUriServ/LexUriServ.do?uri=CONSLEG:2006R1828:20091013:EN:HTML" TargetMode="External"/><Relationship Id="rId50" Type="http://schemas.openxmlformats.org/officeDocument/2006/relationships/hyperlink" Target="http://www.ochrance.cz/en/discrimination/" TargetMode="External"/><Relationship Id="rId104" Type="http://schemas.openxmlformats.org/officeDocument/2006/relationships/hyperlink" Target="http://portal.gov.cz/app/zakony/zakonPar.jsp?idBiblio=49857&amp;fulltext=&amp;nr=406~2F2000&amp;part=&amp;name=&amp;rpp=15" TargetMode="External"/><Relationship Id="rId125" Type="http://schemas.openxmlformats.org/officeDocument/2006/relationships/hyperlink" Target="http://www.vlada.cz/assets/media-centrum/aktualne/Strategie-mezinarodni-konkurenceschopnosti-Ceske-republiky.pdf" TargetMode="External"/><Relationship Id="rId146" Type="http://schemas.openxmlformats.org/officeDocument/2006/relationships/hyperlink" Target="http://www.smocr.cz/" TargetMode="External"/><Relationship Id="rId167" Type="http://schemas.openxmlformats.org/officeDocument/2006/relationships/hyperlink" Target="http://www.avo.cz/" TargetMode="External"/><Relationship Id="rId188" Type="http://schemas.openxmlformats.org/officeDocument/2006/relationships/hyperlink" Target="http://www.amsp.cz/" TargetMode="External"/><Relationship Id="rId71" Type="http://schemas.openxmlformats.org/officeDocument/2006/relationships/hyperlink" Target="http://www.mzp.cz/cz/posuzovani_vlivu_zivotni_prostredi" TargetMode="External"/><Relationship Id="rId92" Type="http://schemas.openxmlformats.org/officeDocument/2006/relationships/hyperlink" Target="http://www.mpo.cz/assets/cz/e-komunikace-a-posta/Internet/2013/4/Digi_esko_v.2.0.pdf" TargetMode="External"/><Relationship Id="rId213" Type="http://schemas.openxmlformats.org/officeDocument/2006/relationships/hyperlink" Target="http://www.spcr.cz/" TargetMode="External"/><Relationship Id="rId234" Type="http://schemas.openxmlformats.org/officeDocument/2006/relationships/chart" Target="charts/chart1.xml"/><Relationship Id="rId2" Type="http://schemas.openxmlformats.org/officeDocument/2006/relationships/numbering" Target="numbering.xml"/><Relationship Id="rId29" Type="http://schemas.openxmlformats.org/officeDocument/2006/relationships/header" Target="header11.xml"/><Relationship Id="rId40" Type="http://schemas.openxmlformats.org/officeDocument/2006/relationships/header" Target="header16.xml"/><Relationship Id="rId115" Type="http://schemas.openxmlformats.org/officeDocument/2006/relationships/hyperlink" Target="http://databaze-strategie.cz/cz/mpo/strategie/narodni-akcni-plan-cr-pro-energii-z-obnovitelnych-zdroju-2010-2020" TargetMode="External"/><Relationship Id="rId136" Type="http://schemas.openxmlformats.org/officeDocument/2006/relationships/hyperlink" Target="http://www.mdcr.cz/cs/default.htm" TargetMode="External"/><Relationship Id="rId157" Type="http://schemas.openxmlformats.org/officeDocument/2006/relationships/hyperlink" Target="http://www.mkcr.cz/" TargetMode="External"/><Relationship Id="rId178" Type="http://schemas.openxmlformats.org/officeDocument/2006/relationships/hyperlink" Target="http://www.mpsv.cz/cs/" TargetMode="External"/><Relationship Id="rId61" Type="http://schemas.openxmlformats.org/officeDocument/2006/relationships/hyperlink" Target="http://www.portal-vz.cz/cs/Spoluprace-a-vymena-informaci/Info-forum/Otazky-a-odpovedi" TargetMode="External"/><Relationship Id="rId82" Type="http://schemas.openxmlformats.org/officeDocument/2006/relationships/hyperlink" Target="http://www.mpo.cz/assets/cz/e-komunikace-a-posta/Internet/2013/4/Digi_esko_v.2.0.pdf" TargetMode="External"/><Relationship Id="rId199" Type="http://schemas.openxmlformats.org/officeDocument/2006/relationships/hyperlink" Target="http://www.spds.cz/" TargetMode="External"/><Relationship Id="rId203" Type="http://schemas.openxmlformats.org/officeDocument/2006/relationships/hyperlink" Target="http://apes.cz/" TargetMode="External"/><Relationship Id="rId19" Type="http://schemas.openxmlformats.org/officeDocument/2006/relationships/header" Target="header6.xml"/><Relationship Id="rId224" Type="http://schemas.openxmlformats.org/officeDocument/2006/relationships/hyperlink" Target="http://www.smocr.cz/" TargetMode="External"/><Relationship Id="rId245" Type="http://schemas.openxmlformats.org/officeDocument/2006/relationships/footer" Target="footer23.xml"/><Relationship Id="rId30" Type="http://schemas.openxmlformats.org/officeDocument/2006/relationships/footer" Target="footer11.xml"/><Relationship Id="rId105" Type="http://schemas.openxmlformats.org/officeDocument/2006/relationships/hyperlink" Target="http://portal.gov.cz/app/zakony/zakonPar.jsp?idBiblio=78282&amp;fulltext=&amp;nr=318~2F2012&amp;part=&amp;name=&amp;rpp=15" TargetMode="External"/><Relationship Id="rId126" Type="http://schemas.openxmlformats.org/officeDocument/2006/relationships/hyperlink" Target="http://www.mpo.cz/dokument119071.html" TargetMode="External"/><Relationship Id="rId147" Type="http://schemas.openxmlformats.org/officeDocument/2006/relationships/hyperlink" Target="http://www.smscr.cz/" TargetMode="External"/><Relationship Id="rId168" Type="http://schemas.openxmlformats.org/officeDocument/2006/relationships/hyperlink" Target="http://www.aipcr.cz/" TargetMode="External"/><Relationship Id="rId51" Type="http://schemas.openxmlformats.org/officeDocument/2006/relationships/hyperlink" Target="http://www.mpsv.cz/cs/12152" TargetMode="External"/><Relationship Id="rId72" Type="http://schemas.openxmlformats.org/officeDocument/2006/relationships/hyperlink" Target="http://portal.cenia.cz/eiasea/view/eia100_cr" TargetMode="External"/><Relationship Id="rId93" Type="http://schemas.openxmlformats.org/officeDocument/2006/relationships/hyperlink" Target="http://www.mpo.cz/dokument119071.html" TargetMode="External"/><Relationship Id="rId189" Type="http://schemas.openxmlformats.org/officeDocument/2006/relationships/hyperlink" Target="http://www.aipcr.cz/" TargetMode="External"/><Relationship Id="rId3" Type="http://schemas.openxmlformats.org/officeDocument/2006/relationships/styles" Target="styles.xml"/><Relationship Id="rId214" Type="http://schemas.openxmlformats.org/officeDocument/2006/relationships/hyperlink" Target="http://www.smocr.cz/" TargetMode="External"/><Relationship Id="rId235" Type="http://schemas.openxmlformats.org/officeDocument/2006/relationships/image" Target="media/image5.png"/><Relationship Id="rId116" Type="http://schemas.openxmlformats.org/officeDocument/2006/relationships/hyperlink" Target="http://portal.gov.cz/app/zakony/zakonPar.jsp?idBiblio=49962&amp;fulltext=&amp;nr=458~2F2000&amp;part=&amp;name=&amp;rpp=15" TargetMode="External"/><Relationship Id="rId137" Type="http://schemas.openxmlformats.org/officeDocument/2006/relationships/hyperlink" Target="http://czechinvest.org/" TargetMode="External"/><Relationship Id="rId158" Type="http://schemas.openxmlformats.org/officeDocument/2006/relationships/hyperlink" Target="http://www.mdcr.cz/cs/default.htm" TargetMode="External"/><Relationship Id="rId20" Type="http://schemas.openxmlformats.org/officeDocument/2006/relationships/footer" Target="footer6.xml"/><Relationship Id="rId41" Type="http://schemas.openxmlformats.org/officeDocument/2006/relationships/footer" Target="footer16.xml"/><Relationship Id="rId62" Type="http://schemas.openxmlformats.org/officeDocument/2006/relationships/hyperlink" Target="http://www.uohs.cz/cs/legislativa/verejna-podpora.html" TargetMode="External"/><Relationship Id="rId83" Type="http://schemas.openxmlformats.org/officeDocument/2006/relationships/hyperlink" Target="http://www.mpo.cz/dokument119071.html" TargetMode="External"/><Relationship Id="rId179" Type="http://schemas.openxmlformats.org/officeDocument/2006/relationships/hyperlink" Target="http://www.mdcr.cz/cs/default.htm" TargetMode="External"/><Relationship Id="rId190" Type="http://schemas.openxmlformats.org/officeDocument/2006/relationships/hyperlink" Target="http://www.asociacenno.cz/" TargetMode="External"/><Relationship Id="rId204" Type="http://schemas.openxmlformats.org/officeDocument/2006/relationships/hyperlink" Target="http://www.oze.cz/" TargetMode="External"/><Relationship Id="rId225" Type="http://schemas.openxmlformats.org/officeDocument/2006/relationships/hyperlink" Target="https://www.czech-ba.cz/" TargetMode="External"/><Relationship Id="rId246" Type="http://schemas.openxmlformats.org/officeDocument/2006/relationships/fontTable" Target="fontTable.xml"/><Relationship Id="rId106" Type="http://schemas.openxmlformats.org/officeDocument/2006/relationships/hyperlink" Target="http://ec.europa.eu/energy/efficiency/eed/reporting_en.htm" TargetMode="External"/><Relationship Id="rId127" Type="http://schemas.openxmlformats.org/officeDocument/2006/relationships/hyperlink" Target="http://www.vlada.cz/assets/evropske-zalezitosti/aktualne/NPR-2014.pdf" TargetMode="External"/><Relationship Id="rId10" Type="http://schemas.openxmlformats.org/officeDocument/2006/relationships/footer" Target="footer1.xml"/><Relationship Id="rId31" Type="http://schemas.openxmlformats.org/officeDocument/2006/relationships/header" Target="header12.xml"/><Relationship Id="rId52" Type="http://schemas.openxmlformats.org/officeDocument/2006/relationships/hyperlink" Target="http://www.vlada.cz/cz/ppov/vvzpo/dokumenty/narodni-plan-vytvareni-rovnych-prilezitosti-pro-osoby-se-zdravotnim-postizenim-na-obdobi-2010---2014-70026/" TargetMode="External"/><Relationship Id="rId73" Type="http://schemas.openxmlformats.org/officeDocument/2006/relationships/hyperlink" Target="http://portal.cenia.cz/eiasea/view/eia100_cr" TargetMode="External"/><Relationship Id="rId94" Type="http://schemas.openxmlformats.org/officeDocument/2006/relationships/hyperlink" Target="http://www.mpo.cz/assets/cz/e-komunikace-a-posta/Internet/2013/4/Digi_esko_v.2.0.pdf" TargetMode="External"/><Relationship Id="rId148" Type="http://schemas.openxmlformats.org/officeDocument/2006/relationships/hyperlink" Target="http://www.cmkos.cz/" TargetMode="External"/><Relationship Id="rId169" Type="http://schemas.openxmlformats.org/officeDocument/2006/relationships/hyperlink" Target="http://www.amsp.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3.png"/></Relationships>
</file>

<file path=word/_rels/footer18.xml.rels><?xml version="1.0" encoding="UTF-8" standalone="yes"?>
<Relationships xmlns="http://schemas.openxmlformats.org/package/2006/relationships"><Relationship Id="rId1" Type="http://schemas.openxmlformats.org/officeDocument/2006/relationships/image" Target="media/image3.png"/></Relationships>
</file>

<file path=word/_rels/footer19.xml.rels><?xml version="1.0" encoding="UTF-8" standalone="yes"?>
<Relationships xmlns="http://schemas.openxmlformats.org/package/2006/relationships"><Relationship Id="rId1" Type="http://schemas.openxmlformats.org/officeDocument/2006/relationships/image" Target="media/image3.png"/></Relationships>
</file>

<file path=word/_rels/footer20.xml.rels><?xml version="1.0" encoding="UTF-8" standalone="yes"?>
<Relationships xmlns="http://schemas.openxmlformats.org/package/2006/relationships"><Relationship Id="rId1" Type="http://schemas.openxmlformats.org/officeDocument/2006/relationships/image" Target="media/image3.png"/></Relationships>
</file>

<file path=word/_rels/footer21.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5.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pvhome\home$\ptacnik\Dokumenty\OPPIK%202014+\MPO\p&#345;&#237;prava%20OPPIK\Programov&#253;%20dokument%20OP%20PIK\analytick&#233;%20podklady%20OPPIK\energetick&#225;%20n&#225;ro&#269;nost%20-%20graf.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ptacnik\AppData\Local\Microsoft\Windows\Temporary%20Internet%20Files\Content.Outlook\UGP2BF1L\souhrnna_zprava_kvalita_cez_2013-v1.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ptacnik\AppData\Local\Microsoft\Windows\Temporary%20Internet%20Files\Content.Outlook\UGP2BF1L\souhrnna_zprava_kvalita_cez_2013-v1.xls"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pvhome\home$\ptacnik\Dokumenty\OPPIK%202014+\MPO\p&#345;&#237;prava%20OPPIK\Programov&#253;%20dokument%20OP%20PIK\analytick&#233;%20podklady%20OPPIK\KVET%20-%20graf.xls" TargetMode="External"/><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List1!$B$1</c:f>
              <c:strCache>
                <c:ptCount val="1"/>
                <c:pt idx="0">
                  <c:v>podnikatelský</c:v>
                </c:pt>
              </c:strCache>
            </c:strRef>
          </c:tx>
          <c:invertIfNegative val="0"/>
          <c:cat>
            <c:strRef>
              <c:f>List1!$A$2:$A$15</c:f>
              <c:strCache>
                <c:ptCount val="14"/>
                <c:pt idx="0">
                  <c:v>Praha </c:v>
                </c:pt>
                <c:pt idx="1">
                  <c:v>Středočeský </c:v>
                </c:pt>
                <c:pt idx="2">
                  <c:v>Jihočeský </c:v>
                </c:pt>
                <c:pt idx="3">
                  <c:v>Plzeňský</c:v>
                </c:pt>
                <c:pt idx="4">
                  <c:v>Karlovarský </c:v>
                </c:pt>
                <c:pt idx="5">
                  <c:v>Ústecký</c:v>
                </c:pt>
                <c:pt idx="6">
                  <c:v>Liberecký</c:v>
                </c:pt>
                <c:pt idx="7">
                  <c:v>Královéhradecký</c:v>
                </c:pt>
                <c:pt idx="8">
                  <c:v>Pardubický</c:v>
                </c:pt>
                <c:pt idx="9">
                  <c:v>Vysočina</c:v>
                </c:pt>
                <c:pt idx="10">
                  <c:v>Jihomoravský</c:v>
                </c:pt>
                <c:pt idx="11">
                  <c:v>Olomoucký</c:v>
                </c:pt>
                <c:pt idx="12">
                  <c:v>Zlínský </c:v>
                </c:pt>
                <c:pt idx="13">
                  <c:v>Moravskoslezský</c:v>
                </c:pt>
              </c:strCache>
            </c:strRef>
          </c:cat>
          <c:val>
            <c:numRef>
              <c:f>List1!$B$2:$B$15</c:f>
              <c:numCache>
                <c:formatCode>#,##0</c:formatCode>
                <c:ptCount val="14"/>
                <c:pt idx="0">
                  <c:v>10090</c:v>
                </c:pt>
                <c:pt idx="1">
                  <c:v>5079</c:v>
                </c:pt>
                <c:pt idx="2">
                  <c:v>1375</c:v>
                </c:pt>
                <c:pt idx="3">
                  <c:v>2768</c:v>
                </c:pt>
                <c:pt idx="4">
                  <c:v>202</c:v>
                </c:pt>
                <c:pt idx="5">
                  <c:v>929</c:v>
                </c:pt>
                <c:pt idx="6">
                  <c:v>2120</c:v>
                </c:pt>
                <c:pt idx="7">
                  <c:v>1221</c:v>
                </c:pt>
                <c:pt idx="8">
                  <c:v>2198</c:v>
                </c:pt>
                <c:pt idx="9">
                  <c:v>904</c:v>
                </c:pt>
                <c:pt idx="10">
                  <c:v>6193</c:v>
                </c:pt>
                <c:pt idx="11">
                  <c:v>1221</c:v>
                </c:pt>
                <c:pt idx="12">
                  <c:v>1901</c:v>
                </c:pt>
                <c:pt idx="13">
                  <c:v>2589</c:v>
                </c:pt>
              </c:numCache>
            </c:numRef>
          </c:val>
        </c:ser>
        <c:ser>
          <c:idx val="1"/>
          <c:order val="1"/>
          <c:tx>
            <c:strRef>
              <c:f>List1!$C$1</c:f>
              <c:strCache>
                <c:ptCount val="1"/>
                <c:pt idx="0">
                  <c:v>vládní</c:v>
                </c:pt>
              </c:strCache>
            </c:strRef>
          </c:tx>
          <c:invertIfNegative val="0"/>
          <c:cat>
            <c:strRef>
              <c:f>List1!$A$2:$A$15</c:f>
              <c:strCache>
                <c:ptCount val="14"/>
                <c:pt idx="0">
                  <c:v>Praha </c:v>
                </c:pt>
                <c:pt idx="1">
                  <c:v>Středočeský </c:v>
                </c:pt>
                <c:pt idx="2">
                  <c:v>Jihočeský </c:v>
                </c:pt>
                <c:pt idx="3">
                  <c:v>Plzeňský</c:v>
                </c:pt>
                <c:pt idx="4">
                  <c:v>Karlovarský </c:v>
                </c:pt>
                <c:pt idx="5">
                  <c:v>Ústecký</c:v>
                </c:pt>
                <c:pt idx="6">
                  <c:v>Liberecký</c:v>
                </c:pt>
                <c:pt idx="7">
                  <c:v>Královéhradecký</c:v>
                </c:pt>
                <c:pt idx="8">
                  <c:v>Pardubický</c:v>
                </c:pt>
                <c:pt idx="9">
                  <c:v>Vysočina</c:v>
                </c:pt>
                <c:pt idx="10">
                  <c:v>Jihomoravský</c:v>
                </c:pt>
                <c:pt idx="11">
                  <c:v>Olomoucký</c:v>
                </c:pt>
                <c:pt idx="12">
                  <c:v>Zlínský </c:v>
                </c:pt>
                <c:pt idx="13">
                  <c:v>Moravskoslezský</c:v>
                </c:pt>
              </c:strCache>
            </c:strRef>
          </c:cat>
          <c:val>
            <c:numRef>
              <c:f>List1!$C$2:$C$15</c:f>
              <c:numCache>
                <c:formatCode>General</c:formatCode>
                <c:ptCount val="14"/>
                <c:pt idx="0">
                  <c:v>9690</c:v>
                </c:pt>
                <c:pt idx="1">
                  <c:v>968</c:v>
                </c:pt>
                <c:pt idx="2">
                  <c:v>479</c:v>
                </c:pt>
                <c:pt idx="3">
                  <c:v>60</c:v>
                </c:pt>
                <c:pt idx="4">
                  <c:v>2</c:v>
                </c:pt>
                <c:pt idx="5">
                  <c:v>11</c:v>
                </c:pt>
                <c:pt idx="6">
                  <c:v>152</c:v>
                </c:pt>
                <c:pt idx="7">
                  <c:v>23</c:v>
                </c:pt>
                <c:pt idx="8">
                  <c:v>51</c:v>
                </c:pt>
                <c:pt idx="9">
                  <c:v>24</c:v>
                </c:pt>
                <c:pt idx="10">
                  <c:v>1723</c:v>
                </c:pt>
                <c:pt idx="11">
                  <c:v>9</c:v>
                </c:pt>
                <c:pt idx="12">
                  <c:v>2</c:v>
                </c:pt>
                <c:pt idx="13">
                  <c:v>128</c:v>
                </c:pt>
              </c:numCache>
            </c:numRef>
          </c:val>
        </c:ser>
        <c:ser>
          <c:idx val="2"/>
          <c:order val="2"/>
          <c:tx>
            <c:strRef>
              <c:f>List1!$D$1</c:f>
              <c:strCache>
                <c:ptCount val="1"/>
                <c:pt idx="0">
                  <c:v>vysokoškolský</c:v>
                </c:pt>
              </c:strCache>
            </c:strRef>
          </c:tx>
          <c:invertIfNegative val="0"/>
          <c:cat>
            <c:strRef>
              <c:f>List1!$A$2:$A$15</c:f>
              <c:strCache>
                <c:ptCount val="14"/>
                <c:pt idx="0">
                  <c:v>Praha </c:v>
                </c:pt>
                <c:pt idx="1">
                  <c:v>Středočeský </c:v>
                </c:pt>
                <c:pt idx="2">
                  <c:v>Jihočeský </c:v>
                </c:pt>
                <c:pt idx="3">
                  <c:v>Plzeňský</c:v>
                </c:pt>
                <c:pt idx="4">
                  <c:v>Karlovarský </c:v>
                </c:pt>
                <c:pt idx="5">
                  <c:v>Ústecký</c:v>
                </c:pt>
                <c:pt idx="6">
                  <c:v>Liberecký</c:v>
                </c:pt>
                <c:pt idx="7">
                  <c:v>Královéhradecký</c:v>
                </c:pt>
                <c:pt idx="8">
                  <c:v>Pardubický</c:v>
                </c:pt>
                <c:pt idx="9">
                  <c:v>Vysočina</c:v>
                </c:pt>
                <c:pt idx="10">
                  <c:v>Jihomoravský</c:v>
                </c:pt>
                <c:pt idx="11">
                  <c:v>Olomoucký</c:v>
                </c:pt>
                <c:pt idx="12">
                  <c:v>Zlínský </c:v>
                </c:pt>
                <c:pt idx="13">
                  <c:v>Moravskoslezský</c:v>
                </c:pt>
              </c:strCache>
            </c:strRef>
          </c:cat>
          <c:val>
            <c:numRef>
              <c:f>List1!$D$2:$D$15</c:f>
              <c:numCache>
                <c:formatCode>General</c:formatCode>
                <c:ptCount val="14"/>
                <c:pt idx="0">
                  <c:v>5380</c:v>
                </c:pt>
                <c:pt idx="1">
                  <c:v>36</c:v>
                </c:pt>
                <c:pt idx="2">
                  <c:v>701</c:v>
                </c:pt>
                <c:pt idx="3">
                  <c:v>916</c:v>
                </c:pt>
                <c:pt idx="4">
                  <c:v>0</c:v>
                </c:pt>
                <c:pt idx="5">
                  <c:v>177</c:v>
                </c:pt>
                <c:pt idx="6">
                  <c:v>577</c:v>
                </c:pt>
                <c:pt idx="7">
                  <c:v>325</c:v>
                </c:pt>
                <c:pt idx="8">
                  <c:v>531</c:v>
                </c:pt>
                <c:pt idx="9">
                  <c:v>0</c:v>
                </c:pt>
                <c:pt idx="10">
                  <c:v>6712</c:v>
                </c:pt>
                <c:pt idx="11">
                  <c:v>2319</c:v>
                </c:pt>
                <c:pt idx="12">
                  <c:v>410</c:v>
                </c:pt>
                <c:pt idx="13">
                  <c:v>1794</c:v>
                </c:pt>
              </c:numCache>
            </c:numRef>
          </c:val>
        </c:ser>
        <c:dLbls>
          <c:showLegendKey val="0"/>
          <c:showVal val="0"/>
          <c:showCatName val="0"/>
          <c:showSerName val="0"/>
          <c:showPercent val="0"/>
          <c:showBubbleSize val="0"/>
        </c:dLbls>
        <c:gapWidth val="150"/>
        <c:overlap val="100"/>
        <c:axId val="170045824"/>
        <c:axId val="170047360"/>
      </c:barChart>
      <c:catAx>
        <c:axId val="170045824"/>
        <c:scaling>
          <c:orientation val="minMax"/>
        </c:scaling>
        <c:delete val="0"/>
        <c:axPos val="b"/>
        <c:numFmt formatCode="General" sourceLinked="1"/>
        <c:majorTickMark val="out"/>
        <c:minorTickMark val="none"/>
        <c:tickLblPos val="nextTo"/>
        <c:crossAx val="170047360"/>
        <c:crosses val="autoZero"/>
        <c:auto val="1"/>
        <c:lblAlgn val="ctr"/>
        <c:lblOffset val="100"/>
        <c:noMultiLvlLbl val="0"/>
      </c:catAx>
      <c:valAx>
        <c:axId val="170047360"/>
        <c:scaling>
          <c:orientation val="minMax"/>
          <c:max val="25000"/>
          <c:min val="0"/>
        </c:scaling>
        <c:delete val="0"/>
        <c:axPos val="l"/>
        <c:majorGridlines/>
        <c:numFmt formatCode="#,##0" sourceLinked="1"/>
        <c:majorTickMark val="out"/>
        <c:minorTickMark val="none"/>
        <c:tickLblPos val="nextTo"/>
        <c:crossAx val="170045824"/>
        <c:crosses val="autoZero"/>
        <c:crossBetween val="between"/>
      </c:valAx>
      <c:spPr>
        <a:ln>
          <a:solidFill>
            <a:schemeClr val="bg1">
              <a:lumMod val="75000"/>
            </a:schemeClr>
          </a:solidFill>
        </a:ln>
      </c:spPr>
    </c:plotArea>
    <c:legend>
      <c:legendPos val="b"/>
      <c:layout/>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chemeClr val="accent3">
                  <a:lumMod val="50000"/>
                </a:schemeClr>
              </a:solidFill>
              <a:prstDash val="solid"/>
            </a:ln>
          </c:spPr>
          <c:invertIfNegative val="0"/>
          <c:dPt>
            <c:idx val="3"/>
            <c:invertIfNegative val="0"/>
            <c:bubble3D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rgbClr val="FF0000"/>
                </a:solidFill>
                <a:prstDash val="solid"/>
              </a:ln>
            </c:spPr>
          </c:dPt>
          <c:dPt>
            <c:idx val="17"/>
            <c:invertIfNegative val="0"/>
            <c:bubble3D val="0"/>
            <c:spPr>
              <a:gradFill>
                <a:gsLst>
                  <a:gs pos="0">
                    <a:schemeClr val="accent3">
                      <a:lumMod val="50000"/>
                    </a:schemeClr>
                  </a:gs>
                  <a:gs pos="50000">
                    <a:schemeClr val="accent3">
                      <a:lumMod val="75000"/>
                    </a:schemeClr>
                  </a:gs>
                  <a:gs pos="100000">
                    <a:schemeClr val="accent3">
                      <a:lumMod val="40000"/>
                      <a:lumOff val="60000"/>
                    </a:schemeClr>
                  </a:gs>
                </a:gsLst>
                <a:path path="circle">
                  <a:fillToRect l="100000" t="100000"/>
                </a:path>
              </a:gradFill>
              <a:ln>
                <a:solidFill>
                  <a:schemeClr val="accent3">
                    <a:lumMod val="50000"/>
                  </a:schemeClr>
                </a:solidFill>
              </a:ln>
            </c:spPr>
          </c:dPt>
          <c:dPt>
            <c:idx val="19"/>
            <c:invertIfNegative val="0"/>
            <c:bubble3D val="0"/>
            <c:spPr>
              <a:solidFill>
                <a:schemeClr val="accent3">
                  <a:lumMod val="50000"/>
                </a:schemeClr>
              </a:solidFill>
              <a:ln>
                <a:solidFill>
                  <a:schemeClr val="accent3">
                    <a:lumMod val="50000"/>
                  </a:schemeClr>
                </a:solidFill>
                <a:prstDash val="solid"/>
              </a:ln>
            </c:spPr>
          </c:dPt>
          <c:cat>
            <c:strRef>
              <c:f>Data!$A$6:$A$34</c:f>
              <c:strCache>
                <c:ptCount val="29"/>
                <c:pt idx="0">
                  <c:v>Bulharsko</c:v>
                </c:pt>
                <c:pt idx="1">
                  <c:v>Estonsko</c:v>
                </c:pt>
                <c:pt idx="2">
                  <c:v>Rumunsko</c:v>
                </c:pt>
                <c:pt idx="3">
                  <c:v>Česko</c:v>
                </c:pt>
                <c:pt idx="4">
                  <c:v>Slovensko</c:v>
                </c:pt>
                <c:pt idx="5">
                  <c:v>Lotyšsko</c:v>
                </c:pt>
                <c:pt idx="6">
                  <c:v>Polsko</c:v>
                </c:pt>
                <c:pt idx="7">
                  <c:v>Litva</c:v>
                </c:pt>
                <c:pt idx="8">
                  <c:v>Maďarsko</c:v>
                </c:pt>
                <c:pt idx="9">
                  <c:v>Slovinsko</c:v>
                </c:pt>
                <c:pt idx="10">
                  <c:v>Chorvatsko</c:v>
                </c:pt>
                <c:pt idx="11">
                  <c:v>Finsko</c:v>
                </c:pt>
                <c:pt idx="12">
                  <c:v>Belgie</c:v>
                </c:pt>
                <c:pt idx="13">
                  <c:v>Kypr</c:v>
                </c:pt>
                <c:pt idx="14">
                  <c:v>Řecko</c:v>
                </c:pt>
                <c:pt idx="15">
                  <c:v>Nizozemí</c:v>
                </c:pt>
                <c:pt idx="16">
                  <c:v>Švédsko</c:v>
                </c:pt>
                <c:pt idx="17">
                  <c:v>Malta</c:v>
                </c:pt>
                <c:pt idx="18">
                  <c:v>Portugalsko</c:v>
                </c:pt>
                <c:pt idx="19">
                  <c:v>EU-28</c:v>
                </c:pt>
                <c:pt idx="20">
                  <c:v>Francie</c:v>
                </c:pt>
                <c:pt idx="21">
                  <c:v>Španělsko</c:v>
                </c:pt>
                <c:pt idx="22">
                  <c:v>Lucembursko</c:v>
                </c:pt>
                <c:pt idx="23">
                  <c:v>Německo</c:v>
                </c:pt>
                <c:pt idx="24">
                  <c:v>Rakousko</c:v>
                </c:pt>
                <c:pt idx="25">
                  <c:v>Itálie</c:v>
                </c:pt>
                <c:pt idx="26">
                  <c:v>Velká Británie</c:v>
                </c:pt>
                <c:pt idx="27">
                  <c:v>Dánsko</c:v>
                </c:pt>
                <c:pt idx="28">
                  <c:v>Irsko</c:v>
                </c:pt>
              </c:strCache>
            </c:strRef>
          </c:cat>
          <c:val>
            <c:numRef>
              <c:f>Data!$B$6:$B$34</c:f>
              <c:numCache>
                <c:formatCode>General</c:formatCode>
                <c:ptCount val="29"/>
                <c:pt idx="0">
                  <c:v>669.9</c:v>
                </c:pt>
                <c:pt idx="1">
                  <c:v>481</c:v>
                </c:pt>
                <c:pt idx="2">
                  <c:v>378.8</c:v>
                </c:pt>
                <c:pt idx="3">
                  <c:v>355.4</c:v>
                </c:pt>
                <c:pt idx="4">
                  <c:v>329.3</c:v>
                </c:pt>
                <c:pt idx="5">
                  <c:v>328.6</c:v>
                </c:pt>
                <c:pt idx="6">
                  <c:v>298.7</c:v>
                </c:pt>
                <c:pt idx="7">
                  <c:v>291.60000000000002</c:v>
                </c:pt>
                <c:pt idx="8">
                  <c:v>268.7</c:v>
                </c:pt>
                <c:pt idx="9">
                  <c:v>227.7</c:v>
                </c:pt>
                <c:pt idx="10">
                  <c:v>224.9</c:v>
                </c:pt>
                <c:pt idx="11">
                  <c:v>204</c:v>
                </c:pt>
                <c:pt idx="12">
                  <c:v>172.2</c:v>
                </c:pt>
                <c:pt idx="13">
                  <c:v>167</c:v>
                </c:pt>
                <c:pt idx="14">
                  <c:v>165.7</c:v>
                </c:pt>
                <c:pt idx="15">
                  <c:v>149.4</c:v>
                </c:pt>
                <c:pt idx="16">
                  <c:v>148.19999999999999</c:v>
                </c:pt>
                <c:pt idx="17">
                  <c:v>148</c:v>
                </c:pt>
                <c:pt idx="18">
                  <c:v>146.5</c:v>
                </c:pt>
                <c:pt idx="19">
                  <c:v>143.19999999999999</c:v>
                </c:pt>
                <c:pt idx="20">
                  <c:v>142.9</c:v>
                </c:pt>
                <c:pt idx="21">
                  <c:v>136.4</c:v>
                </c:pt>
                <c:pt idx="22">
                  <c:v>133.80000000000001</c:v>
                </c:pt>
                <c:pt idx="23">
                  <c:v>129.19999999999999</c:v>
                </c:pt>
                <c:pt idx="24">
                  <c:v>123.9</c:v>
                </c:pt>
                <c:pt idx="25">
                  <c:v>117.3</c:v>
                </c:pt>
                <c:pt idx="26">
                  <c:v>105.1</c:v>
                </c:pt>
                <c:pt idx="27">
                  <c:v>87.2</c:v>
                </c:pt>
                <c:pt idx="28">
                  <c:v>82.8</c:v>
                </c:pt>
              </c:numCache>
            </c:numRef>
          </c:val>
        </c:ser>
        <c:dLbls>
          <c:showLegendKey val="0"/>
          <c:showVal val="0"/>
          <c:showCatName val="0"/>
          <c:showSerName val="0"/>
          <c:showPercent val="0"/>
          <c:showBubbleSize val="0"/>
        </c:dLbls>
        <c:gapWidth val="39"/>
        <c:axId val="171072512"/>
        <c:axId val="171090688"/>
      </c:barChart>
      <c:catAx>
        <c:axId val="171072512"/>
        <c:scaling>
          <c:orientation val="minMax"/>
        </c:scaling>
        <c:delete val="0"/>
        <c:axPos val="b"/>
        <c:numFmt formatCode="General" sourceLinked="1"/>
        <c:majorTickMark val="out"/>
        <c:minorTickMark val="none"/>
        <c:tickLblPos val="nextTo"/>
        <c:crossAx val="171090688"/>
        <c:crosses val="autoZero"/>
        <c:auto val="1"/>
        <c:lblAlgn val="ctr"/>
        <c:lblOffset val="100"/>
        <c:noMultiLvlLbl val="0"/>
      </c:catAx>
      <c:valAx>
        <c:axId val="171090688"/>
        <c:scaling>
          <c:orientation val="minMax"/>
        </c:scaling>
        <c:delete val="0"/>
        <c:axPos val="l"/>
        <c:majorGridlines/>
        <c:title>
          <c:tx>
            <c:rich>
              <a:bodyPr rot="-5400000" vert="horz"/>
              <a:lstStyle/>
              <a:p>
                <a:pPr>
                  <a:defRPr/>
                </a:pPr>
                <a:r>
                  <a:rPr lang="cs-CZ"/>
                  <a:t>Kilogram ropného ekvivalentu na 1000 EUR</a:t>
                </a:r>
              </a:p>
            </c:rich>
          </c:tx>
          <c:layout/>
          <c:overlay val="0"/>
        </c:title>
        <c:numFmt formatCode="#,##0" sourceLinked="0"/>
        <c:majorTickMark val="out"/>
        <c:minorTickMark val="none"/>
        <c:tickLblPos val="nextTo"/>
        <c:crossAx val="171072512"/>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cs-CZ"/>
              <a:t>Hladina nízkého napětí</a:t>
            </a:r>
          </a:p>
        </c:rich>
      </c:tx>
      <c:layout>
        <c:manualLayout>
          <c:xMode val="edge"/>
          <c:yMode val="edge"/>
          <c:x val="0.37406054506344599"/>
          <c:y val="3.1784841075794622E-2"/>
        </c:manualLayout>
      </c:layout>
      <c:overlay val="0"/>
      <c:spPr>
        <a:noFill/>
        <a:ln w="25400">
          <a:noFill/>
        </a:ln>
      </c:spPr>
    </c:title>
    <c:autoTitleDeleted val="0"/>
    <c:plotArea>
      <c:layout>
        <c:manualLayout>
          <c:layoutTarget val="inner"/>
          <c:xMode val="edge"/>
          <c:yMode val="edge"/>
          <c:x val="0.13157906813457118"/>
          <c:y val="0.15647940441554814"/>
          <c:w val="0.84586543800795755"/>
          <c:h val="0.51833802712650323"/>
        </c:manualLayout>
      </c:layout>
      <c:barChart>
        <c:barDir val="col"/>
        <c:grouping val="stacked"/>
        <c:varyColors val="0"/>
        <c:ser>
          <c:idx val="0"/>
          <c:order val="0"/>
          <c:tx>
            <c:v>neplánovaná poruchová za obvyklých povětrnostních podmínek</c:v>
          </c:tx>
          <c:spPr>
            <a:solidFill>
              <a:srgbClr val="FFCC99"/>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'[souhrnna_zprava_kvalita_cez_2013-v1.xls]Histor'!$E$13:$G$13</c:f>
              <c:numCache>
                <c:formatCode>0.000</c:formatCode>
                <c:ptCount val="3"/>
                <c:pt idx="0">
                  <c:v>2.0075401765303766</c:v>
                </c:pt>
                <c:pt idx="1">
                  <c:v>2.3114113136021865</c:v>
                </c:pt>
                <c:pt idx="2">
                  <c:v>1.9303374638077249</c:v>
                </c:pt>
              </c:numCache>
            </c:numRef>
          </c:val>
        </c:ser>
        <c:ser>
          <c:idx val="2"/>
          <c:order val="1"/>
          <c:tx>
            <c:v>neplánovaná poruchová způsobená v důsledku zásahu nebo jednání třetí osoby</c:v>
          </c:tx>
          <c:spPr>
            <a:solidFill>
              <a:srgbClr val="FFFFCC"/>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'[souhrnna_zprava_kvalita_cez_2013-v1.xls]Histor'!$E$15:$G$15</c:f>
              <c:numCache>
                <c:formatCode>0.000</c:formatCode>
                <c:ptCount val="3"/>
                <c:pt idx="0">
                  <c:v>0.17992851380722369</c:v>
                </c:pt>
                <c:pt idx="1">
                  <c:v>0.16334996349958411</c:v>
                </c:pt>
                <c:pt idx="2">
                  <c:v>0.21873989569182603</c:v>
                </c:pt>
              </c:numCache>
            </c:numRef>
          </c:val>
        </c:ser>
        <c:ser>
          <c:idx val="3"/>
          <c:order val="2"/>
          <c:tx>
            <c:v>neplánovaná ostatní</c:v>
          </c:tx>
          <c:spPr>
            <a:solidFill>
              <a:srgbClr val="C0C0C0"/>
            </a:solidFill>
            <a:ln w="25400">
              <a:noFill/>
            </a:ln>
          </c:spPr>
          <c:invertIfNegative val="0"/>
          <c:val>
            <c:numRef>
              <c:f>'[souhrnna_zprava_kvalita_cez_2013-v1.xls]Histor'!$E$19:$G$19</c:f>
              <c:numCache>
                <c:formatCode>0.000</c:formatCode>
                <c:ptCount val="3"/>
                <c:pt idx="0">
                  <c:v>0.14584513143451747</c:v>
                </c:pt>
                <c:pt idx="1">
                  <c:v>0.12291960352236082</c:v>
                </c:pt>
                <c:pt idx="2">
                  <c:v>0.45098894308548892</c:v>
                </c:pt>
              </c:numCache>
            </c:numRef>
          </c:val>
        </c:ser>
        <c:ser>
          <c:idx val="4"/>
          <c:order val="3"/>
          <c:tx>
            <c:v>plánovaná</c:v>
          </c:tx>
          <c:spPr>
            <a:solidFill>
              <a:srgbClr val="CCFFFF"/>
            </a:solidFill>
            <a:ln w="25400">
              <a:noFill/>
            </a:ln>
          </c:spPr>
          <c:invertIfNegative val="0"/>
          <c:val>
            <c:numRef>
              <c:f>'[souhrnna_zprava_kvalita_cez_2013-v1.xls]Histor'!$E$9:$G$9</c:f>
              <c:numCache>
                <c:formatCode>0.000</c:formatCode>
                <c:ptCount val="3"/>
                <c:pt idx="0">
                  <c:v>0.54135432777320136</c:v>
                </c:pt>
                <c:pt idx="1">
                  <c:v>0.49927508081831051</c:v>
                </c:pt>
                <c:pt idx="2">
                  <c:v>0.51292576224716147</c:v>
                </c:pt>
              </c:numCache>
            </c:numRef>
          </c:val>
        </c:ser>
        <c:dLbls>
          <c:showLegendKey val="0"/>
          <c:showVal val="0"/>
          <c:showCatName val="0"/>
          <c:showSerName val="0"/>
          <c:showPercent val="0"/>
          <c:showBubbleSize val="0"/>
        </c:dLbls>
        <c:gapWidth val="150"/>
        <c:overlap val="100"/>
        <c:axId val="172566784"/>
        <c:axId val="172573056"/>
      </c:barChart>
      <c:catAx>
        <c:axId val="172566784"/>
        <c:scaling>
          <c:orientation val="minMax"/>
        </c:scaling>
        <c:delete val="0"/>
        <c:axPos val="b"/>
        <c:title>
          <c:tx>
            <c:rich>
              <a:bodyPr/>
              <a:lstStyle/>
              <a:p>
                <a:pPr>
                  <a:defRPr sz="825" b="0" i="0" u="none" strike="noStrike" baseline="0">
                    <a:solidFill>
                      <a:srgbClr val="000000"/>
                    </a:solidFill>
                    <a:latin typeface="Arial"/>
                    <a:ea typeface="Arial"/>
                    <a:cs typeface="Arial"/>
                  </a:defRPr>
                </a:pPr>
                <a:r>
                  <a:rPr lang="cs-CZ"/>
                  <a:t>Rok</a:t>
                </a:r>
              </a:p>
            </c:rich>
          </c:tx>
          <c:layout>
            <c:manualLayout>
              <c:xMode val="edge"/>
              <c:yMode val="edge"/>
              <c:x val="0.53383498115367156"/>
              <c:y val="0.74816702924359391"/>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172573056"/>
        <c:crosses val="autoZero"/>
        <c:auto val="1"/>
        <c:lblAlgn val="ctr"/>
        <c:lblOffset val="100"/>
        <c:tickLblSkip val="1"/>
        <c:tickMarkSkip val="1"/>
        <c:noMultiLvlLbl val="0"/>
      </c:catAx>
      <c:valAx>
        <c:axId val="172573056"/>
        <c:scaling>
          <c:orientation val="minMax"/>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cs-CZ" sz="1000" b="0" i="0" u="none" strike="noStrike" baseline="0">
                    <a:solidFill>
                      <a:srgbClr val="000000"/>
                    </a:solidFill>
                    <a:latin typeface="Arial"/>
                    <a:cs typeface="Arial"/>
                  </a:rPr>
                  <a:t>SAIFI</a:t>
                </a:r>
                <a:r>
                  <a:rPr lang="cs-CZ" sz="1000" b="0" i="0" u="none" strike="noStrike" baseline="-25000">
                    <a:solidFill>
                      <a:srgbClr val="000000"/>
                    </a:solidFill>
                    <a:latin typeface="Arial"/>
                    <a:cs typeface="Arial"/>
                  </a:rPr>
                  <a:t>nn</a:t>
                </a:r>
                <a:r>
                  <a:rPr lang="cs-CZ" sz="1000" b="0" i="0" u="none" strike="noStrike" baseline="0">
                    <a:solidFill>
                      <a:srgbClr val="000000"/>
                    </a:solidFill>
                    <a:latin typeface="Arial"/>
                    <a:cs typeface="Arial"/>
                  </a:rPr>
                  <a:t> [1/rok]</a:t>
                </a:r>
              </a:p>
            </c:rich>
          </c:tx>
          <c:layout>
            <c:manualLayout>
              <c:xMode val="edge"/>
              <c:yMode val="edge"/>
              <c:x val="2.6315789473684209E-2"/>
              <c:y val="0.31051370412439278"/>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172566784"/>
        <c:crosses val="autoZero"/>
        <c:crossBetween val="between"/>
      </c:valAx>
      <c:spPr>
        <a:noFill/>
        <a:ln w="12700">
          <a:solidFill>
            <a:srgbClr val="808080"/>
          </a:solidFill>
          <a:prstDash val="solid"/>
        </a:ln>
      </c:spPr>
    </c:plotArea>
    <c:legend>
      <c:legendPos val="r"/>
      <c:layout>
        <c:manualLayout>
          <c:xMode val="edge"/>
          <c:yMode val="edge"/>
          <c:x val="1.8796992481203006E-2"/>
          <c:y val="0.78484210256114073"/>
          <c:w val="0.96240680441260629"/>
          <c:h val="0.20537922979676437"/>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b="0" i="0" u="none" strike="noStrike" baseline="0">
                <a:solidFill>
                  <a:srgbClr val="000000"/>
                </a:solidFill>
                <a:latin typeface="Arial"/>
                <a:ea typeface="Arial"/>
                <a:cs typeface="Arial"/>
              </a:defRPr>
            </a:pPr>
            <a:r>
              <a:rPr lang="cs-CZ"/>
              <a:t>Hladina nízkého napětí</a:t>
            </a:r>
          </a:p>
        </c:rich>
      </c:tx>
      <c:layout>
        <c:manualLayout>
          <c:xMode val="edge"/>
          <c:yMode val="edge"/>
          <c:x val="0.38245687710088866"/>
          <c:y val="3.1784841075794622E-2"/>
        </c:manualLayout>
      </c:layout>
      <c:overlay val="0"/>
      <c:spPr>
        <a:noFill/>
        <a:ln w="25400">
          <a:noFill/>
        </a:ln>
      </c:spPr>
    </c:title>
    <c:autoTitleDeleted val="0"/>
    <c:plotArea>
      <c:layout>
        <c:manualLayout>
          <c:layoutTarget val="inner"/>
          <c:xMode val="edge"/>
          <c:yMode val="edge"/>
          <c:x val="0.12982478382809728"/>
          <c:y val="0.15647940441554814"/>
          <c:w val="0.84912426179458234"/>
          <c:h val="0.52322800851448903"/>
        </c:manualLayout>
      </c:layout>
      <c:barChart>
        <c:barDir val="col"/>
        <c:grouping val="stacked"/>
        <c:varyColors val="0"/>
        <c:ser>
          <c:idx val="0"/>
          <c:order val="0"/>
          <c:tx>
            <c:v>neplánovaná poruchová za obvyklých povětrnostních podmínek</c:v>
          </c:tx>
          <c:spPr>
            <a:solidFill>
              <a:srgbClr val="FFCC99"/>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'[souhrnna_zprava_kvalita_cez_2013-v1.xls]Histor'!$E$29:$G$29</c:f>
              <c:numCache>
                <c:formatCode>0.000</c:formatCode>
                <c:ptCount val="3"/>
                <c:pt idx="0">
                  <c:v>128.81142615382015</c:v>
                </c:pt>
                <c:pt idx="1">
                  <c:v>133.7379141615742</c:v>
                </c:pt>
                <c:pt idx="2">
                  <c:v>107.5787546667847</c:v>
                </c:pt>
              </c:numCache>
            </c:numRef>
          </c:val>
        </c:ser>
        <c:ser>
          <c:idx val="2"/>
          <c:order val="1"/>
          <c:tx>
            <c:v>neplánovaná poruchová způsobená v důsledku zásahu nebo jednání třetí osoby</c:v>
          </c:tx>
          <c:spPr>
            <a:solidFill>
              <a:srgbClr val="FFFFCC"/>
            </a:solidFill>
            <a:ln w="25400">
              <a:noFill/>
            </a:ln>
          </c:spPr>
          <c:invertIfNegative val="0"/>
          <c:cat>
            <c:numRef>
              <c:f>'[souhrnna_zprava_kvalita_cez_2013-v1.xls]Histor'!$E$8:$G$8</c:f>
              <c:numCache>
                <c:formatCode>General</c:formatCode>
                <c:ptCount val="3"/>
                <c:pt idx="0">
                  <c:v>2011</c:v>
                </c:pt>
                <c:pt idx="1">
                  <c:v>2012</c:v>
                </c:pt>
                <c:pt idx="2">
                  <c:v>2013</c:v>
                </c:pt>
              </c:numCache>
            </c:numRef>
          </c:cat>
          <c:val>
            <c:numRef>
              <c:f>'[souhrnna_zprava_kvalita_cez_2013-v1.xls]Histor'!$E$31:$G$31</c:f>
              <c:numCache>
                <c:formatCode>0.000</c:formatCode>
                <c:ptCount val="3"/>
                <c:pt idx="0">
                  <c:v>12.52167788330406</c:v>
                </c:pt>
                <c:pt idx="1">
                  <c:v>10.992021668335616</c:v>
                </c:pt>
                <c:pt idx="2">
                  <c:v>13.66637764196841</c:v>
                </c:pt>
              </c:numCache>
            </c:numRef>
          </c:val>
        </c:ser>
        <c:ser>
          <c:idx val="3"/>
          <c:order val="2"/>
          <c:tx>
            <c:v>neplánovaná ostatní</c:v>
          </c:tx>
          <c:spPr>
            <a:solidFill>
              <a:srgbClr val="C0C0C0"/>
            </a:solidFill>
            <a:ln w="25400">
              <a:noFill/>
            </a:ln>
          </c:spPr>
          <c:invertIfNegative val="0"/>
          <c:val>
            <c:numRef>
              <c:f>'[souhrnna_zprava_kvalita_cez_2013-v1.xls]Histor'!$E$35:$G$35</c:f>
              <c:numCache>
                <c:formatCode>0.000</c:formatCode>
                <c:ptCount val="3"/>
                <c:pt idx="0">
                  <c:v>7.4139720385757766</c:v>
                </c:pt>
                <c:pt idx="1">
                  <c:v>23.018415726716206</c:v>
                </c:pt>
                <c:pt idx="2">
                  <c:v>123.14092340027942</c:v>
                </c:pt>
              </c:numCache>
            </c:numRef>
          </c:val>
        </c:ser>
        <c:ser>
          <c:idx val="4"/>
          <c:order val="3"/>
          <c:tx>
            <c:v>plánovaná</c:v>
          </c:tx>
          <c:spPr>
            <a:solidFill>
              <a:srgbClr val="CCFFFF"/>
            </a:solidFill>
            <a:ln w="25400">
              <a:noFill/>
            </a:ln>
          </c:spPr>
          <c:invertIfNegative val="0"/>
          <c:val>
            <c:numRef>
              <c:f>'[souhrnna_zprava_kvalita_cez_2013-v1.xls]Histor'!$E$25:$G$25</c:f>
              <c:numCache>
                <c:formatCode>0.000</c:formatCode>
                <c:ptCount val="3"/>
                <c:pt idx="0">
                  <c:v>147.9142889764251</c:v>
                </c:pt>
                <c:pt idx="1">
                  <c:v>145.36741617149409</c:v>
                </c:pt>
                <c:pt idx="2">
                  <c:v>157.5105945033884</c:v>
                </c:pt>
              </c:numCache>
            </c:numRef>
          </c:val>
        </c:ser>
        <c:dLbls>
          <c:showLegendKey val="0"/>
          <c:showVal val="0"/>
          <c:showCatName val="0"/>
          <c:showSerName val="0"/>
          <c:showPercent val="0"/>
          <c:showBubbleSize val="0"/>
        </c:dLbls>
        <c:gapWidth val="150"/>
        <c:overlap val="100"/>
        <c:axId val="172706816"/>
        <c:axId val="172815488"/>
      </c:barChart>
      <c:catAx>
        <c:axId val="172706816"/>
        <c:scaling>
          <c:orientation val="minMax"/>
        </c:scaling>
        <c:delete val="0"/>
        <c:axPos val="b"/>
        <c:title>
          <c:tx>
            <c:rich>
              <a:bodyPr/>
              <a:lstStyle/>
              <a:p>
                <a:pPr>
                  <a:defRPr sz="900" b="0" i="0" u="none" strike="noStrike" baseline="0">
                    <a:solidFill>
                      <a:srgbClr val="000000"/>
                    </a:solidFill>
                    <a:latin typeface="Arial"/>
                    <a:ea typeface="Arial"/>
                    <a:cs typeface="Arial"/>
                  </a:defRPr>
                </a:pPr>
                <a:r>
                  <a:rPr lang="cs-CZ"/>
                  <a:t>Rok</a:t>
                </a:r>
              </a:p>
            </c:rich>
          </c:tx>
          <c:layout>
            <c:manualLayout>
              <c:xMode val="edge"/>
              <c:yMode val="edge"/>
              <c:x val="0.53157986830593551"/>
              <c:y val="0.7457220414685328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172815488"/>
        <c:crosses val="autoZero"/>
        <c:auto val="1"/>
        <c:lblAlgn val="ctr"/>
        <c:lblOffset val="100"/>
        <c:tickLblSkip val="1"/>
        <c:tickMarkSkip val="1"/>
        <c:noMultiLvlLbl val="0"/>
      </c:catAx>
      <c:valAx>
        <c:axId val="172815488"/>
        <c:scaling>
          <c:orientation val="minMax"/>
        </c:scaling>
        <c:delete val="0"/>
        <c:axPos val="l"/>
        <c:majorGridlines>
          <c:spPr>
            <a:ln w="3175">
              <a:solidFill>
                <a:srgbClr val="000000"/>
              </a:solidFill>
              <a:prstDash val="sysDash"/>
            </a:ln>
          </c:spPr>
        </c:majorGridlines>
        <c:title>
          <c:tx>
            <c:rich>
              <a:bodyPr/>
              <a:lstStyle/>
              <a:p>
                <a:pPr>
                  <a:defRPr sz="1100" b="0" i="0" u="none" strike="noStrike" baseline="0">
                    <a:solidFill>
                      <a:srgbClr val="000000"/>
                    </a:solidFill>
                    <a:latin typeface="Calibri"/>
                    <a:ea typeface="Calibri"/>
                    <a:cs typeface="Calibri"/>
                  </a:defRPr>
                </a:pPr>
                <a:r>
                  <a:rPr lang="cs-CZ" sz="1000" b="0" i="0" u="none" strike="noStrike" baseline="0">
                    <a:solidFill>
                      <a:srgbClr val="000000"/>
                    </a:solidFill>
                    <a:latin typeface="Arial"/>
                    <a:cs typeface="Arial"/>
                  </a:rPr>
                  <a:t>SAIDI</a:t>
                </a:r>
                <a:r>
                  <a:rPr lang="cs-CZ" sz="1000" b="0" i="0" u="none" strike="noStrike" baseline="-25000">
                    <a:solidFill>
                      <a:srgbClr val="000000"/>
                    </a:solidFill>
                    <a:latin typeface="Arial"/>
                    <a:cs typeface="Arial"/>
                  </a:rPr>
                  <a:t>nn</a:t>
                </a:r>
                <a:r>
                  <a:rPr lang="cs-CZ" sz="1000" b="0" i="0" u="none" strike="noStrike" baseline="0">
                    <a:solidFill>
                      <a:srgbClr val="000000"/>
                    </a:solidFill>
                    <a:latin typeface="Arial"/>
                    <a:cs typeface="Arial"/>
                  </a:rPr>
                  <a:t> [min/rok]</a:t>
                </a:r>
              </a:p>
            </c:rich>
          </c:tx>
          <c:layout>
            <c:manualLayout>
              <c:xMode val="edge"/>
              <c:yMode val="edge"/>
              <c:x val="2.456140350877193E-2"/>
              <c:y val="0.29339878969896488"/>
            </c:manualLayout>
          </c:layout>
          <c:overlay val="0"/>
          <c:spPr>
            <a:noFill/>
            <a:ln w="25400">
              <a:noFill/>
            </a:ln>
          </c:spPr>
        </c:title>
        <c:numFmt formatCode="0" sourceLinked="0"/>
        <c:majorTickMark val="out"/>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cs-CZ"/>
          </a:p>
        </c:txPr>
        <c:crossAx val="172706816"/>
        <c:crosses val="autoZero"/>
        <c:crossBetween val="between"/>
      </c:valAx>
      <c:spPr>
        <a:noFill/>
        <a:ln w="12700">
          <a:solidFill>
            <a:srgbClr val="808080"/>
          </a:solidFill>
          <a:prstDash val="solid"/>
        </a:ln>
      </c:spPr>
    </c:plotArea>
    <c:legend>
      <c:legendPos val="r"/>
      <c:layout>
        <c:manualLayout>
          <c:xMode val="edge"/>
          <c:yMode val="edge"/>
          <c:x val="8.771929824561403E-3"/>
          <c:y val="0.78239711478607954"/>
          <c:w val="0.95965078049454344"/>
          <c:h val="0.20537922979676437"/>
        </c:manualLayout>
      </c:layout>
      <c:overlay val="0"/>
      <c:spPr>
        <a:solidFill>
          <a:srgbClr val="FFFFFF"/>
        </a:solidFill>
        <a:ln w="25400">
          <a:noFill/>
        </a:ln>
      </c:spPr>
      <c:txPr>
        <a:bodyPr/>
        <a:lstStyle/>
        <a:p>
          <a:pPr>
            <a:defRPr sz="75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accent6">
                    <a:lumMod val="40000"/>
                    <a:lumOff val="60000"/>
                  </a:schemeClr>
                </a:gs>
                <a:gs pos="67000">
                  <a:srgbClr val="FF7A00"/>
                </a:gs>
                <a:gs pos="100000">
                  <a:schemeClr val="accent6">
                    <a:lumMod val="50000"/>
                  </a:schemeClr>
                </a:gs>
              </a:gsLst>
              <a:lin ang="5400000" scaled="0"/>
            </a:gradFill>
            <a:ln>
              <a:solidFill>
                <a:schemeClr val="accent6">
                  <a:lumMod val="75000"/>
                </a:schemeClr>
              </a:solidFill>
            </a:ln>
          </c:spPr>
          <c:invertIfNegative val="0"/>
          <c:dPt>
            <c:idx val="11"/>
            <c:invertIfNegative val="0"/>
            <c:bubble3D val="0"/>
            <c:spPr>
              <a:solidFill>
                <a:schemeClr val="accent6">
                  <a:lumMod val="75000"/>
                </a:schemeClr>
              </a:solidFill>
              <a:ln>
                <a:solidFill>
                  <a:schemeClr val="accent6">
                    <a:lumMod val="75000"/>
                  </a:schemeClr>
                </a:solidFill>
              </a:ln>
            </c:spPr>
          </c:dPt>
          <c:dPt>
            <c:idx val="13"/>
            <c:invertIfNegative val="0"/>
            <c:bubble3D val="0"/>
          </c:dPt>
          <c:dPt>
            <c:idx val="16"/>
            <c:invertIfNegative val="0"/>
            <c:bubble3D val="0"/>
            <c:spPr>
              <a:gradFill>
                <a:gsLst>
                  <a:gs pos="0">
                    <a:schemeClr val="accent6">
                      <a:lumMod val="40000"/>
                      <a:lumOff val="60000"/>
                    </a:schemeClr>
                  </a:gs>
                  <a:gs pos="67000">
                    <a:srgbClr val="FF7A00"/>
                  </a:gs>
                  <a:gs pos="100000">
                    <a:schemeClr val="accent6">
                      <a:lumMod val="50000"/>
                    </a:schemeClr>
                  </a:gs>
                </a:gsLst>
                <a:lin ang="5400000" scaled="0"/>
              </a:gradFill>
              <a:ln w="19050">
                <a:solidFill>
                  <a:srgbClr val="FF0000"/>
                </a:solidFill>
              </a:ln>
            </c:spPr>
          </c:dPt>
          <c:dPt>
            <c:idx val="17"/>
            <c:invertIfNegative val="0"/>
            <c:bubble3D val="0"/>
          </c:dPt>
          <c:cat>
            <c:strRef>
              <c:f>Sheet0!$A$5:$A$33</c:f>
              <c:strCache>
                <c:ptCount val="29"/>
                <c:pt idx="0">
                  <c:v>Malta</c:v>
                </c:pt>
                <c:pt idx="1">
                  <c:v>Kypr</c:v>
                </c:pt>
                <c:pt idx="2">
                  <c:v>Francie</c:v>
                </c:pt>
                <c:pt idx="3">
                  <c:v>Řecko</c:v>
                </c:pt>
                <c:pt idx="4">
                  <c:v>Velká Británie</c:v>
                </c:pt>
                <c:pt idx="5">
                  <c:v>Bulharsko</c:v>
                </c:pt>
                <c:pt idx="6">
                  <c:v>Irsko</c:v>
                </c:pt>
                <c:pt idx="7">
                  <c:v>Slovinsko</c:v>
                </c:pt>
                <c:pt idx="8">
                  <c:v>Španělsko</c:v>
                </c:pt>
                <c:pt idx="9">
                  <c:v>Švédsko</c:v>
                </c:pt>
                <c:pt idx="10">
                  <c:v>Estonsko</c:v>
                </c:pt>
                <c:pt idx="11">
                  <c:v>EU-27</c:v>
                </c:pt>
                <c:pt idx="12">
                  <c:v>Itálie</c:v>
                </c:pt>
                <c:pt idx="13">
                  <c:v>Rumunsko</c:v>
                </c:pt>
                <c:pt idx="14">
                  <c:v>Lucembursko</c:v>
                </c:pt>
                <c:pt idx="15">
                  <c:v>Portugalsko</c:v>
                </c:pt>
                <c:pt idx="16">
                  <c:v>Česko</c:v>
                </c:pt>
                <c:pt idx="17">
                  <c:v>Německo</c:v>
                </c:pt>
                <c:pt idx="18">
                  <c:v>Rakousko</c:v>
                </c:pt>
                <c:pt idx="19">
                  <c:v>Belgie</c:v>
                </c:pt>
                <c:pt idx="20">
                  <c:v>Polsko</c:v>
                </c:pt>
                <c:pt idx="21">
                  <c:v>Maďarsko</c:v>
                </c:pt>
                <c:pt idx="22">
                  <c:v>Chorvatsko</c:v>
                </c:pt>
                <c:pt idx="23">
                  <c:v>Slovensko</c:v>
                </c:pt>
                <c:pt idx="24">
                  <c:v>Nizozemí</c:v>
                </c:pt>
                <c:pt idx="25">
                  <c:v>Finsko</c:v>
                </c:pt>
                <c:pt idx="26">
                  <c:v>Litva</c:v>
                </c:pt>
                <c:pt idx="27">
                  <c:v>Dánsko</c:v>
                </c:pt>
                <c:pt idx="28">
                  <c:v>Lotyšsko</c:v>
                </c:pt>
              </c:strCache>
            </c:strRef>
          </c:cat>
          <c:val>
            <c:numRef>
              <c:f>Sheet0!$B$5:$B$33</c:f>
              <c:numCache>
                <c:formatCode>General</c:formatCode>
                <c:ptCount val="29"/>
                <c:pt idx="0">
                  <c:v>0</c:v>
                </c:pt>
                <c:pt idx="1">
                  <c:v>0.9</c:v>
                </c:pt>
                <c:pt idx="2">
                  <c:v>2.8</c:v>
                </c:pt>
                <c:pt idx="3">
                  <c:v>4.5</c:v>
                </c:pt>
                <c:pt idx="4">
                  <c:v>6.3</c:v>
                </c:pt>
                <c:pt idx="5">
                  <c:v>6.7</c:v>
                </c:pt>
                <c:pt idx="6">
                  <c:v>7.1</c:v>
                </c:pt>
                <c:pt idx="7">
                  <c:v>7.1</c:v>
                </c:pt>
                <c:pt idx="8">
                  <c:v>7.6</c:v>
                </c:pt>
                <c:pt idx="9">
                  <c:v>10</c:v>
                </c:pt>
                <c:pt idx="10">
                  <c:v>10.4</c:v>
                </c:pt>
                <c:pt idx="11">
                  <c:v>11.2</c:v>
                </c:pt>
                <c:pt idx="12">
                  <c:v>11.5</c:v>
                </c:pt>
                <c:pt idx="13">
                  <c:v>11.7</c:v>
                </c:pt>
                <c:pt idx="14">
                  <c:v>12.1</c:v>
                </c:pt>
                <c:pt idx="15">
                  <c:v>12.7</c:v>
                </c:pt>
                <c:pt idx="16">
                  <c:v>12.8</c:v>
                </c:pt>
                <c:pt idx="17">
                  <c:v>13.1</c:v>
                </c:pt>
                <c:pt idx="18">
                  <c:v>15.7</c:v>
                </c:pt>
                <c:pt idx="19">
                  <c:v>16</c:v>
                </c:pt>
                <c:pt idx="20">
                  <c:v>16.600000000000001</c:v>
                </c:pt>
                <c:pt idx="21">
                  <c:v>16.600000000000001</c:v>
                </c:pt>
                <c:pt idx="22">
                  <c:v>20.399999999999999</c:v>
                </c:pt>
                <c:pt idx="23">
                  <c:v>24.5</c:v>
                </c:pt>
                <c:pt idx="24">
                  <c:v>32.5</c:v>
                </c:pt>
                <c:pt idx="25">
                  <c:v>36.200000000000003</c:v>
                </c:pt>
                <c:pt idx="26">
                  <c:v>37.5</c:v>
                </c:pt>
                <c:pt idx="27">
                  <c:v>46.2</c:v>
                </c:pt>
                <c:pt idx="28">
                  <c:v>47.4</c:v>
                </c:pt>
              </c:numCache>
            </c:numRef>
          </c:val>
        </c:ser>
        <c:dLbls>
          <c:showLegendKey val="0"/>
          <c:showVal val="0"/>
          <c:showCatName val="0"/>
          <c:showSerName val="0"/>
          <c:showPercent val="0"/>
          <c:showBubbleSize val="0"/>
        </c:dLbls>
        <c:gapWidth val="40"/>
        <c:axId val="189110912"/>
        <c:axId val="189124992"/>
      </c:barChart>
      <c:catAx>
        <c:axId val="189110912"/>
        <c:scaling>
          <c:orientation val="minMax"/>
        </c:scaling>
        <c:delete val="0"/>
        <c:axPos val="b"/>
        <c:numFmt formatCode="General" sourceLinked="1"/>
        <c:majorTickMark val="out"/>
        <c:minorTickMark val="none"/>
        <c:tickLblPos val="nextTo"/>
        <c:crossAx val="189124992"/>
        <c:crosses val="autoZero"/>
        <c:auto val="1"/>
        <c:lblAlgn val="ctr"/>
        <c:lblOffset val="100"/>
        <c:noMultiLvlLbl val="0"/>
      </c:catAx>
      <c:valAx>
        <c:axId val="189124992"/>
        <c:scaling>
          <c:orientation val="minMax"/>
        </c:scaling>
        <c:delete val="0"/>
        <c:axPos val="l"/>
        <c:majorGridlines/>
        <c:title>
          <c:tx>
            <c:rich>
              <a:bodyPr rot="-5400000" vert="horz"/>
              <a:lstStyle/>
              <a:p>
                <a:pPr>
                  <a:defRPr/>
                </a:pPr>
                <a:r>
                  <a:rPr lang="cs-CZ"/>
                  <a:t>% z hrubé výroby elektřiny </a:t>
                </a:r>
              </a:p>
            </c:rich>
          </c:tx>
          <c:layout/>
          <c:overlay val="0"/>
        </c:title>
        <c:numFmt formatCode="General" sourceLinked="1"/>
        <c:majorTickMark val="out"/>
        <c:minorTickMark val="none"/>
        <c:tickLblPos val="nextTo"/>
        <c:crossAx val="189110912"/>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64239D97487854F9179C7D6EE52A648" ma:contentTypeVersion="1" ma:contentTypeDescription="Vytvořit nový dokument" ma:contentTypeScope="" ma:versionID="07b78027cd1df4b56a1bea7e17a7247c">
  <xsd:schema xmlns:xsd="http://www.w3.org/2001/XMLSchema" xmlns:p="http://schemas.microsoft.com/office/2006/metadata/properties" xmlns:ns1="http://schemas.microsoft.com/sharepoint/v3" targetNamespace="http://schemas.microsoft.com/office/2006/metadata/properties" ma:root="true" ma:fieldsID="6e8f2fbf05d5d058d7bc4be0becb4e51"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Datum zahájení plánování" ma:description="" ma:internalName="PublishingStartDate">
      <xsd:simpleType>
        <xsd:restriction base="dms:Unknown"/>
      </xsd:simpleType>
    </xsd:element>
    <xsd:element name="PublishingExpirationDate" ma:index="9" nillable="true" ma:displayName="Datum ukončení plánování"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E219CC-AFF4-47C7-92F2-D832677ED092}"/>
</file>

<file path=customXml/itemProps2.xml><?xml version="1.0" encoding="utf-8"?>
<ds:datastoreItem xmlns:ds="http://schemas.openxmlformats.org/officeDocument/2006/customXml" ds:itemID="{0FCDEDDB-ADFA-4B8A-971E-DA1B2065D89B}"/>
</file>

<file path=customXml/itemProps3.xml><?xml version="1.0" encoding="utf-8"?>
<ds:datastoreItem xmlns:ds="http://schemas.openxmlformats.org/officeDocument/2006/customXml" ds:itemID="{268EF639-685C-475B-B694-DAFC505B11EC}"/>
</file>

<file path=customXml/itemProps4.xml><?xml version="1.0" encoding="utf-8"?>
<ds:datastoreItem xmlns:ds="http://schemas.openxmlformats.org/officeDocument/2006/customXml" ds:itemID="{31D0A209-3FD7-4188-99C3-1575D9A85F87}"/>
</file>

<file path=docProps/app.xml><?xml version="1.0" encoding="utf-8"?>
<Properties xmlns="http://schemas.openxmlformats.org/officeDocument/2006/extended-properties" xmlns:vt="http://schemas.openxmlformats.org/officeDocument/2006/docPropsVTypes">
  <Template>829CAC75.dotm</Template>
  <TotalTime>620</TotalTime>
  <Pages>288</Pages>
  <Words>94274</Words>
  <Characters>556219</Characters>
  <Application>Microsoft Office Word</Application>
  <DocSecurity>0</DocSecurity>
  <Lines>4635</Lines>
  <Paragraphs>1298</Paragraphs>
  <ScaleCrop>false</ScaleCrop>
  <HeadingPairs>
    <vt:vector size="2" baseType="variant">
      <vt:variant>
        <vt:lpstr>Název</vt:lpstr>
      </vt:variant>
      <vt:variant>
        <vt:i4>1</vt:i4>
      </vt:variant>
    </vt:vector>
  </HeadingPairs>
  <TitlesOfParts>
    <vt:vector size="1" baseType="lpstr">
      <vt:lpstr>MINISTERSTVO PRŮMYSLU A OBCHODU</vt:lpstr>
    </vt:vector>
  </TitlesOfParts>
  <Company>Ministerstvo průmyslu a obchodu</Company>
  <LinksUpToDate>false</LinksUpToDate>
  <CharactersWithSpaces>649195</CharactersWithSpaces>
  <SharedDoc>false</SharedDoc>
  <HLinks>
    <vt:vector size="1806" baseType="variant">
      <vt:variant>
        <vt:i4>1835074</vt:i4>
      </vt:variant>
      <vt:variant>
        <vt:i4>1458</vt:i4>
      </vt:variant>
      <vt:variant>
        <vt:i4>0</vt:i4>
      </vt:variant>
      <vt:variant>
        <vt:i4>5</vt:i4>
      </vt:variant>
      <vt:variant>
        <vt:lpwstr>http://cmzrb.cz/</vt:lpwstr>
      </vt:variant>
      <vt:variant>
        <vt:lpwstr/>
      </vt:variant>
      <vt:variant>
        <vt:i4>5308440</vt:i4>
      </vt:variant>
      <vt:variant>
        <vt:i4>1455</vt:i4>
      </vt:variant>
      <vt:variant>
        <vt:i4>0</vt:i4>
      </vt:variant>
      <vt:variant>
        <vt:i4>5</vt:i4>
      </vt:variant>
      <vt:variant>
        <vt:lpwstr>https://www.czech-ba.cz/</vt:lpwstr>
      </vt:variant>
      <vt:variant>
        <vt:lpwstr/>
      </vt:variant>
      <vt:variant>
        <vt:i4>589834</vt:i4>
      </vt:variant>
      <vt:variant>
        <vt:i4>1452</vt:i4>
      </vt:variant>
      <vt:variant>
        <vt:i4>0</vt:i4>
      </vt:variant>
      <vt:variant>
        <vt:i4>5</vt:i4>
      </vt:variant>
      <vt:variant>
        <vt:lpwstr>http://www.smocr.cz/</vt:lpwstr>
      </vt:variant>
      <vt:variant>
        <vt:lpwstr/>
      </vt:variant>
      <vt:variant>
        <vt:i4>2490417</vt:i4>
      </vt:variant>
      <vt:variant>
        <vt:i4>1449</vt:i4>
      </vt:variant>
      <vt:variant>
        <vt:i4>0</vt:i4>
      </vt:variant>
      <vt:variant>
        <vt:i4>5</vt:i4>
      </vt:variant>
      <vt:variant>
        <vt:lpwstr>http://www.mmr.cz/cs/Uvodni-strana</vt:lpwstr>
      </vt:variant>
      <vt:variant>
        <vt:lpwstr/>
      </vt:variant>
      <vt:variant>
        <vt:i4>8323108</vt:i4>
      </vt:variant>
      <vt:variant>
        <vt:i4>1446</vt:i4>
      </vt:variant>
      <vt:variant>
        <vt:i4>0</vt:i4>
      </vt:variant>
      <vt:variant>
        <vt:i4>5</vt:i4>
      </vt:variant>
      <vt:variant>
        <vt:lpwstr>http://www.cvca.cz/</vt:lpwstr>
      </vt:variant>
      <vt:variant>
        <vt:lpwstr/>
      </vt:variant>
      <vt:variant>
        <vt:i4>5308440</vt:i4>
      </vt:variant>
      <vt:variant>
        <vt:i4>1443</vt:i4>
      </vt:variant>
      <vt:variant>
        <vt:i4>0</vt:i4>
      </vt:variant>
      <vt:variant>
        <vt:i4>5</vt:i4>
      </vt:variant>
      <vt:variant>
        <vt:lpwstr>https://www.czech-ba.cz/</vt:lpwstr>
      </vt:variant>
      <vt:variant>
        <vt:lpwstr/>
      </vt:variant>
      <vt:variant>
        <vt:i4>589834</vt:i4>
      </vt:variant>
      <vt:variant>
        <vt:i4>1440</vt:i4>
      </vt:variant>
      <vt:variant>
        <vt:i4>0</vt:i4>
      </vt:variant>
      <vt:variant>
        <vt:i4>5</vt:i4>
      </vt:variant>
      <vt:variant>
        <vt:lpwstr>http://www.smocr.cz/</vt:lpwstr>
      </vt:variant>
      <vt:variant>
        <vt:lpwstr/>
      </vt:variant>
      <vt:variant>
        <vt:i4>1835035</vt:i4>
      </vt:variant>
      <vt:variant>
        <vt:i4>1437</vt:i4>
      </vt:variant>
      <vt:variant>
        <vt:i4>0</vt:i4>
      </vt:variant>
      <vt:variant>
        <vt:i4>5</vt:i4>
      </vt:variant>
      <vt:variant>
        <vt:lpwstr>http://www.cmzrb.cz/</vt:lpwstr>
      </vt:variant>
      <vt:variant>
        <vt:lpwstr/>
      </vt:variant>
      <vt:variant>
        <vt:i4>1572878</vt:i4>
      </vt:variant>
      <vt:variant>
        <vt:i4>1434</vt:i4>
      </vt:variant>
      <vt:variant>
        <vt:i4>0</vt:i4>
      </vt:variant>
      <vt:variant>
        <vt:i4>5</vt:i4>
      </vt:variant>
      <vt:variant>
        <vt:lpwstr>http://www.vlada.cz/cz/ppov/ekonomicka-rada/narodni-ekonomicka-rada-vlady-51371/</vt:lpwstr>
      </vt:variant>
      <vt:variant>
        <vt:lpwstr/>
      </vt:variant>
      <vt:variant>
        <vt:i4>3997757</vt:i4>
      </vt:variant>
      <vt:variant>
        <vt:i4>1431</vt:i4>
      </vt:variant>
      <vt:variant>
        <vt:i4>0</vt:i4>
      </vt:variant>
      <vt:variant>
        <vt:i4>5</vt:i4>
      </vt:variant>
      <vt:variant>
        <vt:lpwstr>http://www.praha.eu/jnp/cz/home/index.html</vt:lpwstr>
      </vt:variant>
      <vt:variant>
        <vt:lpwstr/>
      </vt:variant>
      <vt:variant>
        <vt:i4>7602295</vt:i4>
      </vt:variant>
      <vt:variant>
        <vt:i4>1428</vt:i4>
      </vt:variant>
      <vt:variant>
        <vt:i4>0</vt:i4>
      </vt:variant>
      <vt:variant>
        <vt:i4>5</vt:i4>
      </vt:variant>
      <vt:variant>
        <vt:lpwstr>http://www.vse.cz/</vt:lpwstr>
      </vt:variant>
      <vt:variant>
        <vt:lpwstr/>
      </vt:variant>
      <vt:variant>
        <vt:i4>7405680</vt:i4>
      </vt:variant>
      <vt:variant>
        <vt:i4>1425</vt:i4>
      </vt:variant>
      <vt:variant>
        <vt:i4>0</vt:i4>
      </vt:variant>
      <vt:variant>
        <vt:i4>5</vt:i4>
      </vt:variant>
      <vt:variant>
        <vt:lpwstr>http://www.ctu.cz/</vt:lpwstr>
      </vt:variant>
      <vt:variant>
        <vt:lpwstr/>
      </vt:variant>
      <vt:variant>
        <vt:i4>6553716</vt:i4>
      </vt:variant>
      <vt:variant>
        <vt:i4>1422</vt:i4>
      </vt:variant>
      <vt:variant>
        <vt:i4>0</vt:i4>
      </vt:variant>
      <vt:variant>
        <vt:i4>5</vt:i4>
      </vt:variant>
      <vt:variant>
        <vt:lpwstr>http://nsmascr.cz/o-nas/mistni-akncni-skupiny/</vt:lpwstr>
      </vt:variant>
      <vt:variant>
        <vt:lpwstr/>
      </vt:variant>
      <vt:variant>
        <vt:i4>6422654</vt:i4>
      </vt:variant>
      <vt:variant>
        <vt:i4>1419</vt:i4>
      </vt:variant>
      <vt:variant>
        <vt:i4>0</vt:i4>
      </vt:variant>
      <vt:variant>
        <vt:i4>5</vt:i4>
      </vt:variant>
      <vt:variant>
        <vt:lpwstr>http://www.asociacenno.cz/</vt:lpwstr>
      </vt:variant>
      <vt:variant>
        <vt:lpwstr/>
      </vt:variant>
      <vt:variant>
        <vt:i4>7143470</vt:i4>
      </vt:variant>
      <vt:variant>
        <vt:i4>1416</vt:i4>
      </vt:variant>
      <vt:variant>
        <vt:i4>0</vt:i4>
      </vt:variant>
      <vt:variant>
        <vt:i4>5</vt:i4>
      </vt:variant>
      <vt:variant>
        <vt:lpwstr>http://www.amsp.cz/</vt:lpwstr>
      </vt:variant>
      <vt:variant>
        <vt:lpwstr/>
      </vt:variant>
      <vt:variant>
        <vt:i4>7274542</vt:i4>
      </vt:variant>
      <vt:variant>
        <vt:i4>1413</vt:i4>
      </vt:variant>
      <vt:variant>
        <vt:i4>0</vt:i4>
      </vt:variant>
      <vt:variant>
        <vt:i4>5</vt:i4>
      </vt:variant>
      <vt:variant>
        <vt:lpwstr>http://www.socr.cz/</vt:lpwstr>
      </vt:variant>
      <vt:variant>
        <vt:lpwstr/>
      </vt:variant>
      <vt:variant>
        <vt:i4>589834</vt:i4>
      </vt:variant>
      <vt:variant>
        <vt:i4>1410</vt:i4>
      </vt:variant>
      <vt:variant>
        <vt:i4>0</vt:i4>
      </vt:variant>
      <vt:variant>
        <vt:i4>5</vt:i4>
      </vt:variant>
      <vt:variant>
        <vt:lpwstr>http://www.smocr.cz/</vt:lpwstr>
      </vt:variant>
      <vt:variant>
        <vt:lpwstr/>
      </vt:variant>
      <vt:variant>
        <vt:i4>7274545</vt:i4>
      </vt:variant>
      <vt:variant>
        <vt:i4>1407</vt:i4>
      </vt:variant>
      <vt:variant>
        <vt:i4>0</vt:i4>
      </vt:variant>
      <vt:variant>
        <vt:i4>5</vt:i4>
      </vt:variant>
      <vt:variant>
        <vt:lpwstr>http://www.spcr.cz/</vt:lpwstr>
      </vt:variant>
      <vt:variant>
        <vt:lpwstr/>
      </vt:variant>
      <vt:variant>
        <vt:i4>983058</vt:i4>
      </vt:variant>
      <vt:variant>
        <vt:i4>1404</vt:i4>
      </vt:variant>
      <vt:variant>
        <vt:i4>0</vt:i4>
      </vt:variant>
      <vt:variant>
        <vt:i4>5</vt:i4>
      </vt:variant>
      <vt:variant>
        <vt:lpwstr>http://www.mdcr.cz/cs/default.htm</vt:lpwstr>
      </vt:variant>
      <vt:variant>
        <vt:lpwstr/>
      </vt:variant>
      <vt:variant>
        <vt:i4>3997757</vt:i4>
      </vt:variant>
      <vt:variant>
        <vt:i4>1401</vt:i4>
      </vt:variant>
      <vt:variant>
        <vt:i4>0</vt:i4>
      </vt:variant>
      <vt:variant>
        <vt:i4>5</vt:i4>
      </vt:variant>
      <vt:variant>
        <vt:lpwstr>http://www.praha.eu/jnp/cz/home/index.html</vt:lpwstr>
      </vt:variant>
      <vt:variant>
        <vt:lpwstr/>
      </vt:variant>
      <vt:variant>
        <vt:i4>262160</vt:i4>
      </vt:variant>
      <vt:variant>
        <vt:i4>1398</vt:i4>
      </vt:variant>
      <vt:variant>
        <vt:i4>0</vt:i4>
      </vt:variant>
      <vt:variant>
        <vt:i4>5</vt:i4>
      </vt:variant>
      <vt:variant>
        <vt:lpwstr>http://www.sanceprobudovy.cz/cs.html?start=20</vt:lpwstr>
      </vt:variant>
      <vt:variant>
        <vt:lpwstr/>
      </vt:variant>
      <vt:variant>
        <vt:i4>327698</vt:i4>
      </vt:variant>
      <vt:variant>
        <vt:i4>1395</vt:i4>
      </vt:variant>
      <vt:variant>
        <vt:i4>0</vt:i4>
      </vt:variant>
      <vt:variant>
        <vt:i4>5</vt:i4>
      </vt:variant>
      <vt:variant>
        <vt:lpwstr>http://www.csres.cz/</vt:lpwstr>
      </vt:variant>
      <vt:variant>
        <vt:lpwstr/>
      </vt:variant>
      <vt:variant>
        <vt:i4>6815794</vt:i4>
      </vt:variant>
      <vt:variant>
        <vt:i4>1392</vt:i4>
      </vt:variant>
      <vt:variant>
        <vt:i4>0</vt:i4>
      </vt:variant>
      <vt:variant>
        <vt:i4>5</vt:i4>
      </vt:variant>
      <vt:variant>
        <vt:lpwstr>http://www.tscr.cz/</vt:lpwstr>
      </vt:variant>
      <vt:variant>
        <vt:lpwstr/>
      </vt:variant>
      <vt:variant>
        <vt:i4>6553658</vt:i4>
      </vt:variant>
      <vt:variant>
        <vt:i4>1389</vt:i4>
      </vt:variant>
      <vt:variant>
        <vt:i4>0</vt:i4>
      </vt:variant>
      <vt:variant>
        <vt:i4>5</vt:i4>
      </vt:variant>
      <vt:variant>
        <vt:lpwstr>http://www.kzps.cz/</vt:lpwstr>
      </vt:variant>
      <vt:variant>
        <vt:lpwstr/>
      </vt:variant>
      <vt:variant>
        <vt:i4>6553716</vt:i4>
      </vt:variant>
      <vt:variant>
        <vt:i4>1386</vt:i4>
      </vt:variant>
      <vt:variant>
        <vt:i4>0</vt:i4>
      </vt:variant>
      <vt:variant>
        <vt:i4>5</vt:i4>
      </vt:variant>
      <vt:variant>
        <vt:lpwstr>http://nsmascr.cz/o-nas/mistni-akncni-skupiny/</vt:lpwstr>
      </vt:variant>
      <vt:variant>
        <vt:lpwstr/>
      </vt:variant>
      <vt:variant>
        <vt:i4>18</vt:i4>
      </vt:variant>
      <vt:variant>
        <vt:i4>1383</vt:i4>
      </vt:variant>
      <vt:variant>
        <vt:i4>0</vt:i4>
      </vt:variant>
      <vt:variant>
        <vt:i4>5</vt:i4>
      </vt:variant>
      <vt:variant>
        <vt:lpwstr>http://www.asvep.cz/</vt:lpwstr>
      </vt:variant>
      <vt:variant>
        <vt:lpwstr/>
      </vt:variant>
      <vt:variant>
        <vt:i4>7143550</vt:i4>
      </vt:variant>
      <vt:variant>
        <vt:i4>1380</vt:i4>
      </vt:variant>
      <vt:variant>
        <vt:i4>0</vt:i4>
      </vt:variant>
      <vt:variant>
        <vt:i4>5</vt:i4>
      </vt:variant>
      <vt:variant>
        <vt:lpwstr>http://www.oze.cz/</vt:lpwstr>
      </vt:variant>
      <vt:variant>
        <vt:lpwstr/>
      </vt:variant>
      <vt:variant>
        <vt:i4>8061033</vt:i4>
      </vt:variant>
      <vt:variant>
        <vt:i4>1377</vt:i4>
      </vt:variant>
      <vt:variant>
        <vt:i4>0</vt:i4>
      </vt:variant>
      <vt:variant>
        <vt:i4>5</vt:i4>
      </vt:variant>
      <vt:variant>
        <vt:lpwstr>http://apes.cz/</vt:lpwstr>
      </vt:variant>
      <vt:variant>
        <vt:lpwstr/>
      </vt:variant>
      <vt:variant>
        <vt:i4>6946938</vt:i4>
      </vt:variant>
      <vt:variant>
        <vt:i4>1374</vt:i4>
      </vt:variant>
      <vt:variant>
        <vt:i4>0</vt:i4>
      </vt:variant>
      <vt:variant>
        <vt:i4>5</vt:i4>
      </vt:variant>
      <vt:variant>
        <vt:lpwstr>http://adtt.cz/</vt:lpwstr>
      </vt:variant>
      <vt:variant>
        <vt:lpwstr/>
      </vt:variant>
      <vt:variant>
        <vt:i4>6422654</vt:i4>
      </vt:variant>
      <vt:variant>
        <vt:i4>1371</vt:i4>
      </vt:variant>
      <vt:variant>
        <vt:i4>0</vt:i4>
      </vt:variant>
      <vt:variant>
        <vt:i4>5</vt:i4>
      </vt:variant>
      <vt:variant>
        <vt:lpwstr>http://www.asociacenno.cz/</vt:lpwstr>
      </vt:variant>
      <vt:variant>
        <vt:lpwstr/>
      </vt:variant>
      <vt:variant>
        <vt:i4>7143470</vt:i4>
      </vt:variant>
      <vt:variant>
        <vt:i4>1368</vt:i4>
      </vt:variant>
      <vt:variant>
        <vt:i4>0</vt:i4>
      </vt:variant>
      <vt:variant>
        <vt:i4>5</vt:i4>
      </vt:variant>
      <vt:variant>
        <vt:lpwstr>http://www.amsp.cz/</vt:lpwstr>
      </vt:variant>
      <vt:variant>
        <vt:lpwstr/>
      </vt:variant>
      <vt:variant>
        <vt:i4>6815792</vt:i4>
      </vt:variant>
      <vt:variant>
        <vt:i4>1365</vt:i4>
      </vt:variant>
      <vt:variant>
        <vt:i4>0</vt:i4>
      </vt:variant>
      <vt:variant>
        <vt:i4>5</vt:i4>
      </vt:variant>
      <vt:variant>
        <vt:lpwstr>http://www.spds.cz/</vt:lpwstr>
      </vt:variant>
      <vt:variant>
        <vt:lpwstr/>
      </vt:variant>
      <vt:variant>
        <vt:i4>589834</vt:i4>
      </vt:variant>
      <vt:variant>
        <vt:i4>1362</vt:i4>
      </vt:variant>
      <vt:variant>
        <vt:i4>0</vt:i4>
      </vt:variant>
      <vt:variant>
        <vt:i4>5</vt:i4>
      </vt:variant>
      <vt:variant>
        <vt:lpwstr>http://www.smocr.cz/</vt:lpwstr>
      </vt:variant>
      <vt:variant>
        <vt:lpwstr/>
      </vt:variant>
      <vt:variant>
        <vt:i4>7274545</vt:i4>
      </vt:variant>
      <vt:variant>
        <vt:i4>1359</vt:i4>
      </vt:variant>
      <vt:variant>
        <vt:i4>0</vt:i4>
      </vt:variant>
      <vt:variant>
        <vt:i4>5</vt:i4>
      </vt:variant>
      <vt:variant>
        <vt:lpwstr>http://www.spcr.cz/</vt:lpwstr>
      </vt:variant>
      <vt:variant>
        <vt:lpwstr/>
      </vt:variant>
      <vt:variant>
        <vt:i4>983113</vt:i4>
      </vt:variant>
      <vt:variant>
        <vt:i4>1356</vt:i4>
      </vt:variant>
      <vt:variant>
        <vt:i4>0</vt:i4>
      </vt:variant>
      <vt:variant>
        <vt:i4>5</vt:i4>
      </vt:variant>
      <vt:variant>
        <vt:lpwstr>http://www.agrocr.cz/</vt:lpwstr>
      </vt:variant>
      <vt:variant>
        <vt:lpwstr/>
      </vt:variant>
      <vt:variant>
        <vt:i4>7077930</vt:i4>
      </vt:variant>
      <vt:variant>
        <vt:i4>1353</vt:i4>
      </vt:variant>
      <vt:variant>
        <vt:i4>0</vt:i4>
      </vt:variant>
      <vt:variant>
        <vt:i4>5</vt:i4>
      </vt:variant>
      <vt:variant>
        <vt:lpwstr>http://www.pkcr.cz/</vt:lpwstr>
      </vt:variant>
      <vt:variant>
        <vt:lpwstr/>
      </vt:variant>
      <vt:variant>
        <vt:i4>720978</vt:i4>
      </vt:variant>
      <vt:variant>
        <vt:i4>1350</vt:i4>
      </vt:variant>
      <vt:variant>
        <vt:i4>0</vt:i4>
      </vt:variant>
      <vt:variant>
        <vt:i4>5</vt:i4>
      </vt:variant>
      <vt:variant>
        <vt:lpwstr>http://www.komora.cz/</vt:lpwstr>
      </vt:variant>
      <vt:variant>
        <vt:lpwstr/>
      </vt:variant>
      <vt:variant>
        <vt:i4>3997757</vt:i4>
      </vt:variant>
      <vt:variant>
        <vt:i4>1347</vt:i4>
      </vt:variant>
      <vt:variant>
        <vt:i4>0</vt:i4>
      </vt:variant>
      <vt:variant>
        <vt:i4>5</vt:i4>
      </vt:variant>
      <vt:variant>
        <vt:lpwstr>http://www.praha.eu/jnp/cz/home/index.html</vt:lpwstr>
      </vt:variant>
      <vt:variant>
        <vt:lpwstr/>
      </vt:variant>
      <vt:variant>
        <vt:i4>7274601</vt:i4>
      </vt:variant>
      <vt:variant>
        <vt:i4>1344</vt:i4>
      </vt:variant>
      <vt:variant>
        <vt:i4>0</vt:i4>
      </vt:variant>
      <vt:variant>
        <vt:i4>5</vt:i4>
      </vt:variant>
      <vt:variant>
        <vt:lpwstr>http://fpvs.cz/</vt:lpwstr>
      </vt:variant>
      <vt:variant>
        <vt:lpwstr/>
      </vt:variant>
      <vt:variant>
        <vt:i4>6553716</vt:i4>
      </vt:variant>
      <vt:variant>
        <vt:i4>1341</vt:i4>
      </vt:variant>
      <vt:variant>
        <vt:i4>0</vt:i4>
      </vt:variant>
      <vt:variant>
        <vt:i4>5</vt:i4>
      </vt:variant>
      <vt:variant>
        <vt:lpwstr>http://nsmascr.cz/o-nas/mistni-akncni-skupiny/</vt:lpwstr>
      </vt:variant>
      <vt:variant>
        <vt:lpwstr/>
      </vt:variant>
      <vt:variant>
        <vt:i4>6422654</vt:i4>
      </vt:variant>
      <vt:variant>
        <vt:i4>1338</vt:i4>
      </vt:variant>
      <vt:variant>
        <vt:i4>0</vt:i4>
      </vt:variant>
      <vt:variant>
        <vt:i4>5</vt:i4>
      </vt:variant>
      <vt:variant>
        <vt:lpwstr>http://www.asociacenno.cz/</vt:lpwstr>
      </vt:variant>
      <vt:variant>
        <vt:lpwstr/>
      </vt:variant>
      <vt:variant>
        <vt:i4>262158</vt:i4>
      </vt:variant>
      <vt:variant>
        <vt:i4>1335</vt:i4>
      </vt:variant>
      <vt:variant>
        <vt:i4>0</vt:i4>
      </vt:variant>
      <vt:variant>
        <vt:i4>5</vt:i4>
      </vt:variant>
      <vt:variant>
        <vt:lpwstr>http://www.aipcr.cz/</vt:lpwstr>
      </vt:variant>
      <vt:variant>
        <vt:lpwstr/>
      </vt:variant>
      <vt:variant>
        <vt:i4>7143470</vt:i4>
      </vt:variant>
      <vt:variant>
        <vt:i4>1332</vt:i4>
      </vt:variant>
      <vt:variant>
        <vt:i4>0</vt:i4>
      </vt:variant>
      <vt:variant>
        <vt:i4>5</vt:i4>
      </vt:variant>
      <vt:variant>
        <vt:lpwstr>http://www.amsp.cz/</vt:lpwstr>
      </vt:variant>
      <vt:variant>
        <vt:lpwstr/>
      </vt:variant>
      <vt:variant>
        <vt:i4>1900561</vt:i4>
      </vt:variant>
      <vt:variant>
        <vt:i4>1329</vt:i4>
      </vt:variant>
      <vt:variant>
        <vt:i4>0</vt:i4>
      </vt:variant>
      <vt:variant>
        <vt:i4>5</vt:i4>
      </vt:variant>
      <vt:variant>
        <vt:lpwstr>http://www.scmvd.cz/</vt:lpwstr>
      </vt:variant>
      <vt:variant>
        <vt:lpwstr/>
      </vt:variant>
      <vt:variant>
        <vt:i4>3211360</vt:i4>
      </vt:variant>
      <vt:variant>
        <vt:i4>1326</vt:i4>
      </vt:variant>
      <vt:variant>
        <vt:i4>0</vt:i4>
      </vt:variant>
      <vt:variant>
        <vt:i4>5</vt:i4>
      </vt:variant>
      <vt:variant>
        <vt:lpwstr>http://www.sps.cz/index.ASP</vt:lpwstr>
      </vt:variant>
      <vt:variant>
        <vt:lpwstr/>
      </vt:variant>
      <vt:variant>
        <vt:i4>7274542</vt:i4>
      </vt:variant>
      <vt:variant>
        <vt:i4>1323</vt:i4>
      </vt:variant>
      <vt:variant>
        <vt:i4>0</vt:i4>
      </vt:variant>
      <vt:variant>
        <vt:i4>5</vt:i4>
      </vt:variant>
      <vt:variant>
        <vt:lpwstr>http://www.socr.cz/</vt:lpwstr>
      </vt:variant>
      <vt:variant>
        <vt:lpwstr/>
      </vt:variant>
      <vt:variant>
        <vt:i4>7274545</vt:i4>
      </vt:variant>
      <vt:variant>
        <vt:i4>1320</vt:i4>
      </vt:variant>
      <vt:variant>
        <vt:i4>0</vt:i4>
      </vt:variant>
      <vt:variant>
        <vt:i4>5</vt:i4>
      </vt:variant>
      <vt:variant>
        <vt:lpwstr>http://www.spcr.cz/</vt:lpwstr>
      </vt:variant>
      <vt:variant>
        <vt:lpwstr/>
      </vt:variant>
      <vt:variant>
        <vt:i4>1835035</vt:i4>
      </vt:variant>
      <vt:variant>
        <vt:i4>1317</vt:i4>
      </vt:variant>
      <vt:variant>
        <vt:i4>0</vt:i4>
      </vt:variant>
      <vt:variant>
        <vt:i4>5</vt:i4>
      </vt:variant>
      <vt:variant>
        <vt:lpwstr>http://www.cmzrb.cz/</vt:lpwstr>
      </vt:variant>
      <vt:variant>
        <vt:lpwstr/>
      </vt:variant>
      <vt:variant>
        <vt:i4>720978</vt:i4>
      </vt:variant>
      <vt:variant>
        <vt:i4>1314</vt:i4>
      </vt:variant>
      <vt:variant>
        <vt:i4>0</vt:i4>
      </vt:variant>
      <vt:variant>
        <vt:i4>5</vt:i4>
      </vt:variant>
      <vt:variant>
        <vt:lpwstr>http://www.komora.cz/</vt:lpwstr>
      </vt:variant>
      <vt:variant>
        <vt:lpwstr/>
      </vt:variant>
      <vt:variant>
        <vt:i4>6815865</vt:i4>
      </vt:variant>
      <vt:variant>
        <vt:i4>1311</vt:i4>
      </vt:variant>
      <vt:variant>
        <vt:i4>0</vt:i4>
      </vt:variant>
      <vt:variant>
        <vt:i4>5</vt:i4>
      </vt:variant>
      <vt:variant>
        <vt:lpwstr>http://tacr.cz/</vt:lpwstr>
      </vt:variant>
      <vt:variant>
        <vt:lpwstr/>
      </vt:variant>
      <vt:variant>
        <vt:i4>7209069</vt:i4>
      </vt:variant>
      <vt:variant>
        <vt:i4>1308</vt:i4>
      </vt:variant>
      <vt:variant>
        <vt:i4>0</vt:i4>
      </vt:variant>
      <vt:variant>
        <vt:i4>5</vt:i4>
      </vt:variant>
      <vt:variant>
        <vt:lpwstr>http://www.jic.cz/</vt:lpwstr>
      </vt:variant>
      <vt:variant>
        <vt:lpwstr/>
      </vt:variant>
      <vt:variant>
        <vt:i4>983058</vt:i4>
      </vt:variant>
      <vt:variant>
        <vt:i4>1305</vt:i4>
      </vt:variant>
      <vt:variant>
        <vt:i4>0</vt:i4>
      </vt:variant>
      <vt:variant>
        <vt:i4>5</vt:i4>
      </vt:variant>
      <vt:variant>
        <vt:lpwstr>http://www.mdcr.cz/cs/default.htm</vt:lpwstr>
      </vt:variant>
      <vt:variant>
        <vt:lpwstr/>
      </vt:variant>
      <vt:variant>
        <vt:i4>2949225</vt:i4>
      </vt:variant>
      <vt:variant>
        <vt:i4>1302</vt:i4>
      </vt:variant>
      <vt:variant>
        <vt:i4>0</vt:i4>
      </vt:variant>
      <vt:variant>
        <vt:i4>5</vt:i4>
      </vt:variant>
      <vt:variant>
        <vt:lpwstr>http://www.mpsv.cz/cs/</vt:lpwstr>
      </vt:variant>
      <vt:variant>
        <vt:lpwstr/>
      </vt:variant>
      <vt:variant>
        <vt:i4>7405610</vt:i4>
      </vt:variant>
      <vt:variant>
        <vt:i4>1299</vt:i4>
      </vt:variant>
      <vt:variant>
        <vt:i4>0</vt:i4>
      </vt:variant>
      <vt:variant>
        <vt:i4>5</vt:i4>
      </vt:variant>
      <vt:variant>
        <vt:lpwstr>http://www.mkcr.cz/</vt:lpwstr>
      </vt:variant>
      <vt:variant>
        <vt:lpwstr/>
      </vt:variant>
      <vt:variant>
        <vt:i4>8323124</vt:i4>
      </vt:variant>
      <vt:variant>
        <vt:i4>1296</vt:i4>
      </vt:variant>
      <vt:variant>
        <vt:i4>0</vt:i4>
      </vt:variant>
      <vt:variant>
        <vt:i4>5</vt:i4>
      </vt:variant>
      <vt:variant>
        <vt:lpwstr>http://www.msmt.cz/</vt:lpwstr>
      </vt:variant>
      <vt:variant>
        <vt:lpwstr/>
      </vt:variant>
      <vt:variant>
        <vt:i4>3997757</vt:i4>
      </vt:variant>
      <vt:variant>
        <vt:i4>1293</vt:i4>
      </vt:variant>
      <vt:variant>
        <vt:i4>0</vt:i4>
      </vt:variant>
      <vt:variant>
        <vt:i4>5</vt:i4>
      </vt:variant>
      <vt:variant>
        <vt:lpwstr>http://www.praha.eu/jnp/cz/home/index.html</vt:lpwstr>
      </vt:variant>
      <vt:variant>
        <vt:lpwstr/>
      </vt:variant>
      <vt:variant>
        <vt:i4>6553716</vt:i4>
      </vt:variant>
      <vt:variant>
        <vt:i4>1290</vt:i4>
      </vt:variant>
      <vt:variant>
        <vt:i4>0</vt:i4>
      </vt:variant>
      <vt:variant>
        <vt:i4>5</vt:i4>
      </vt:variant>
      <vt:variant>
        <vt:lpwstr>http://nsmascr.cz/o-nas/mistni-akncni-skupiny/</vt:lpwstr>
      </vt:variant>
      <vt:variant>
        <vt:lpwstr/>
      </vt:variant>
      <vt:variant>
        <vt:i4>7340144</vt:i4>
      </vt:variant>
      <vt:variant>
        <vt:i4>1287</vt:i4>
      </vt:variant>
      <vt:variant>
        <vt:i4>0</vt:i4>
      </vt:variant>
      <vt:variant>
        <vt:i4>5</vt:i4>
      </vt:variant>
      <vt:variant>
        <vt:lpwstr>http://www.utb.cz/</vt:lpwstr>
      </vt:variant>
      <vt:variant>
        <vt:lpwstr/>
      </vt:variant>
      <vt:variant>
        <vt:i4>8126506</vt:i4>
      </vt:variant>
      <vt:variant>
        <vt:i4>1284</vt:i4>
      </vt:variant>
      <vt:variant>
        <vt:i4>0</vt:i4>
      </vt:variant>
      <vt:variant>
        <vt:i4>5</vt:i4>
      </vt:variant>
      <vt:variant>
        <vt:lpwstr>http://crc.muni.cz/</vt:lpwstr>
      </vt:variant>
      <vt:variant>
        <vt:lpwstr/>
      </vt:variant>
      <vt:variant>
        <vt:i4>6553658</vt:i4>
      </vt:variant>
      <vt:variant>
        <vt:i4>1281</vt:i4>
      </vt:variant>
      <vt:variant>
        <vt:i4>0</vt:i4>
      </vt:variant>
      <vt:variant>
        <vt:i4>5</vt:i4>
      </vt:variant>
      <vt:variant>
        <vt:lpwstr>http://www.kzps.cz/</vt:lpwstr>
      </vt:variant>
      <vt:variant>
        <vt:lpwstr/>
      </vt:variant>
      <vt:variant>
        <vt:i4>6422654</vt:i4>
      </vt:variant>
      <vt:variant>
        <vt:i4>1278</vt:i4>
      </vt:variant>
      <vt:variant>
        <vt:i4>0</vt:i4>
      </vt:variant>
      <vt:variant>
        <vt:i4>5</vt:i4>
      </vt:variant>
      <vt:variant>
        <vt:lpwstr>http://www.asociacenno.cz/</vt:lpwstr>
      </vt:variant>
      <vt:variant>
        <vt:lpwstr/>
      </vt:variant>
      <vt:variant>
        <vt:i4>7143470</vt:i4>
      </vt:variant>
      <vt:variant>
        <vt:i4>1275</vt:i4>
      </vt:variant>
      <vt:variant>
        <vt:i4>0</vt:i4>
      </vt:variant>
      <vt:variant>
        <vt:i4>5</vt:i4>
      </vt:variant>
      <vt:variant>
        <vt:lpwstr>http://www.amsp.cz/</vt:lpwstr>
      </vt:variant>
      <vt:variant>
        <vt:lpwstr/>
      </vt:variant>
      <vt:variant>
        <vt:i4>262158</vt:i4>
      </vt:variant>
      <vt:variant>
        <vt:i4>1272</vt:i4>
      </vt:variant>
      <vt:variant>
        <vt:i4>0</vt:i4>
      </vt:variant>
      <vt:variant>
        <vt:i4>5</vt:i4>
      </vt:variant>
      <vt:variant>
        <vt:lpwstr>http://www.aipcr.cz/</vt:lpwstr>
      </vt:variant>
      <vt:variant>
        <vt:lpwstr/>
      </vt:variant>
      <vt:variant>
        <vt:i4>6881394</vt:i4>
      </vt:variant>
      <vt:variant>
        <vt:i4>1269</vt:i4>
      </vt:variant>
      <vt:variant>
        <vt:i4>0</vt:i4>
      </vt:variant>
      <vt:variant>
        <vt:i4>5</vt:i4>
      </vt:variant>
      <vt:variant>
        <vt:lpwstr>http://www.avo.cz/</vt:lpwstr>
      </vt:variant>
      <vt:variant>
        <vt:lpwstr/>
      </vt:variant>
      <vt:variant>
        <vt:i4>589834</vt:i4>
      </vt:variant>
      <vt:variant>
        <vt:i4>1266</vt:i4>
      </vt:variant>
      <vt:variant>
        <vt:i4>0</vt:i4>
      </vt:variant>
      <vt:variant>
        <vt:i4>5</vt:i4>
      </vt:variant>
      <vt:variant>
        <vt:lpwstr>http://www.smocr.cz/</vt:lpwstr>
      </vt:variant>
      <vt:variant>
        <vt:lpwstr/>
      </vt:variant>
      <vt:variant>
        <vt:i4>7274542</vt:i4>
      </vt:variant>
      <vt:variant>
        <vt:i4>1263</vt:i4>
      </vt:variant>
      <vt:variant>
        <vt:i4>0</vt:i4>
      </vt:variant>
      <vt:variant>
        <vt:i4>5</vt:i4>
      </vt:variant>
      <vt:variant>
        <vt:lpwstr>http://www.socr.cz/</vt:lpwstr>
      </vt:variant>
      <vt:variant>
        <vt:lpwstr/>
      </vt:variant>
      <vt:variant>
        <vt:i4>7274545</vt:i4>
      </vt:variant>
      <vt:variant>
        <vt:i4>1260</vt:i4>
      </vt:variant>
      <vt:variant>
        <vt:i4>0</vt:i4>
      </vt:variant>
      <vt:variant>
        <vt:i4>5</vt:i4>
      </vt:variant>
      <vt:variant>
        <vt:lpwstr>http://www.spcr.cz/</vt:lpwstr>
      </vt:variant>
      <vt:variant>
        <vt:lpwstr/>
      </vt:variant>
      <vt:variant>
        <vt:i4>7077930</vt:i4>
      </vt:variant>
      <vt:variant>
        <vt:i4>1257</vt:i4>
      </vt:variant>
      <vt:variant>
        <vt:i4>0</vt:i4>
      </vt:variant>
      <vt:variant>
        <vt:i4>5</vt:i4>
      </vt:variant>
      <vt:variant>
        <vt:lpwstr>http://www.pkcr.cz/</vt:lpwstr>
      </vt:variant>
      <vt:variant>
        <vt:lpwstr/>
      </vt:variant>
      <vt:variant>
        <vt:i4>720978</vt:i4>
      </vt:variant>
      <vt:variant>
        <vt:i4>1254</vt:i4>
      </vt:variant>
      <vt:variant>
        <vt:i4>0</vt:i4>
      </vt:variant>
      <vt:variant>
        <vt:i4>5</vt:i4>
      </vt:variant>
      <vt:variant>
        <vt:lpwstr>http://www.komora.cz/</vt:lpwstr>
      </vt:variant>
      <vt:variant>
        <vt:lpwstr/>
      </vt:variant>
      <vt:variant>
        <vt:i4>7209069</vt:i4>
      </vt:variant>
      <vt:variant>
        <vt:i4>1251</vt:i4>
      </vt:variant>
      <vt:variant>
        <vt:i4>0</vt:i4>
      </vt:variant>
      <vt:variant>
        <vt:i4>5</vt:i4>
      </vt:variant>
      <vt:variant>
        <vt:lpwstr>http://www.jic.cz/</vt:lpwstr>
      </vt:variant>
      <vt:variant>
        <vt:lpwstr/>
      </vt:variant>
      <vt:variant>
        <vt:i4>4653068</vt:i4>
      </vt:variant>
      <vt:variant>
        <vt:i4>1248</vt:i4>
      </vt:variant>
      <vt:variant>
        <vt:i4>0</vt:i4>
      </vt:variant>
      <vt:variant>
        <vt:i4>5</vt:i4>
      </vt:variant>
      <vt:variant>
        <vt:lpwstr>http://www.tc.cz/cs/</vt:lpwstr>
      </vt:variant>
      <vt:variant>
        <vt:lpwstr/>
      </vt:variant>
      <vt:variant>
        <vt:i4>6815865</vt:i4>
      </vt:variant>
      <vt:variant>
        <vt:i4>1245</vt:i4>
      </vt:variant>
      <vt:variant>
        <vt:i4>0</vt:i4>
      </vt:variant>
      <vt:variant>
        <vt:i4>5</vt:i4>
      </vt:variant>
      <vt:variant>
        <vt:lpwstr>http://tacr.cz/</vt:lpwstr>
      </vt:variant>
      <vt:variant>
        <vt:lpwstr/>
      </vt:variant>
      <vt:variant>
        <vt:i4>983058</vt:i4>
      </vt:variant>
      <vt:variant>
        <vt:i4>1242</vt:i4>
      </vt:variant>
      <vt:variant>
        <vt:i4>0</vt:i4>
      </vt:variant>
      <vt:variant>
        <vt:i4>5</vt:i4>
      </vt:variant>
      <vt:variant>
        <vt:lpwstr>http://www.mdcr.cz/cs/default.htm</vt:lpwstr>
      </vt:variant>
      <vt:variant>
        <vt:lpwstr/>
      </vt:variant>
      <vt:variant>
        <vt:i4>7405610</vt:i4>
      </vt:variant>
      <vt:variant>
        <vt:i4>1239</vt:i4>
      </vt:variant>
      <vt:variant>
        <vt:i4>0</vt:i4>
      </vt:variant>
      <vt:variant>
        <vt:i4>5</vt:i4>
      </vt:variant>
      <vt:variant>
        <vt:lpwstr>http://www.mkcr.cz/</vt:lpwstr>
      </vt:variant>
      <vt:variant>
        <vt:lpwstr/>
      </vt:variant>
      <vt:variant>
        <vt:i4>8323124</vt:i4>
      </vt:variant>
      <vt:variant>
        <vt:i4>1236</vt:i4>
      </vt:variant>
      <vt:variant>
        <vt:i4>0</vt:i4>
      </vt:variant>
      <vt:variant>
        <vt:i4>5</vt:i4>
      </vt:variant>
      <vt:variant>
        <vt:lpwstr>http://www.msmt.cz/</vt:lpwstr>
      </vt:variant>
      <vt:variant>
        <vt:lpwstr/>
      </vt:variant>
      <vt:variant>
        <vt:i4>3997757</vt:i4>
      </vt:variant>
      <vt:variant>
        <vt:i4>1233</vt:i4>
      </vt:variant>
      <vt:variant>
        <vt:i4>0</vt:i4>
      </vt:variant>
      <vt:variant>
        <vt:i4>5</vt:i4>
      </vt:variant>
      <vt:variant>
        <vt:lpwstr>http://www.praha.eu/jnp/cz/home/index.html</vt:lpwstr>
      </vt:variant>
      <vt:variant>
        <vt:lpwstr/>
      </vt:variant>
      <vt:variant>
        <vt:i4>7274534</vt:i4>
      </vt:variant>
      <vt:variant>
        <vt:i4>1230</vt:i4>
      </vt:variant>
      <vt:variant>
        <vt:i4>0</vt:i4>
      </vt:variant>
      <vt:variant>
        <vt:i4>5</vt:i4>
      </vt:variant>
      <vt:variant>
        <vt:lpwstr>http://www.czso.cz/</vt:lpwstr>
      </vt:variant>
      <vt:variant>
        <vt:lpwstr/>
      </vt:variant>
      <vt:variant>
        <vt:i4>6553716</vt:i4>
      </vt:variant>
      <vt:variant>
        <vt:i4>1227</vt:i4>
      </vt:variant>
      <vt:variant>
        <vt:i4>0</vt:i4>
      </vt:variant>
      <vt:variant>
        <vt:i4>5</vt:i4>
      </vt:variant>
      <vt:variant>
        <vt:lpwstr>http://nsmascr.cz/o-nas/mistni-akncni-skupiny/</vt:lpwstr>
      </vt:variant>
      <vt:variant>
        <vt:lpwstr/>
      </vt:variant>
      <vt:variant>
        <vt:i4>6422654</vt:i4>
      </vt:variant>
      <vt:variant>
        <vt:i4>1224</vt:i4>
      </vt:variant>
      <vt:variant>
        <vt:i4>0</vt:i4>
      </vt:variant>
      <vt:variant>
        <vt:i4>5</vt:i4>
      </vt:variant>
      <vt:variant>
        <vt:lpwstr>http://www.asociacenno.cz/</vt:lpwstr>
      </vt:variant>
      <vt:variant>
        <vt:lpwstr/>
      </vt:variant>
      <vt:variant>
        <vt:i4>1835016</vt:i4>
      </vt:variant>
      <vt:variant>
        <vt:i4>1221</vt:i4>
      </vt:variant>
      <vt:variant>
        <vt:i4>0</vt:i4>
      </vt:variant>
      <vt:variant>
        <vt:i4>5</vt:i4>
      </vt:variant>
      <vt:variant>
        <vt:lpwstr>http://www.asociacekraju.cz/</vt:lpwstr>
      </vt:variant>
      <vt:variant>
        <vt:lpwstr/>
      </vt:variant>
      <vt:variant>
        <vt:i4>7143470</vt:i4>
      </vt:variant>
      <vt:variant>
        <vt:i4>1218</vt:i4>
      </vt:variant>
      <vt:variant>
        <vt:i4>0</vt:i4>
      </vt:variant>
      <vt:variant>
        <vt:i4>5</vt:i4>
      </vt:variant>
      <vt:variant>
        <vt:lpwstr>http://www.amsp.cz/</vt:lpwstr>
      </vt:variant>
      <vt:variant>
        <vt:lpwstr/>
      </vt:variant>
      <vt:variant>
        <vt:i4>6553658</vt:i4>
      </vt:variant>
      <vt:variant>
        <vt:i4>1215</vt:i4>
      </vt:variant>
      <vt:variant>
        <vt:i4>0</vt:i4>
      </vt:variant>
      <vt:variant>
        <vt:i4>5</vt:i4>
      </vt:variant>
      <vt:variant>
        <vt:lpwstr>http://www.kzps.cz/</vt:lpwstr>
      </vt:variant>
      <vt:variant>
        <vt:lpwstr/>
      </vt:variant>
      <vt:variant>
        <vt:i4>1835014</vt:i4>
      </vt:variant>
      <vt:variant>
        <vt:i4>1212</vt:i4>
      </vt:variant>
      <vt:variant>
        <vt:i4>0</vt:i4>
      </vt:variant>
      <vt:variant>
        <vt:i4>5</vt:i4>
      </vt:variant>
      <vt:variant>
        <vt:lpwstr>http://www.cmkos.cz/</vt:lpwstr>
      </vt:variant>
      <vt:variant>
        <vt:lpwstr/>
      </vt:variant>
      <vt:variant>
        <vt:i4>1376266</vt:i4>
      </vt:variant>
      <vt:variant>
        <vt:i4>1209</vt:i4>
      </vt:variant>
      <vt:variant>
        <vt:i4>0</vt:i4>
      </vt:variant>
      <vt:variant>
        <vt:i4>5</vt:i4>
      </vt:variant>
      <vt:variant>
        <vt:lpwstr>http://www.smscr.cz/</vt:lpwstr>
      </vt:variant>
      <vt:variant>
        <vt:lpwstr/>
      </vt:variant>
      <vt:variant>
        <vt:i4>589834</vt:i4>
      </vt:variant>
      <vt:variant>
        <vt:i4>1206</vt:i4>
      </vt:variant>
      <vt:variant>
        <vt:i4>0</vt:i4>
      </vt:variant>
      <vt:variant>
        <vt:i4>5</vt:i4>
      </vt:variant>
      <vt:variant>
        <vt:lpwstr>http://www.smocr.cz/</vt:lpwstr>
      </vt:variant>
      <vt:variant>
        <vt:lpwstr/>
      </vt:variant>
      <vt:variant>
        <vt:i4>3211360</vt:i4>
      </vt:variant>
      <vt:variant>
        <vt:i4>1203</vt:i4>
      </vt:variant>
      <vt:variant>
        <vt:i4>0</vt:i4>
      </vt:variant>
      <vt:variant>
        <vt:i4>5</vt:i4>
      </vt:variant>
      <vt:variant>
        <vt:lpwstr>http://www.sps.cz/index.ASP</vt:lpwstr>
      </vt:variant>
      <vt:variant>
        <vt:lpwstr/>
      </vt:variant>
      <vt:variant>
        <vt:i4>7274542</vt:i4>
      </vt:variant>
      <vt:variant>
        <vt:i4>1200</vt:i4>
      </vt:variant>
      <vt:variant>
        <vt:i4>0</vt:i4>
      </vt:variant>
      <vt:variant>
        <vt:i4>5</vt:i4>
      </vt:variant>
      <vt:variant>
        <vt:lpwstr>http://www.socr.cz/</vt:lpwstr>
      </vt:variant>
      <vt:variant>
        <vt:lpwstr/>
      </vt:variant>
      <vt:variant>
        <vt:i4>7274545</vt:i4>
      </vt:variant>
      <vt:variant>
        <vt:i4>1197</vt:i4>
      </vt:variant>
      <vt:variant>
        <vt:i4>0</vt:i4>
      </vt:variant>
      <vt:variant>
        <vt:i4>5</vt:i4>
      </vt:variant>
      <vt:variant>
        <vt:lpwstr>http://www.spcr.cz/</vt:lpwstr>
      </vt:variant>
      <vt:variant>
        <vt:lpwstr/>
      </vt:variant>
      <vt:variant>
        <vt:i4>5898269</vt:i4>
      </vt:variant>
      <vt:variant>
        <vt:i4>1194</vt:i4>
      </vt:variant>
      <vt:variant>
        <vt:i4>0</vt:i4>
      </vt:variant>
      <vt:variant>
        <vt:i4>5</vt:i4>
      </vt:variant>
      <vt:variant>
        <vt:lpwstr>http://www.vyzkum.cz/FrontClanek.aspx?idsekce=496</vt:lpwstr>
      </vt:variant>
      <vt:variant>
        <vt:lpwstr/>
      </vt:variant>
      <vt:variant>
        <vt:i4>1835035</vt:i4>
      </vt:variant>
      <vt:variant>
        <vt:i4>1191</vt:i4>
      </vt:variant>
      <vt:variant>
        <vt:i4>0</vt:i4>
      </vt:variant>
      <vt:variant>
        <vt:i4>5</vt:i4>
      </vt:variant>
      <vt:variant>
        <vt:lpwstr>http://www.cmzrb.cz/</vt:lpwstr>
      </vt:variant>
      <vt:variant>
        <vt:lpwstr/>
      </vt:variant>
      <vt:variant>
        <vt:i4>6815865</vt:i4>
      </vt:variant>
      <vt:variant>
        <vt:i4>1188</vt:i4>
      </vt:variant>
      <vt:variant>
        <vt:i4>0</vt:i4>
      </vt:variant>
      <vt:variant>
        <vt:i4>5</vt:i4>
      </vt:variant>
      <vt:variant>
        <vt:lpwstr>http://tacr.cz/</vt:lpwstr>
      </vt:variant>
      <vt:variant>
        <vt:lpwstr/>
      </vt:variant>
      <vt:variant>
        <vt:i4>7077930</vt:i4>
      </vt:variant>
      <vt:variant>
        <vt:i4>1185</vt:i4>
      </vt:variant>
      <vt:variant>
        <vt:i4>0</vt:i4>
      </vt:variant>
      <vt:variant>
        <vt:i4>5</vt:i4>
      </vt:variant>
      <vt:variant>
        <vt:lpwstr>http://www.pkcr.cz/</vt:lpwstr>
      </vt:variant>
      <vt:variant>
        <vt:lpwstr/>
      </vt:variant>
      <vt:variant>
        <vt:i4>720978</vt:i4>
      </vt:variant>
      <vt:variant>
        <vt:i4>1182</vt:i4>
      </vt:variant>
      <vt:variant>
        <vt:i4>0</vt:i4>
      </vt:variant>
      <vt:variant>
        <vt:i4>5</vt:i4>
      </vt:variant>
      <vt:variant>
        <vt:lpwstr>http://www.komora.cz/</vt:lpwstr>
      </vt:variant>
      <vt:variant>
        <vt:lpwstr/>
      </vt:variant>
      <vt:variant>
        <vt:i4>3276832</vt:i4>
      </vt:variant>
      <vt:variant>
        <vt:i4>1179</vt:i4>
      </vt:variant>
      <vt:variant>
        <vt:i4>0</vt:i4>
      </vt:variant>
      <vt:variant>
        <vt:i4>5</vt:i4>
      </vt:variant>
      <vt:variant>
        <vt:lpwstr>http://czechinvest.org/</vt:lpwstr>
      </vt:variant>
      <vt:variant>
        <vt:lpwstr/>
      </vt:variant>
      <vt:variant>
        <vt:i4>983058</vt:i4>
      </vt:variant>
      <vt:variant>
        <vt:i4>1176</vt:i4>
      </vt:variant>
      <vt:variant>
        <vt:i4>0</vt:i4>
      </vt:variant>
      <vt:variant>
        <vt:i4>5</vt:i4>
      </vt:variant>
      <vt:variant>
        <vt:lpwstr>http://www.mdcr.cz/cs/default.htm</vt:lpwstr>
      </vt:variant>
      <vt:variant>
        <vt:lpwstr/>
      </vt:variant>
      <vt:variant>
        <vt:i4>1638426</vt:i4>
      </vt:variant>
      <vt:variant>
        <vt:i4>1173</vt:i4>
      </vt:variant>
      <vt:variant>
        <vt:i4>0</vt:i4>
      </vt:variant>
      <vt:variant>
        <vt:i4>5</vt:i4>
      </vt:variant>
      <vt:variant>
        <vt:lpwstr>http://eagri.cz/public/web/mze/ministerstvo-zemedelstvi/</vt:lpwstr>
      </vt:variant>
      <vt:variant>
        <vt:lpwstr/>
      </vt:variant>
      <vt:variant>
        <vt:i4>8323124</vt:i4>
      </vt:variant>
      <vt:variant>
        <vt:i4>1170</vt:i4>
      </vt:variant>
      <vt:variant>
        <vt:i4>0</vt:i4>
      </vt:variant>
      <vt:variant>
        <vt:i4>5</vt:i4>
      </vt:variant>
      <vt:variant>
        <vt:lpwstr>http://www.msmt.cz/</vt:lpwstr>
      </vt:variant>
      <vt:variant>
        <vt:lpwstr/>
      </vt:variant>
      <vt:variant>
        <vt:i4>2949225</vt:i4>
      </vt:variant>
      <vt:variant>
        <vt:i4>1167</vt:i4>
      </vt:variant>
      <vt:variant>
        <vt:i4>0</vt:i4>
      </vt:variant>
      <vt:variant>
        <vt:i4>5</vt:i4>
      </vt:variant>
      <vt:variant>
        <vt:lpwstr>http://www.mpsv.cz/cs/</vt:lpwstr>
      </vt:variant>
      <vt:variant>
        <vt:lpwstr/>
      </vt:variant>
      <vt:variant>
        <vt:i4>7995431</vt:i4>
      </vt:variant>
      <vt:variant>
        <vt:i4>1164</vt:i4>
      </vt:variant>
      <vt:variant>
        <vt:i4>0</vt:i4>
      </vt:variant>
      <vt:variant>
        <vt:i4>5</vt:i4>
      </vt:variant>
      <vt:variant>
        <vt:lpwstr>http://mzp.cz/</vt:lpwstr>
      </vt:variant>
      <vt:variant>
        <vt:lpwstr/>
      </vt:variant>
      <vt:variant>
        <vt:i4>4784152</vt:i4>
      </vt:variant>
      <vt:variant>
        <vt:i4>1161</vt:i4>
      </vt:variant>
      <vt:variant>
        <vt:i4>0</vt:i4>
      </vt:variant>
      <vt:variant>
        <vt:i4>5</vt:i4>
      </vt:variant>
      <vt:variant>
        <vt:lpwstr>http://www.mfcr.cz/cps/rde/xchg/</vt:lpwstr>
      </vt:variant>
      <vt:variant>
        <vt:lpwstr/>
      </vt:variant>
      <vt:variant>
        <vt:i4>2490417</vt:i4>
      </vt:variant>
      <vt:variant>
        <vt:i4>1158</vt:i4>
      </vt:variant>
      <vt:variant>
        <vt:i4>0</vt:i4>
      </vt:variant>
      <vt:variant>
        <vt:i4>5</vt:i4>
      </vt:variant>
      <vt:variant>
        <vt:lpwstr>http://www.mmr.cz/cs/Uvodni-strana</vt:lpwstr>
      </vt:variant>
      <vt:variant>
        <vt:lpwstr/>
      </vt:variant>
      <vt:variant>
        <vt:i4>5111892</vt:i4>
      </vt:variant>
      <vt:variant>
        <vt:i4>1146</vt:i4>
      </vt:variant>
      <vt:variant>
        <vt:i4>0</vt:i4>
      </vt:variant>
      <vt:variant>
        <vt:i4>5</vt:i4>
      </vt:variant>
      <vt:variant>
        <vt:lpwstr>http://www.vlada.cz/assets/evropske-zalezitosti/aktualne/NPR-2014.pdf</vt:lpwstr>
      </vt:variant>
      <vt:variant>
        <vt:lpwstr/>
      </vt:variant>
      <vt:variant>
        <vt:i4>5963805</vt:i4>
      </vt:variant>
      <vt:variant>
        <vt:i4>1143</vt:i4>
      </vt:variant>
      <vt:variant>
        <vt:i4>0</vt:i4>
      </vt:variant>
      <vt:variant>
        <vt:i4>5</vt:i4>
      </vt:variant>
      <vt:variant>
        <vt:lpwstr>http://www.mpo.cz/dokument119071.html</vt:lpwstr>
      </vt:variant>
      <vt:variant>
        <vt:lpwstr/>
      </vt:variant>
      <vt:variant>
        <vt:i4>5767196</vt:i4>
      </vt:variant>
      <vt:variant>
        <vt:i4>1140</vt:i4>
      </vt:variant>
      <vt:variant>
        <vt:i4>0</vt:i4>
      </vt:variant>
      <vt:variant>
        <vt:i4>5</vt:i4>
      </vt:variant>
      <vt:variant>
        <vt:lpwstr>http://www.vlada.cz/assets/media-centrum/aktualne/Strategie-mezinarodni-konkurenceschopnosti-Ceske-republiky.pdf</vt:lpwstr>
      </vt:variant>
      <vt:variant>
        <vt:lpwstr/>
      </vt:variant>
      <vt:variant>
        <vt:i4>6160403</vt:i4>
      </vt:variant>
      <vt:variant>
        <vt:i4>1137</vt:i4>
      </vt:variant>
      <vt:variant>
        <vt:i4>0</vt:i4>
      </vt:variant>
      <vt:variant>
        <vt:i4>5</vt:i4>
      </vt:variant>
      <vt:variant>
        <vt:lpwstr>http://www.mpo.cz/dokument144140.html</vt:lpwstr>
      </vt:variant>
      <vt:variant>
        <vt:lpwstr/>
      </vt:variant>
      <vt:variant>
        <vt:i4>5111892</vt:i4>
      </vt:variant>
      <vt:variant>
        <vt:i4>1134</vt:i4>
      </vt:variant>
      <vt:variant>
        <vt:i4>0</vt:i4>
      </vt:variant>
      <vt:variant>
        <vt:i4>5</vt:i4>
      </vt:variant>
      <vt:variant>
        <vt:lpwstr>http://www.vlada.cz/assets/evropske-zalezitosti/aktualne/NPR-2014.pdf</vt:lpwstr>
      </vt:variant>
      <vt:variant>
        <vt:lpwstr/>
      </vt:variant>
      <vt:variant>
        <vt:i4>5963805</vt:i4>
      </vt:variant>
      <vt:variant>
        <vt:i4>1131</vt:i4>
      </vt:variant>
      <vt:variant>
        <vt:i4>0</vt:i4>
      </vt:variant>
      <vt:variant>
        <vt:i4>5</vt:i4>
      </vt:variant>
      <vt:variant>
        <vt:lpwstr>http://www.mpo.cz/dokument119071.html</vt:lpwstr>
      </vt:variant>
      <vt:variant>
        <vt:lpwstr/>
      </vt:variant>
      <vt:variant>
        <vt:i4>5767196</vt:i4>
      </vt:variant>
      <vt:variant>
        <vt:i4>1128</vt:i4>
      </vt:variant>
      <vt:variant>
        <vt:i4>0</vt:i4>
      </vt:variant>
      <vt:variant>
        <vt:i4>5</vt:i4>
      </vt:variant>
      <vt:variant>
        <vt:lpwstr>http://www.vlada.cz/assets/media-centrum/aktualne/Strategie-mezinarodni-konkurenceschopnosti-Ceske-republiky.pdf</vt:lpwstr>
      </vt:variant>
      <vt:variant>
        <vt:lpwstr/>
      </vt:variant>
      <vt:variant>
        <vt:i4>6750266</vt:i4>
      </vt:variant>
      <vt:variant>
        <vt:i4>1125</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1122</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1119</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1116</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1113</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1110</vt:i4>
      </vt:variant>
      <vt:variant>
        <vt:i4>0</vt:i4>
      </vt:variant>
      <vt:variant>
        <vt:i4>5</vt:i4>
      </vt:variant>
      <vt:variant>
        <vt:lpwstr>http://portal.gov.cz/app/zakony/zakonPar.jsp?idBiblio=49962&amp;fulltext=&amp;nr=458~2F2000&amp;part=&amp;name=&amp;rpp=15</vt:lpwstr>
      </vt:variant>
      <vt:variant>
        <vt:lpwstr>local-content</vt:lpwstr>
      </vt:variant>
      <vt:variant>
        <vt:i4>6750266</vt:i4>
      </vt:variant>
      <vt:variant>
        <vt:i4>1107</vt:i4>
      </vt:variant>
      <vt:variant>
        <vt:i4>0</vt:i4>
      </vt:variant>
      <vt:variant>
        <vt:i4>5</vt:i4>
      </vt:variant>
      <vt:variant>
        <vt:lpwstr>http://portal.gov.cz/app/zakony/zakonPar.jsp?idBiblio=49962&amp;fulltext=&amp;nr=458~2F2000&amp;part=&amp;name=&amp;rpp=15</vt:lpwstr>
      </vt:variant>
      <vt:variant>
        <vt:lpwstr>local-content</vt:lpwstr>
      </vt:variant>
      <vt:variant>
        <vt:i4>1310807</vt:i4>
      </vt:variant>
      <vt:variant>
        <vt:i4>1104</vt:i4>
      </vt:variant>
      <vt:variant>
        <vt:i4>0</vt:i4>
      </vt:variant>
      <vt:variant>
        <vt:i4>5</vt:i4>
      </vt:variant>
      <vt:variant>
        <vt:lpwstr>http://databaze-strategie.cz/cz/mpo/strategie/narodni-akcni-plan-cr-pro-energii-z-obnovitelnych-zdroju-2010-2020</vt:lpwstr>
      </vt:variant>
      <vt:variant>
        <vt:lpwstr/>
      </vt:variant>
      <vt:variant>
        <vt:i4>4915239</vt:i4>
      </vt:variant>
      <vt:variant>
        <vt:i4>1101</vt:i4>
      </vt:variant>
      <vt:variant>
        <vt:i4>0</vt:i4>
      </vt:variant>
      <vt:variant>
        <vt:i4>5</vt:i4>
      </vt:variant>
      <vt:variant>
        <vt:lpwstr>http://www.eru.cz/dias-browse_articles.php?parentId=384&amp;deep=off&amp;type=</vt:lpwstr>
      </vt:variant>
      <vt:variant>
        <vt:lpwstr/>
      </vt:variant>
      <vt:variant>
        <vt:i4>6357045</vt:i4>
      </vt:variant>
      <vt:variant>
        <vt:i4>1098</vt:i4>
      </vt:variant>
      <vt:variant>
        <vt:i4>0</vt:i4>
      </vt:variant>
      <vt:variant>
        <vt:i4>5</vt:i4>
      </vt:variant>
      <vt:variant>
        <vt:lpwstr>http://portal.gov.cz/app/zakony/zakonPar.jsp?idBiblio=77573&amp;fulltext=&amp;nr=165~2F2012&amp;part=&amp;name=&amp;rpp=15</vt:lpwstr>
      </vt:variant>
      <vt:variant>
        <vt:lpwstr>local-content</vt:lpwstr>
      </vt:variant>
      <vt:variant>
        <vt:i4>2162759</vt:i4>
      </vt:variant>
      <vt:variant>
        <vt:i4>1095</vt:i4>
      </vt:variant>
      <vt:variant>
        <vt:i4>0</vt:i4>
      </vt:variant>
      <vt:variant>
        <vt:i4>5</vt:i4>
      </vt:variant>
      <vt:variant>
        <vt:lpwstr>http://www.eru.cz/dias-browse_articles.php?parentId=91&amp;deep=off&amp;type=</vt:lpwstr>
      </vt:variant>
      <vt:variant>
        <vt:lpwstr/>
      </vt:variant>
      <vt:variant>
        <vt:i4>6750266</vt:i4>
      </vt:variant>
      <vt:variant>
        <vt:i4>1092</vt:i4>
      </vt:variant>
      <vt:variant>
        <vt:i4>0</vt:i4>
      </vt:variant>
      <vt:variant>
        <vt:i4>5</vt:i4>
      </vt:variant>
      <vt:variant>
        <vt:lpwstr>http://portal.gov.cz/app/zakony/zakonPar.jsp?idBiblio=49962&amp;fulltext=&amp;nr=458~2F2000&amp;part=&amp;name=&amp;rpp=15</vt:lpwstr>
      </vt:variant>
      <vt:variant>
        <vt:lpwstr>local-content</vt:lpwstr>
      </vt:variant>
      <vt:variant>
        <vt:i4>6946875</vt:i4>
      </vt:variant>
      <vt:variant>
        <vt:i4>1089</vt:i4>
      </vt:variant>
      <vt:variant>
        <vt:i4>0</vt:i4>
      </vt:variant>
      <vt:variant>
        <vt:i4>5</vt:i4>
      </vt:variant>
      <vt:variant>
        <vt:lpwstr>http://portal.gov.cz/app/zakony/zakonPar.jsp?idBiblio=49857&amp;fulltext=&amp;nr=406~2F2000&amp;part=&amp;name=&amp;rpp=15</vt:lpwstr>
      </vt:variant>
      <vt:variant>
        <vt:lpwstr>local-content</vt:lpwstr>
      </vt:variant>
      <vt:variant>
        <vt:i4>2162759</vt:i4>
      </vt:variant>
      <vt:variant>
        <vt:i4>1086</vt:i4>
      </vt:variant>
      <vt:variant>
        <vt:i4>0</vt:i4>
      </vt:variant>
      <vt:variant>
        <vt:i4>5</vt:i4>
      </vt:variant>
      <vt:variant>
        <vt:lpwstr>http://www.eru.cz/dias-browse_articles.php?parentId=91&amp;deep=off&amp;type=</vt:lpwstr>
      </vt:variant>
      <vt:variant>
        <vt:lpwstr/>
      </vt:variant>
      <vt:variant>
        <vt:i4>6750266</vt:i4>
      </vt:variant>
      <vt:variant>
        <vt:i4>1083</vt:i4>
      </vt:variant>
      <vt:variant>
        <vt:i4>0</vt:i4>
      </vt:variant>
      <vt:variant>
        <vt:i4>5</vt:i4>
      </vt:variant>
      <vt:variant>
        <vt:lpwstr>http://portal.gov.cz/app/zakony/zakonPar.jsp?idBiblio=49962&amp;fulltext=&amp;nr=458~2F2000&amp;part=&amp;name=&amp;rpp=15</vt:lpwstr>
      </vt:variant>
      <vt:variant>
        <vt:lpwstr>local-content</vt:lpwstr>
      </vt:variant>
      <vt:variant>
        <vt:i4>6946875</vt:i4>
      </vt:variant>
      <vt:variant>
        <vt:i4>1080</vt:i4>
      </vt:variant>
      <vt:variant>
        <vt:i4>0</vt:i4>
      </vt:variant>
      <vt:variant>
        <vt:i4>5</vt:i4>
      </vt:variant>
      <vt:variant>
        <vt:lpwstr>http://portal.gov.cz/app/zakony/zakonPar.jsp?idBiblio=49857&amp;fulltext=&amp;nr=406~2F2000&amp;part=&amp;name=&amp;rpp=15</vt:lpwstr>
      </vt:variant>
      <vt:variant>
        <vt:lpwstr>local-content</vt:lpwstr>
      </vt:variant>
      <vt:variant>
        <vt:i4>1245231</vt:i4>
      </vt:variant>
      <vt:variant>
        <vt:i4>1077</vt:i4>
      </vt:variant>
      <vt:variant>
        <vt:i4>0</vt:i4>
      </vt:variant>
      <vt:variant>
        <vt:i4>5</vt:i4>
      </vt:variant>
      <vt:variant>
        <vt:lpwstr>http://ec.europa.eu/energy/efficiency/eed/reporting_en.htm</vt:lpwstr>
      </vt:variant>
      <vt:variant>
        <vt:lpwstr/>
      </vt:variant>
      <vt:variant>
        <vt:i4>7209012</vt:i4>
      </vt:variant>
      <vt:variant>
        <vt:i4>1074</vt:i4>
      </vt:variant>
      <vt:variant>
        <vt:i4>0</vt:i4>
      </vt:variant>
      <vt:variant>
        <vt:i4>5</vt:i4>
      </vt:variant>
      <vt:variant>
        <vt:lpwstr>http://portal.gov.cz/app/zakony/zakonPar.jsp?idBiblio=78282&amp;fulltext=&amp;nr=318~2F2012&amp;part=&amp;name=&amp;rpp=15</vt:lpwstr>
      </vt:variant>
      <vt:variant>
        <vt:lpwstr>local-content</vt:lpwstr>
      </vt:variant>
      <vt:variant>
        <vt:i4>6946875</vt:i4>
      </vt:variant>
      <vt:variant>
        <vt:i4>1071</vt:i4>
      </vt:variant>
      <vt:variant>
        <vt:i4>0</vt:i4>
      </vt:variant>
      <vt:variant>
        <vt:i4>5</vt:i4>
      </vt:variant>
      <vt:variant>
        <vt:lpwstr>http://portal.gov.cz/app/zakony/zakonPar.jsp?idBiblio=49857&amp;fulltext=&amp;nr=406~2F2000&amp;part=&amp;name=&amp;rpp=15</vt:lpwstr>
      </vt:variant>
      <vt:variant>
        <vt:lpwstr>local-content</vt:lpwstr>
      </vt:variant>
      <vt:variant>
        <vt:i4>7209012</vt:i4>
      </vt:variant>
      <vt:variant>
        <vt:i4>1068</vt:i4>
      </vt:variant>
      <vt:variant>
        <vt:i4>0</vt:i4>
      </vt:variant>
      <vt:variant>
        <vt:i4>5</vt:i4>
      </vt:variant>
      <vt:variant>
        <vt:lpwstr>http://portal.gov.cz/app/zakony/zakonPar.jsp?idBiblio=78282&amp;fulltext=&amp;nr=318~2F2012&amp;part=&amp;name=&amp;rpp=15</vt:lpwstr>
      </vt:variant>
      <vt:variant>
        <vt:lpwstr>local-content</vt:lpwstr>
      </vt:variant>
      <vt:variant>
        <vt:i4>6946875</vt:i4>
      </vt:variant>
      <vt:variant>
        <vt:i4>1065</vt:i4>
      </vt:variant>
      <vt:variant>
        <vt:i4>0</vt:i4>
      </vt:variant>
      <vt:variant>
        <vt:i4>5</vt:i4>
      </vt:variant>
      <vt:variant>
        <vt:lpwstr>http://portal.gov.cz/app/zakony/zakonPar.jsp?idBiblio=49857&amp;fulltext=&amp;nr=406~2F2000&amp;part=&amp;name=&amp;rpp=15</vt:lpwstr>
      </vt:variant>
      <vt:variant>
        <vt:lpwstr>local-content</vt:lpwstr>
      </vt:variant>
      <vt:variant>
        <vt:i4>6291511</vt:i4>
      </vt:variant>
      <vt:variant>
        <vt:i4>1062</vt:i4>
      </vt:variant>
      <vt:variant>
        <vt:i4>0</vt:i4>
      </vt:variant>
      <vt:variant>
        <vt:i4>5</vt:i4>
      </vt:variant>
      <vt:variant>
        <vt:lpwstr>http://www.vlada.cz/assets/ppov/lrv/ria/metodiky/Uplne-zneni-Obecnych-zasad-_ucinnost-od-1-2--2014_.pdf</vt:lpwstr>
      </vt:variant>
      <vt:variant>
        <vt:lpwstr/>
      </vt:variant>
      <vt:variant>
        <vt:i4>1245205</vt:i4>
      </vt:variant>
      <vt:variant>
        <vt:i4>1059</vt:i4>
      </vt:variant>
      <vt:variant>
        <vt:i4>0</vt:i4>
      </vt:variant>
      <vt:variant>
        <vt:i4>5</vt:i4>
      </vt:variant>
      <vt:variant>
        <vt:lpwstr>http://www.sbirka.cz/POSL4TYD/NOVE/13-304.htm</vt:lpwstr>
      </vt:variant>
      <vt:variant>
        <vt:lpwstr/>
      </vt:variant>
      <vt:variant>
        <vt:i4>5111892</vt:i4>
      </vt:variant>
      <vt:variant>
        <vt:i4>1056</vt:i4>
      </vt:variant>
      <vt:variant>
        <vt:i4>0</vt:i4>
      </vt:variant>
      <vt:variant>
        <vt:i4>5</vt:i4>
      </vt:variant>
      <vt:variant>
        <vt:lpwstr>http://www.vlada.cz/assets/evropske-zalezitosti/aktualne/NPR-2014.pdf</vt:lpwstr>
      </vt:variant>
      <vt:variant>
        <vt:lpwstr/>
      </vt:variant>
      <vt:variant>
        <vt:i4>5767196</vt:i4>
      </vt:variant>
      <vt:variant>
        <vt:i4>1053</vt:i4>
      </vt:variant>
      <vt:variant>
        <vt:i4>0</vt:i4>
      </vt:variant>
      <vt:variant>
        <vt:i4>5</vt:i4>
      </vt:variant>
      <vt:variant>
        <vt:lpwstr>http://www.vlada.cz/assets/media-centrum/aktualne/Strategie-mezinarodni-konkurenceschopnosti-Ceske-republiky.pdf</vt:lpwstr>
      </vt:variant>
      <vt:variant>
        <vt:lpwstr/>
      </vt:variant>
      <vt:variant>
        <vt:i4>2424959</vt:i4>
      </vt:variant>
      <vt:variant>
        <vt:i4>1050</vt:i4>
      </vt:variant>
      <vt:variant>
        <vt:i4>0</vt:i4>
      </vt:variant>
      <vt:variant>
        <vt:i4>5</vt:i4>
      </vt:variant>
      <vt:variant>
        <vt:lpwstr>http://www.mpo.cz/assets/cz/e-komunikace-a-posta/Internet/2013/4/Digi_esko_v.2.0.pdf</vt:lpwstr>
      </vt:variant>
      <vt:variant>
        <vt:lpwstr/>
      </vt:variant>
      <vt:variant>
        <vt:i4>6225985</vt:i4>
      </vt:variant>
      <vt:variant>
        <vt:i4>1047</vt:i4>
      </vt:variant>
      <vt:variant>
        <vt:i4>0</vt:i4>
      </vt:variant>
      <vt:variant>
        <vt:i4>5</vt:i4>
      </vt:variant>
      <vt:variant>
        <vt:lpwstr>http://www.mpo.cz/dokument83642.html</vt:lpwstr>
      </vt:variant>
      <vt:variant>
        <vt:lpwstr/>
      </vt:variant>
      <vt:variant>
        <vt:i4>2424959</vt:i4>
      </vt:variant>
      <vt:variant>
        <vt:i4>1044</vt:i4>
      </vt:variant>
      <vt:variant>
        <vt:i4>0</vt:i4>
      </vt:variant>
      <vt:variant>
        <vt:i4>5</vt:i4>
      </vt:variant>
      <vt:variant>
        <vt:lpwstr>http://www.mpo.cz/assets/cz/e-komunikace-a-posta/Internet/2013/4/Digi_esko_v.2.0.pdf</vt:lpwstr>
      </vt:variant>
      <vt:variant>
        <vt:lpwstr/>
      </vt:variant>
      <vt:variant>
        <vt:i4>2424959</vt:i4>
      </vt:variant>
      <vt:variant>
        <vt:i4>1041</vt:i4>
      </vt:variant>
      <vt:variant>
        <vt:i4>0</vt:i4>
      </vt:variant>
      <vt:variant>
        <vt:i4>5</vt:i4>
      </vt:variant>
      <vt:variant>
        <vt:lpwstr>http://www.mpo.cz/assets/cz/e-komunikace-a-posta/Internet/2013/4/Digi_esko_v.2.0.pdf</vt:lpwstr>
      </vt:variant>
      <vt:variant>
        <vt:lpwstr/>
      </vt:variant>
      <vt:variant>
        <vt:i4>5963805</vt:i4>
      </vt:variant>
      <vt:variant>
        <vt:i4>1038</vt:i4>
      </vt:variant>
      <vt:variant>
        <vt:i4>0</vt:i4>
      </vt:variant>
      <vt:variant>
        <vt:i4>5</vt:i4>
      </vt:variant>
      <vt:variant>
        <vt:lpwstr>http://www.mpo.cz/dokument119071.html</vt:lpwstr>
      </vt:variant>
      <vt:variant>
        <vt:lpwstr/>
      </vt:variant>
      <vt:variant>
        <vt:i4>2424959</vt:i4>
      </vt:variant>
      <vt:variant>
        <vt:i4>1035</vt:i4>
      </vt:variant>
      <vt:variant>
        <vt:i4>0</vt:i4>
      </vt:variant>
      <vt:variant>
        <vt:i4>5</vt:i4>
      </vt:variant>
      <vt:variant>
        <vt:lpwstr>http://www.mpo.cz/assets/cz/e-komunikace-a-posta/Internet/2013/4/Digi_esko_v.2.0.pdf</vt:lpwstr>
      </vt:variant>
      <vt:variant>
        <vt:lpwstr/>
      </vt:variant>
      <vt:variant>
        <vt:i4>6225985</vt:i4>
      </vt:variant>
      <vt:variant>
        <vt:i4>1032</vt:i4>
      </vt:variant>
      <vt:variant>
        <vt:i4>0</vt:i4>
      </vt:variant>
      <vt:variant>
        <vt:i4>5</vt:i4>
      </vt:variant>
      <vt:variant>
        <vt:lpwstr>http://www.mpo.cz/dokument83642.html</vt:lpwstr>
      </vt:variant>
      <vt:variant>
        <vt:lpwstr/>
      </vt:variant>
      <vt:variant>
        <vt:i4>3014661</vt:i4>
      </vt:variant>
      <vt:variant>
        <vt:i4>1029</vt:i4>
      </vt:variant>
      <vt:variant>
        <vt:i4>0</vt:i4>
      </vt:variant>
      <vt:variant>
        <vt:i4>5</vt:i4>
      </vt:variant>
      <vt:variant>
        <vt:lpwstr>http://www.czso.cz/csu/redakce.nsf/i/informacni_ekonomika</vt:lpwstr>
      </vt:variant>
      <vt:variant>
        <vt:lpwstr/>
      </vt:variant>
      <vt:variant>
        <vt:i4>5963805</vt:i4>
      </vt:variant>
      <vt:variant>
        <vt:i4>1026</vt:i4>
      </vt:variant>
      <vt:variant>
        <vt:i4>0</vt:i4>
      </vt:variant>
      <vt:variant>
        <vt:i4>5</vt:i4>
      </vt:variant>
      <vt:variant>
        <vt:lpwstr>http://www.mpo.cz/dokument119071.html</vt:lpwstr>
      </vt:variant>
      <vt:variant>
        <vt:lpwstr/>
      </vt:variant>
      <vt:variant>
        <vt:i4>2424959</vt:i4>
      </vt:variant>
      <vt:variant>
        <vt:i4>1023</vt:i4>
      </vt:variant>
      <vt:variant>
        <vt:i4>0</vt:i4>
      </vt:variant>
      <vt:variant>
        <vt:i4>5</vt:i4>
      </vt:variant>
      <vt:variant>
        <vt:lpwstr>http://www.mpo.cz/assets/cz/e-komunikace-a-posta/Internet/2013/4/Digi_esko_v.2.0.pdf</vt:lpwstr>
      </vt:variant>
      <vt:variant>
        <vt:lpwstr/>
      </vt:variant>
      <vt:variant>
        <vt:i4>2424959</vt:i4>
      </vt:variant>
      <vt:variant>
        <vt:i4>1020</vt:i4>
      </vt:variant>
      <vt:variant>
        <vt:i4>0</vt:i4>
      </vt:variant>
      <vt:variant>
        <vt:i4>5</vt:i4>
      </vt:variant>
      <vt:variant>
        <vt:lpwstr>http://www.mpo.cz/assets/cz/e-komunikace-a-posta/Internet/2013/4/Digi_esko_v.2.0.pdf</vt:lpwstr>
      </vt:variant>
      <vt:variant>
        <vt:lpwstr/>
      </vt:variant>
      <vt:variant>
        <vt:i4>5963805</vt:i4>
      </vt:variant>
      <vt:variant>
        <vt:i4>1017</vt:i4>
      </vt:variant>
      <vt:variant>
        <vt:i4>0</vt:i4>
      </vt:variant>
      <vt:variant>
        <vt:i4>5</vt:i4>
      </vt:variant>
      <vt:variant>
        <vt:lpwstr>http://www.mpo.cz/dokument119071.html</vt:lpwstr>
      </vt:variant>
      <vt:variant>
        <vt:lpwstr/>
      </vt:variant>
      <vt:variant>
        <vt:i4>2424959</vt:i4>
      </vt:variant>
      <vt:variant>
        <vt:i4>1014</vt:i4>
      </vt:variant>
      <vt:variant>
        <vt:i4>0</vt:i4>
      </vt:variant>
      <vt:variant>
        <vt:i4>5</vt:i4>
      </vt:variant>
      <vt:variant>
        <vt:lpwstr>http://www.mpo.cz/assets/cz/e-komunikace-a-posta/Internet/2013/4/Digi_esko_v.2.0.pdf</vt:lpwstr>
      </vt:variant>
      <vt:variant>
        <vt:lpwstr/>
      </vt:variant>
      <vt:variant>
        <vt:i4>6225985</vt:i4>
      </vt:variant>
      <vt:variant>
        <vt:i4>1011</vt:i4>
      </vt:variant>
      <vt:variant>
        <vt:i4>0</vt:i4>
      </vt:variant>
      <vt:variant>
        <vt:i4>5</vt:i4>
      </vt:variant>
      <vt:variant>
        <vt:lpwstr>http://www.mpo.cz/dokument83642.html</vt:lpwstr>
      </vt:variant>
      <vt:variant>
        <vt:lpwstr/>
      </vt:variant>
      <vt:variant>
        <vt:i4>5963805</vt:i4>
      </vt:variant>
      <vt:variant>
        <vt:i4>1008</vt:i4>
      </vt:variant>
      <vt:variant>
        <vt:i4>0</vt:i4>
      </vt:variant>
      <vt:variant>
        <vt:i4>5</vt:i4>
      </vt:variant>
      <vt:variant>
        <vt:lpwstr>http://www.mpo.cz/dokument119071.html</vt:lpwstr>
      </vt:variant>
      <vt:variant>
        <vt:lpwstr/>
      </vt:variant>
      <vt:variant>
        <vt:i4>2424959</vt:i4>
      </vt:variant>
      <vt:variant>
        <vt:i4>1005</vt:i4>
      </vt:variant>
      <vt:variant>
        <vt:i4>0</vt:i4>
      </vt:variant>
      <vt:variant>
        <vt:i4>5</vt:i4>
      </vt:variant>
      <vt:variant>
        <vt:lpwstr>http://www.mpo.cz/assets/cz/e-komunikace-a-posta/Internet/2013/4/Digi_esko_v.2.0.pdf</vt:lpwstr>
      </vt:variant>
      <vt:variant>
        <vt:lpwstr/>
      </vt:variant>
      <vt:variant>
        <vt:i4>5963805</vt:i4>
      </vt:variant>
      <vt:variant>
        <vt:i4>1002</vt:i4>
      </vt:variant>
      <vt:variant>
        <vt:i4>0</vt:i4>
      </vt:variant>
      <vt:variant>
        <vt:i4>5</vt:i4>
      </vt:variant>
      <vt:variant>
        <vt:lpwstr>http://www.mpo.cz/dokument119071.html</vt:lpwstr>
      </vt:variant>
      <vt:variant>
        <vt:lpwstr/>
      </vt:variant>
      <vt:variant>
        <vt:i4>2424959</vt:i4>
      </vt:variant>
      <vt:variant>
        <vt:i4>999</vt:i4>
      </vt:variant>
      <vt:variant>
        <vt:i4>0</vt:i4>
      </vt:variant>
      <vt:variant>
        <vt:i4>5</vt:i4>
      </vt:variant>
      <vt:variant>
        <vt:lpwstr>http://www.mpo.cz/assets/cz/e-komunikace-a-posta/Internet/2013/4/Digi_esko_v.2.0.pdf</vt:lpwstr>
      </vt:variant>
      <vt:variant>
        <vt:lpwstr/>
      </vt:variant>
      <vt:variant>
        <vt:i4>6225985</vt:i4>
      </vt:variant>
      <vt:variant>
        <vt:i4>996</vt:i4>
      </vt:variant>
      <vt:variant>
        <vt:i4>0</vt:i4>
      </vt:variant>
      <vt:variant>
        <vt:i4>5</vt:i4>
      </vt:variant>
      <vt:variant>
        <vt:lpwstr>http://www.mpo.cz/dokument83642.html</vt:lpwstr>
      </vt:variant>
      <vt:variant>
        <vt:lpwstr/>
      </vt:variant>
      <vt:variant>
        <vt:i4>6226012</vt:i4>
      </vt:variant>
      <vt:variant>
        <vt:i4>993</vt:i4>
      </vt:variant>
      <vt:variant>
        <vt:i4>0</vt:i4>
      </vt:variant>
      <vt:variant>
        <vt:i4>5</vt:i4>
      </vt:variant>
      <vt:variant>
        <vt:lpwstr>http://portal.cenia.cz/eiasea/osoby/osoby</vt:lpwstr>
      </vt:variant>
      <vt:variant>
        <vt:lpwstr/>
      </vt:variant>
      <vt:variant>
        <vt:i4>655486</vt:i4>
      </vt:variant>
      <vt:variant>
        <vt:i4>990</vt:i4>
      </vt:variant>
      <vt:variant>
        <vt:i4>0</vt:i4>
      </vt:variant>
      <vt:variant>
        <vt:i4>5</vt:i4>
      </vt:variant>
      <vt:variant>
        <vt:lpwstr>http://portal.cenia.cz/eiasea/view/SEA100_koncepce</vt:lpwstr>
      </vt:variant>
      <vt:variant>
        <vt:lpwstr/>
      </vt:variant>
      <vt:variant>
        <vt:i4>7798802</vt:i4>
      </vt:variant>
      <vt:variant>
        <vt:i4>987</vt:i4>
      </vt:variant>
      <vt:variant>
        <vt:i4>0</vt:i4>
      </vt:variant>
      <vt:variant>
        <vt:i4>5</vt:i4>
      </vt:variant>
      <vt:variant>
        <vt:lpwstr>http://portal.cenia.cz/eiasea/view/eia100_cr</vt:lpwstr>
      </vt:variant>
      <vt:variant>
        <vt:lpwstr/>
      </vt:variant>
      <vt:variant>
        <vt:i4>5963834</vt:i4>
      </vt:variant>
      <vt:variant>
        <vt:i4>984</vt:i4>
      </vt:variant>
      <vt:variant>
        <vt:i4>0</vt:i4>
      </vt:variant>
      <vt:variant>
        <vt:i4>5</vt:i4>
      </vt:variant>
      <vt:variant>
        <vt:lpwstr>http://www.mzp.cz/cz/posuzovani_vlivu_zivotni_prostredi</vt:lpwstr>
      </vt:variant>
      <vt:variant>
        <vt:lpwstr/>
      </vt:variant>
      <vt:variant>
        <vt:i4>655486</vt:i4>
      </vt:variant>
      <vt:variant>
        <vt:i4>981</vt:i4>
      </vt:variant>
      <vt:variant>
        <vt:i4>0</vt:i4>
      </vt:variant>
      <vt:variant>
        <vt:i4>5</vt:i4>
      </vt:variant>
      <vt:variant>
        <vt:lpwstr>http://portal.cenia.cz/eiasea/view/SEA100_koncepce</vt:lpwstr>
      </vt:variant>
      <vt:variant>
        <vt:lpwstr/>
      </vt:variant>
      <vt:variant>
        <vt:i4>7798802</vt:i4>
      </vt:variant>
      <vt:variant>
        <vt:i4>978</vt:i4>
      </vt:variant>
      <vt:variant>
        <vt:i4>0</vt:i4>
      </vt:variant>
      <vt:variant>
        <vt:i4>5</vt:i4>
      </vt:variant>
      <vt:variant>
        <vt:lpwstr>http://portal.cenia.cz/eiasea/view/eia100_cr</vt:lpwstr>
      </vt:variant>
      <vt:variant>
        <vt:lpwstr/>
      </vt:variant>
      <vt:variant>
        <vt:i4>7798802</vt:i4>
      </vt:variant>
      <vt:variant>
        <vt:i4>975</vt:i4>
      </vt:variant>
      <vt:variant>
        <vt:i4>0</vt:i4>
      </vt:variant>
      <vt:variant>
        <vt:i4>5</vt:i4>
      </vt:variant>
      <vt:variant>
        <vt:lpwstr>http://portal.cenia.cz/eiasea/view/eia100_cr</vt:lpwstr>
      </vt:variant>
      <vt:variant>
        <vt:lpwstr/>
      </vt:variant>
      <vt:variant>
        <vt:i4>5963834</vt:i4>
      </vt:variant>
      <vt:variant>
        <vt:i4>972</vt:i4>
      </vt:variant>
      <vt:variant>
        <vt:i4>0</vt:i4>
      </vt:variant>
      <vt:variant>
        <vt:i4>5</vt:i4>
      </vt:variant>
      <vt:variant>
        <vt:lpwstr>http://www.mzp.cz/cz/posuzovani_vlivu_zivotni_prostredi</vt:lpwstr>
      </vt:variant>
      <vt:variant>
        <vt:lpwstr/>
      </vt:variant>
      <vt:variant>
        <vt:i4>393253</vt:i4>
      </vt:variant>
      <vt:variant>
        <vt:i4>969</vt:i4>
      </vt:variant>
      <vt:variant>
        <vt:i4>0</vt:i4>
      </vt:variant>
      <vt:variant>
        <vt:i4>5</vt:i4>
      </vt:variant>
      <vt:variant>
        <vt:lpwstr>http://portal.cenia.cz/eiasea/static/eia_legislativa</vt:lpwstr>
      </vt:variant>
      <vt:variant>
        <vt:lpwstr/>
      </vt:variant>
      <vt:variant>
        <vt:i4>1048617</vt:i4>
      </vt:variant>
      <vt:variant>
        <vt:i4>966</vt:i4>
      </vt:variant>
      <vt:variant>
        <vt:i4>0</vt:i4>
      </vt:variant>
      <vt:variant>
        <vt:i4>5</vt:i4>
      </vt:variant>
      <vt:variant>
        <vt:lpwstr>http://portal.cenia.cz/eiasea/static/sea_legislativa</vt:lpwstr>
      </vt:variant>
      <vt:variant>
        <vt:lpwstr/>
      </vt:variant>
      <vt:variant>
        <vt:i4>4784192</vt:i4>
      </vt:variant>
      <vt:variant>
        <vt:i4>963</vt:i4>
      </vt:variant>
      <vt:variant>
        <vt:i4>0</vt:i4>
      </vt:variant>
      <vt:variant>
        <vt:i4>5</vt:i4>
      </vt:variant>
      <vt:variant>
        <vt:lpwstr>http://www.strukturalni-fondy.cz/</vt:lpwstr>
      </vt:variant>
      <vt:variant>
        <vt:lpwstr/>
      </vt:variant>
      <vt:variant>
        <vt:i4>327748</vt:i4>
      </vt:variant>
      <vt:variant>
        <vt:i4>960</vt:i4>
      </vt:variant>
      <vt:variant>
        <vt:i4>0</vt:i4>
      </vt:variant>
      <vt:variant>
        <vt:i4>5</vt:i4>
      </vt:variant>
      <vt:variant>
        <vt:lpwstr>http://www.vzdelavaninsrr.cz/</vt:lpwstr>
      </vt:variant>
      <vt:variant>
        <vt:lpwstr/>
      </vt:variant>
      <vt:variant>
        <vt:i4>4390942</vt:i4>
      </vt:variant>
      <vt:variant>
        <vt:i4>957</vt:i4>
      </vt:variant>
      <vt:variant>
        <vt:i4>0</vt:i4>
      </vt:variant>
      <vt:variant>
        <vt:i4>5</vt:i4>
      </vt:variant>
      <vt:variant>
        <vt:lpwstr>http://www.uohs.cz/cs/verejna-podpora/akuality-z-verejne-podpory.html</vt:lpwstr>
      </vt:variant>
      <vt:variant>
        <vt:lpwstr/>
      </vt:variant>
      <vt:variant>
        <vt:i4>393281</vt:i4>
      </vt:variant>
      <vt:variant>
        <vt:i4>954</vt:i4>
      </vt:variant>
      <vt:variant>
        <vt:i4>0</vt:i4>
      </vt:variant>
      <vt:variant>
        <vt:i4>5</vt:i4>
      </vt:variant>
      <vt:variant>
        <vt:lpwstr>http://eagri.cz/public/web/mze/farmar/registr-podpor-de-minimis/</vt:lpwstr>
      </vt:variant>
      <vt:variant>
        <vt:lpwstr/>
      </vt:variant>
      <vt:variant>
        <vt:i4>1048581</vt:i4>
      </vt:variant>
      <vt:variant>
        <vt:i4>951</vt:i4>
      </vt:variant>
      <vt:variant>
        <vt:i4>0</vt:i4>
      </vt:variant>
      <vt:variant>
        <vt:i4>5</vt:i4>
      </vt:variant>
      <vt:variant>
        <vt:lpwstr>http://www.uohs.cz/cs/verejna-podpora/manualy-metodiky-a-dalsi-dokumenty.html</vt:lpwstr>
      </vt:variant>
      <vt:variant>
        <vt:lpwstr/>
      </vt:variant>
      <vt:variant>
        <vt:i4>7012387</vt:i4>
      </vt:variant>
      <vt:variant>
        <vt:i4>948</vt:i4>
      </vt:variant>
      <vt:variant>
        <vt:i4>0</vt:i4>
      </vt:variant>
      <vt:variant>
        <vt:i4>5</vt:i4>
      </vt:variant>
      <vt:variant>
        <vt:lpwstr>http://www.mfcr.cz/cs/legislativa/metodiky/2014/metodika-financnich-toku-a-kontroly-prog-17121</vt:lpwstr>
      </vt:variant>
      <vt:variant>
        <vt:lpwstr/>
      </vt:variant>
      <vt:variant>
        <vt:i4>8061042</vt:i4>
      </vt:variant>
      <vt:variant>
        <vt:i4>945</vt:i4>
      </vt:variant>
      <vt:variant>
        <vt:i4>0</vt:i4>
      </vt:variant>
      <vt:variant>
        <vt:i4>5</vt:i4>
      </vt:variant>
      <vt:variant>
        <vt:lpwstr>http://www.uohs.cz/cs/legislativa/verejna-podpora.html</vt:lpwstr>
      </vt:variant>
      <vt:variant>
        <vt:lpwstr/>
      </vt:variant>
      <vt:variant>
        <vt:i4>6029387</vt:i4>
      </vt:variant>
      <vt:variant>
        <vt:i4>942</vt:i4>
      </vt:variant>
      <vt:variant>
        <vt:i4>0</vt:i4>
      </vt:variant>
      <vt:variant>
        <vt:i4>5</vt:i4>
      </vt:variant>
      <vt:variant>
        <vt:lpwstr>http://www.portal-vz.cz/cs/Spoluprace-a-vymena-informaci/Info-forum/Otazky-a-odpovedi</vt:lpwstr>
      </vt:variant>
      <vt:variant>
        <vt:lpwstr/>
      </vt:variant>
      <vt:variant>
        <vt:i4>6946918</vt:i4>
      </vt:variant>
      <vt:variant>
        <vt:i4>939</vt:i4>
      </vt:variant>
      <vt:variant>
        <vt:i4>0</vt:i4>
      </vt:variant>
      <vt:variant>
        <vt:i4>5</vt:i4>
      </vt:variant>
      <vt:variant>
        <vt:lpwstr>http://www.vestnikverejnychzakazek.cz/</vt:lpwstr>
      </vt:variant>
      <vt:variant>
        <vt:lpwstr/>
      </vt:variant>
      <vt:variant>
        <vt:i4>6160476</vt:i4>
      </vt:variant>
      <vt:variant>
        <vt:i4>936</vt:i4>
      </vt:variant>
      <vt:variant>
        <vt:i4>0</vt:i4>
      </vt:variant>
      <vt:variant>
        <vt:i4>5</vt:i4>
      </vt:variant>
      <vt:variant>
        <vt:lpwstr>http://www.portal-vz.cz/cs/Jak-na-zadavani-verejnych-zakazek/Metodiky-stanoviska/Metodicke-pokyny</vt:lpwstr>
      </vt:variant>
      <vt:variant>
        <vt:lpwstr/>
      </vt:variant>
      <vt:variant>
        <vt:i4>7143463</vt:i4>
      </vt:variant>
      <vt:variant>
        <vt:i4>933</vt:i4>
      </vt:variant>
      <vt:variant>
        <vt:i4>0</vt:i4>
      </vt:variant>
      <vt:variant>
        <vt:i4>5</vt:i4>
      </vt:variant>
      <vt:variant>
        <vt:lpwstr>http://www.portal-vz.cz/cs/Jak-na-zadavani-verejnych-zakazek/Legislativa-a-Judikatura/Legislativa/Narodni-legislativa-aktualni-a-uplne-zneni-z-(1)</vt:lpwstr>
      </vt:variant>
      <vt:variant>
        <vt:lpwstr/>
      </vt:variant>
      <vt:variant>
        <vt:i4>7798907</vt:i4>
      </vt:variant>
      <vt:variant>
        <vt:i4>930</vt:i4>
      </vt:variant>
      <vt:variant>
        <vt:i4>0</vt:i4>
      </vt:variant>
      <vt:variant>
        <vt:i4>5</vt:i4>
      </vt:variant>
      <vt:variant>
        <vt:lpwstr>http://www.strukturalni-fondy.cz/cs/Fondy-EU/Narodni-organ-pro-koordinaci/Dokumenty</vt:lpwstr>
      </vt:variant>
      <vt:variant>
        <vt:lpwstr/>
      </vt:variant>
      <vt:variant>
        <vt:i4>5242944</vt:i4>
      </vt:variant>
      <vt:variant>
        <vt:i4>927</vt:i4>
      </vt:variant>
      <vt:variant>
        <vt:i4>0</vt:i4>
      </vt:variant>
      <vt:variant>
        <vt:i4>5</vt:i4>
      </vt:variant>
      <vt:variant>
        <vt:lpwstr>http://www.portal-vz.cz/cs/Jak-na-zadavani-verejnych-zakazek/Metodiky-stanoviska</vt:lpwstr>
      </vt:variant>
      <vt:variant>
        <vt:lpwstr/>
      </vt:variant>
      <vt:variant>
        <vt:i4>7143463</vt:i4>
      </vt:variant>
      <vt:variant>
        <vt:i4>924</vt:i4>
      </vt:variant>
      <vt:variant>
        <vt:i4>0</vt:i4>
      </vt:variant>
      <vt:variant>
        <vt:i4>5</vt:i4>
      </vt:variant>
      <vt:variant>
        <vt:lpwstr>http://www.portal-vz.cz/cs/Jak-na-zadavani-verejnych-zakazek/Legislativa-a-Judikatura/Legislativa/Narodni-legislativa-aktualni-a-uplne-zneni-z-(1)</vt:lpwstr>
      </vt:variant>
      <vt:variant>
        <vt:lpwstr/>
      </vt:variant>
      <vt:variant>
        <vt:i4>8060984</vt:i4>
      </vt:variant>
      <vt:variant>
        <vt:i4>921</vt:i4>
      </vt:variant>
      <vt:variant>
        <vt:i4>0</vt:i4>
      </vt:variant>
      <vt:variant>
        <vt:i4>5</vt:i4>
      </vt:variant>
      <vt:variant>
        <vt:lpwstr>http://www.vlada.cz/cz/ppov/vvzpo/dokumenty/narodni-plan-vytvareni-rovnych-prilezitosti-pro-osoby-se-zdravotnim-postizenim-na-obdobi-2010---2014-70026/</vt:lpwstr>
      </vt:variant>
      <vt:variant>
        <vt:lpwstr/>
      </vt:variant>
      <vt:variant>
        <vt:i4>2490407</vt:i4>
      </vt:variant>
      <vt:variant>
        <vt:i4>918</vt:i4>
      </vt:variant>
      <vt:variant>
        <vt:i4>0</vt:i4>
      </vt:variant>
      <vt:variant>
        <vt:i4>5</vt:i4>
      </vt:variant>
      <vt:variant>
        <vt:lpwstr>http://www.vlada.cz/cz/ppov/vvzpo/dokumenty/zprava-o-plneni-opatreni-narodniho-planu-vytvareni-rovnych-prilezitosti-pro-osoby-se-zdravotnim-postizenim-na-obdobi-2010-2014-v-roce-2012-110987/</vt:lpwstr>
      </vt:variant>
      <vt:variant>
        <vt:lpwstr/>
      </vt:variant>
      <vt:variant>
        <vt:i4>8060984</vt:i4>
      </vt:variant>
      <vt:variant>
        <vt:i4>915</vt:i4>
      </vt:variant>
      <vt:variant>
        <vt:i4>0</vt:i4>
      </vt:variant>
      <vt:variant>
        <vt:i4>5</vt:i4>
      </vt:variant>
      <vt:variant>
        <vt:lpwstr>http://www.vlada.cz/cz/ppov/vvzpo/dokumenty/narodni-plan-vytvareni-rovnych-prilezitosti-pro-osoby-se-zdravotnim-postizenim-na-obdobi-2010---2014-70026/</vt:lpwstr>
      </vt:variant>
      <vt:variant>
        <vt:lpwstr/>
      </vt:variant>
      <vt:variant>
        <vt:i4>2752617</vt:i4>
      </vt:variant>
      <vt:variant>
        <vt:i4>912</vt:i4>
      </vt:variant>
      <vt:variant>
        <vt:i4>0</vt:i4>
      </vt:variant>
      <vt:variant>
        <vt:i4>5</vt:i4>
      </vt:variant>
      <vt:variant>
        <vt:lpwstr>http://www.mpsv.cz/cs/12152</vt:lpwstr>
      </vt:variant>
      <vt:variant>
        <vt:lpwstr/>
      </vt:variant>
      <vt:variant>
        <vt:i4>6029333</vt:i4>
      </vt:variant>
      <vt:variant>
        <vt:i4>909</vt:i4>
      </vt:variant>
      <vt:variant>
        <vt:i4>0</vt:i4>
      </vt:variant>
      <vt:variant>
        <vt:i4>5</vt:i4>
      </vt:variant>
      <vt:variant>
        <vt:lpwstr>http://www.ochrance.cz/en/discrimination/</vt:lpwstr>
      </vt:variant>
      <vt:variant>
        <vt:lpwstr/>
      </vt:variant>
      <vt:variant>
        <vt:i4>6029333</vt:i4>
      </vt:variant>
      <vt:variant>
        <vt:i4>906</vt:i4>
      </vt:variant>
      <vt:variant>
        <vt:i4>0</vt:i4>
      </vt:variant>
      <vt:variant>
        <vt:i4>5</vt:i4>
      </vt:variant>
      <vt:variant>
        <vt:lpwstr>http://www.ochrance.cz/en/discrimination/</vt:lpwstr>
      </vt:variant>
      <vt:variant>
        <vt:lpwstr/>
      </vt:variant>
      <vt:variant>
        <vt:i4>3145831</vt:i4>
      </vt:variant>
      <vt:variant>
        <vt:i4>888</vt:i4>
      </vt:variant>
      <vt:variant>
        <vt:i4>0</vt:i4>
      </vt:variant>
      <vt:variant>
        <vt:i4>5</vt:i4>
      </vt:variant>
      <vt:variant>
        <vt:lpwstr>http://eur-lex.europa.eu/LexUriServ/LexUriServ.do?uri=CONSLEG:2006R1828:20091013:EN:HTML</vt:lpwstr>
      </vt:variant>
      <vt:variant>
        <vt:lpwstr>E0079#E0079</vt:lpwstr>
      </vt:variant>
      <vt:variant>
        <vt:i4>1507389</vt:i4>
      </vt:variant>
      <vt:variant>
        <vt:i4>704</vt:i4>
      </vt:variant>
      <vt:variant>
        <vt:i4>0</vt:i4>
      </vt:variant>
      <vt:variant>
        <vt:i4>5</vt:i4>
      </vt:variant>
      <vt:variant>
        <vt:lpwstr/>
      </vt:variant>
      <vt:variant>
        <vt:lpwstr>_Toc390179910</vt:lpwstr>
      </vt:variant>
      <vt:variant>
        <vt:i4>1441853</vt:i4>
      </vt:variant>
      <vt:variant>
        <vt:i4>698</vt:i4>
      </vt:variant>
      <vt:variant>
        <vt:i4>0</vt:i4>
      </vt:variant>
      <vt:variant>
        <vt:i4>5</vt:i4>
      </vt:variant>
      <vt:variant>
        <vt:lpwstr/>
      </vt:variant>
      <vt:variant>
        <vt:lpwstr>_Toc390179909</vt:lpwstr>
      </vt:variant>
      <vt:variant>
        <vt:i4>1441853</vt:i4>
      </vt:variant>
      <vt:variant>
        <vt:i4>692</vt:i4>
      </vt:variant>
      <vt:variant>
        <vt:i4>0</vt:i4>
      </vt:variant>
      <vt:variant>
        <vt:i4>5</vt:i4>
      </vt:variant>
      <vt:variant>
        <vt:lpwstr/>
      </vt:variant>
      <vt:variant>
        <vt:lpwstr>_Toc390179908</vt:lpwstr>
      </vt:variant>
      <vt:variant>
        <vt:i4>1441853</vt:i4>
      </vt:variant>
      <vt:variant>
        <vt:i4>686</vt:i4>
      </vt:variant>
      <vt:variant>
        <vt:i4>0</vt:i4>
      </vt:variant>
      <vt:variant>
        <vt:i4>5</vt:i4>
      </vt:variant>
      <vt:variant>
        <vt:lpwstr/>
      </vt:variant>
      <vt:variant>
        <vt:lpwstr>_Toc390179907</vt:lpwstr>
      </vt:variant>
      <vt:variant>
        <vt:i4>1441853</vt:i4>
      </vt:variant>
      <vt:variant>
        <vt:i4>680</vt:i4>
      </vt:variant>
      <vt:variant>
        <vt:i4>0</vt:i4>
      </vt:variant>
      <vt:variant>
        <vt:i4>5</vt:i4>
      </vt:variant>
      <vt:variant>
        <vt:lpwstr/>
      </vt:variant>
      <vt:variant>
        <vt:lpwstr>_Toc390179906</vt:lpwstr>
      </vt:variant>
      <vt:variant>
        <vt:i4>1441853</vt:i4>
      </vt:variant>
      <vt:variant>
        <vt:i4>674</vt:i4>
      </vt:variant>
      <vt:variant>
        <vt:i4>0</vt:i4>
      </vt:variant>
      <vt:variant>
        <vt:i4>5</vt:i4>
      </vt:variant>
      <vt:variant>
        <vt:lpwstr/>
      </vt:variant>
      <vt:variant>
        <vt:lpwstr>_Toc390179905</vt:lpwstr>
      </vt:variant>
      <vt:variant>
        <vt:i4>1441853</vt:i4>
      </vt:variant>
      <vt:variant>
        <vt:i4>668</vt:i4>
      </vt:variant>
      <vt:variant>
        <vt:i4>0</vt:i4>
      </vt:variant>
      <vt:variant>
        <vt:i4>5</vt:i4>
      </vt:variant>
      <vt:variant>
        <vt:lpwstr/>
      </vt:variant>
      <vt:variant>
        <vt:lpwstr>_Toc390179904</vt:lpwstr>
      </vt:variant>
      <vt:variant>
        <vt:i4>1441853</vt:i4>
      </vt:variant>
      <vt:variant>
        <vt:i4>662</vt:i4>
      </vt:variant>
      <vt:variant>
        <vt:i4>0</vt:i4>
      </vt:variant>
      <vt:variant>
        <vt:i4>5</vt:i4>
      </vt:variant>
      <vt:variant>
        <vt:lpwstr/>
      </vt:variant>
      <vt:variant>
        <vt:lpwstr>_Toc390179903</vt:lpwstr>
      </vt:variant>
      <vt:variant>
        <vt:i4>1441853</vt:i4>
      </vt:variant>
      <vt:variant>
        <vt:i4>656</vt:i4>
      </vt:variant>
      <vt:variant>
        <vt:i4>0</vt:i4>
      </vt:variant>
      <vt:variant>
        <vt:i4>5</vt:i4>
      </vt:variant>
      <vt:variant>
        <vt:lpwstr/>
      </vt:variant>
      <vt:variant>
        <vt:lpwstr>_Toc390179902</vt:lpwstr>
      </vt:variant>
      <vt:variant>
        <vt:i4>1441853</vt:i4>
      </vt:variant>
      <vt:variant>
        <vt:i4>650</vt:i4>
      </vt:variant>
      <vt:variant>
        <vt:i4>0</vt:i4>
      </vt:variant>
      <vt:variant>
        <vt:i4>5</vt:i4>
      </vt:variant>
      <vt:variant>
        <vt:lpwstr/>
      </vt:variant>
      <vt:variant>
        <vt:lpwstr>_Toc390179901</vt:lpwstr>
      </vt:variant>
      <vt:variant>
        <vt:i4>1441853</vt:i4>
      </vt:variant>
      <vt:variant>
        <vt:i4>644</vt:i4>
      </vt:variant>
      <vt:variant>
        <vt:i4>0</vt:i4>
      </vt:variant>
      <vt:variant>
        <vt:i4>5</vt:i4>
      </vt:variant>
      <vt:variant>
        <vt:lpwstr/>
      </vt:variant>
      <vt:variant>
        <vt:lpwstr>_Toc390179900</vt:lpwstr>
      </vt:variant>
      <vt:variant>
        <vt:i4>2031676</vt:i4>
      </vt:variant>
      <vt:variant>
        <vt:i4>638</vt:i4>
      </vt:variant>
      <vt:variant>
        <vt:i4>0</vt:i4>
      </vt:variant>
      <vt:variant>
        <vt:i4>5</vt:i4>
      </vt:variant>
      <vt:variant>
        <vt:lpwstr/>
      </vt:variant>
      <vt:variant>
        <vt:lpwstr>_Toc390179899</vt:lpwstr>
      </vt:variant>
      <vt:variant>
        <vt:i4>2031676</vt:i4>
      </vt:variant>
      <vt:variant>
        <vt:i4>632</vt:i4>
      </vt:variant>
      <vt:variant>
        <vt:i4>0</vt:i4>
      </vt:variant>
      <vt:variant>
        <vt:i4>5</vt:i4>
      </vt:variant>
      <vt:variant>
        <vt:lpwstr/>
      </vt:variant>
      <vt:variant>
        <vt:lpwstr>_Toc390179898</vt:lpwstr>
      </vt:variant>
      <vt:variant>
        <vt:i4>2031676</vt:i4>
      </vt:variant>
      <vt:variant>
        <vt:i4>626</vt:i4>
      </vt:variant>
      <vt:variant>
        <vt:i4>0</vt:i4>
      </vt:variant>
      <vt:variant>
        <vt:i4>5</vt:i4>
      </vt:variant>
      <vt:variant>
        <vt:lpwstr/>
      </vt:variant>
      <vt:variant>
        <vt:lpwstr>_Toc390179897</vt:lpwstr>
      </vt:variant>
      <vt:variant>
        <vt:i4>2031676</vt:i4>
      </vt:variant>
      <vt:variant>
        <vt:i4>620</vt:i4>
      </vt:variant>
      <vt:variant>
        <vt:i4>0</vt:i4>
      </vt:variant>
      <vt:variant>
        <vt:i4>5</vt:i4>
      </vt:variant>
      <vt:variant>
        <vt:lpwstr/>
      </vt:variant>
      <vt:variant>
        <vt:lpwstr>_Toc390179896</vt:lpwstr>
      </vt:variant>
      <vt:variant>
        <vt:i4>2031676</vt:i4>
      </vt:variant>
      <vt:variant>
        <vt:i4>614</vt:i4>
      </vt:variant>
      <vt:variant>
        <vt:i4>0</vt:i4>
      </vt:variant>
      <vt:variant>
        <vt:i4>5</vt:i4>
      </vt:variant>
      <vt:variant>
        <vt:lpwstr/>
      </vt:variant>
      <vt:variant>
        <vt:lpwstr>_Toc390179895</vt:lpwstr>
      </vt:variant>
      <vt:variant>
        <vt:i4>2031676</vt:i4>
      </vt:variant>
      <vt:variant>
        <vt:i4>608</vt:i4>
      </vt:variant>
      <vt:variant>
        <vt:i4>0</vt:i4>
      </vt:variant>
      <vt:variant>
        <vt:i4>5</vt:i4>
      </vt:variant>
      <vt:variant>
        <vt:lpwstr/>
      </vt:variant>
      <vt:variant>
        <vt:lpwstr>_Toc390179894</vt:lpwstr>
      </vt:variant>
      <vt:variant>
        <vt:i4>2031676</vt:i4>
      </vt:variant>
      <vt:variant>
        <vt:i4>602</vt:i4>
      </vt:variant>
      <vt:variant>
        <vt:i4>0</vt:i4>
      </vt:variant>
      <vt:variant>
        <vt:i4>5</vt:i4>
      </vt:variant>
      <vt:variant>
        <vt:lpwstr/>
      </vt:variant>
      <vt:variant>
        <vt:lpwstr>_Toc390179893</vt:lpwstr>
      </vt:variant>
      <vt:variant>
        <vt:i4>2031676</vt:i4>
      </vt:variant>
      <vt:variant>
        <vt:i4>596</vt:i4>
      </vt:variant>
      <vt:variant>
        <vt:i4>0</vt:i4>
      </vt:variant>
      <vt:variant>
        <vt:i4>5</vt:i4>
      </vt:variant>
      <vt:variant>
        <vt:lpwstr/>
      </vt:variant>
      <vt:variant>
        <vt:lpwstr>_Toc390179892</vt:lpwstr>
      </vt:variant>
      <vt:variant>
        <vt:i4>2031676</vt:i4>
      </vt:variant>
      <vt:variant>
        <vt:i4>590</vt:i4>
      </vt:variant>
      <vt:variant>
        <vt:i4>0</vt:i4>
      </vt:variant>
      <vt:variant>
        <vt:i4>5</vt:i4>
      </vt:variant>
      <vt:variant>
        <vt:lpwstr/>
      </vt:variant>
      <vt:variant>
        <vt:lpwstr>_Toc390179891</vt:lpwstr>
      </vt:variant>
      <vt:variant>
        <vt:i4>2031676</vt:i4>
      </vt:variant>
      <vt:variant>
        <vt:i4>584</vt:i4>
      </vt:variant>
      <vt:variant>
        <vt:i4>0</vt:i4>
      </vt:variant>
      <vt:variant>
        <vt:i4>5</vt:i4>
      </vt:variant>
      <vt:variant>
        <vt:lpwstr/>
      </vt:variant>
      <vt:variant>
        <vt:lpwstr>_Toc390179890</vt:lpwstr>
      </vt:variant>
      <vt:variant>
        <vt:i4>1966140</vt:i4>
      </vt:variant>
      <vt:variant>
        <vt:i4>578</vt:i4>
      </vt:variant>
      <vt:variant>
        <vt:i4>0</vt:i4>
      </vt:variant>
      <vt:variant>
        <vt:i4>5</vt:i4>
      </vt:variant>
      <vt:variant>
        <vt:lpwstr/>
      </vt:variant>
      <vt:variant>
        <vt:lpwstr>_Toc390179889</vt:lpwstr>
      </vt:variant>
      <vt:variant>
        <vt:i4>1966140</vt:i4>
      </vt:variant>
      <vt:variant>
        <vt:i4>572</vt:i4>
      </vt:variant>
      <vt:variant>
        <vt:i4>0</vt:i4>
      </vt:variant>
      <vt:variant>
        <vt:i4>5</vt:i4>
      </vt:variant>
      <vt:variant>
        <vt:lpwstr/>
      </vt:variant>
      <vt:variant>
        <vt:lpwstr>_Toc390179888</vt:lpwstr>
      </vt:variant>
      <vt:variant>
        <vt:i4>1966140</vt:i4>
      </vt:variant>
      <vt:variant>
        <vt:i4>566</vt:i4>
      </vt:variant>
      <vt:variant>
        <vt:i4>0</vt:i4>
      </vt:variant>
      <vt:variant>
        <vt:i4>5</vt:i4>
      </vt:variant>
      <vt:variant>
        <vt:lpwstr/>
      </vt:variant>
      <vt:variant>
        <vt:lpwstr>_Toc390179887</vt:lpwstr>
      </vt:variant>
      <vt:variant>
        <vt:i4>1966140</vt:i4>
      </vt:variant>
      <vt:variant>
        <vt:i4>560</vt:i4>
      </vt:variant>
      <vt:variant>
        <vt:i4>0</vt:i4>
      </vt:variant>
      <vt:variant>
        <vt:i4>5</vt:i4>
      </vt:variant>
      <vt:variant>
        <vt:lpwstr/>
      </vt:variant>
      <vt:variant>
        <vt:lpwstr>_Toc390179886</vt:lpwstr>
      </vt:variant>
      <vt:variant>
        <vt:i4>1966140</vt:i4>
      </vt:variant>
      <vt:variant>
        <vt:i4>554</vt:i4>
      </vt:variant>
      <vt:variant>
        <vt:i4>0</vt:i4>
      </vt:variant>
      <vt:variant>
        <vt:i4>5</vt:i4>
      </vt:variant>
      <vt:variant>
        <vt:lpwstr/>
      </vt:variant>
      <vt:variant>
        <vt:lpwstr>_Toc390179885</vt:lpwstr>
      </vt:variant>
      <vt:variant>
        <vt:i4>1966140</vt:i4>
      </vt:variant>
      <vt:variant>
        <vt:i4>548</vt:i4>
      </vt:variant>
      <vt:variant>
        <vt:i4>0</vt:i4>
      </vt:variant>
      <vt:variant>
        <vt:i4>5</vt:i4>
      </vt:variant>
      <vt:variant>
        <vt:lpwstr/>
      </vt:variant>
      <vt:variant>
        <vt:lpwstr>_Toc390179884</vt:lpwstr>
      </vt:variant>
      <vt:variant>
        <vt:i4>1966140</vt:i4>
      </vt:variant>
      <vt:variant>
        <vt:i4>542</vt:i4>
      </vt:variant>
      <vt:variant>
        <vt:i4>0</vt:i4>
      </vt:variant>
      <vt:variant>
        <vt:i4>5</vt:i4>
      </vt:variant>
      <vt:variant>
        <vt:lpwstr/>
      </vt:variant>
      <vt:variant>
        <vt:lpwstr>_Toc390179883</vt:lpwstr>
      </vt:variant>
      <vt:variant>
        <vt:i4>1966140</vt:i4>
      </vt:variant>
      <vt:variant>
        <vt:i4>536</vt:i4>
      </vt:variant>
      <vt:variant>
        <vt:i4>0</vt:i4>
      </vt:variant>
      <vt:variant>
        <vt:i4>5</vt:i4>
      </vt:variant>
      <vt:variant>
        <vt:lpwstr/>
      </vt:variant>
      <vt:variant>
        <vt:lpwstr>_Toc390179882</vt:lpwstr>
      </vt:variant>
      <vt:variant>
        <vt:i4>1966140</vt:i4>
      </vt:variant>
      <vt:variant>
        <vt:i4>530</vt:i4>
      </vt:variant>
      <vt:variant>
        <vt:i4>0</vt:i4>
      </vt:variant>
      <vt:variant>
        <vt:i4>5</vt:i4>
      </vt:variant>
      <vt:variant>
        <vt:lpwstr/>
      </vt:variant>
      <vt:variant>
        <vt:lpwstr>_Toc390179881</vt:lpwstr>
      </vt:variant>
      <vt:variant>
        <vt:i4>1966140</vt:i4>
      </vt:variant>
      <vt:variant>
        <vt:i4>524</vt:i4>
      </vt:variant>
      <vt:variant>
        <vt:i4>0</vt:i4>
      </vt:variant>
      <vt:variant>
        <vt:i4>5</vt:i4>
      </vt:variant>
      <vt:variant>
        <vt:lpwstr/>
      </vt:variant>
      <vt:variant>
        <vt:lpwstr>_Toc390179880</vt:lpwstr>
      </vt:variant>
      <vt:variant>
        <vt:i4>1114172</vt:i4>
      </vt:variant>
      <vt:variant>
        <vt:i4>518</vt:i4>
      </vt:variant>
      <vt:variant>
        <vt:i4>0</vt:i4>
      </vt:variant>
      <vt:variant>
        <vt:i4>5</vt:i4>
      </vt:variant>
      <vt:variant>
        <vt:lpwstr/>
      </vt:variant>
      <vt:variant>
        <vt:lpwstr>_Toc390179879</vt:lpwstr>
      </vt:variant>
      <vt:variant>
        <vt:i4>1114172</vt:i4>
      </vt:variant>
      <vt:variant>
        <vt:i4>512</vt:i4>
      </vt:variant>
      <vt:variant>
        <vt:i4>0</vt:i4>
      </vt:variant>
      <vt:variant>
        <vt:i4>5</vt:i4>
      </vt:variant>
      <vt:variant>
        <vt:lpwstr/>
      </vt:variant>
      <vt:variant>
        <vt:lpwstr>_Toc390179878</vt:lpwstr>
      </vt:variant>
      <vt:variant>
        <vt:i4>1114172</vt:i4>
      </vt:variant>
      <vt:variant>
        <vt:i4>506</vt:i4>
      </vt:variant>
      <vt:variant>
        <vt:i4>0</vt:i4>
      </vt:variant>
      <vt:variant>
        <vt:i4>5</vt:i4>
      </vt:variant>
      <vt:variant>
        <vt:lpwstr/>
      </vt:variant>
      <vt:variant>
        <vt:lpwstr>_Toc390179877</vt:lpwstr>
      </vt:variant>
      <vt:variant>
        <vt:i4>1114172</vt:i4>
      </vt:variant>
      <vt:variant>
        <vt:i4>500</vt:i4>
      </vt:variant>
      <vt:variant>
        <vt:i4>0</vt:i4>
      </vt:variant>
      <vt:variant>
        <vt:i4>5</vt:i4>
      </vt:variant>
      <vt:variant>
        <vt:lpwstr/>
      </vt:variant>
      <vt:variant>
        <vt:lpwstr>_Toc390179876</vt:lpwstr>
      </vt:variant>
      <vt:variant>
        <vt:i4>1114172</vt:i4>
      </vt:variant>
      <vt:variant>
        <vt:i4>494</vt:i4>
      </vt:variant>
      <vt:variant>
        <vt:i4>0</vt:i4>
      </vt:variant>
      <vt:variant>
        <vt:i4>5</vt:i4>
      </vt:variant>
      <vt:variant>
        <vt:lpwstr/>
      </vt:variant>
      <vt:variant>
        <vt:lpwstr>_Toc390179875</vt:lpwstr>
      </vt:variant>
      <vt:variant>
        <vt:i4>1114172</vt:i4>
      </vt:variant>
      <vt:variant>
        <vt:i4>488</vt:i4>
      </vt:variant>
      <vt:variant>
        <vt:i4>0</vt:i4>
      </vt:variant>
      <vt:variant>
        <vt:i4>5</vt:i4>
      </vt:variant>
      <vt:variant>
        <vt:lpwstr/>
      </vt:variant>
      <vt:variant>
        <vt:lpwstr>_Toc390179874</vt:lpwstr>
      </vt:variant>
      <vt:variant>
        <vt:i4>1114172</vt:i4>
      </vt:variant>
      <vt:variant>
        <vt:i4>482</vt:i4>
      </vt:variant>
      <vt:variant>
        <vt:i4>0</vt:i4>
      </vt:variant>
      <vt:variant>
        <vt:i4>5</vt:i4>
      </vt:variant>
      <vt:variant>
        <vt:lpwstr/>
      </vt:variant>
      <vt:variant>
        <vt:lpwstr>_Toc390179873</vt:lpwstr>
      </vt:variant>
      <vt:variant>
        <vt:i4>1114172</vt:i4>
      </vt:variant>
      <vt:variant>
        <vt:i4>476</vt:i4>
      </vt:variant>
      <vt:variant>
        <vt:i4>0</vt:i4>
      </vt:variant>
      <vt:variant>
        <vt:i4>5</vt:i4>
      </vt:variant>
      <vt:variant>
        <vt:lpwstr/>
      </vt:variant>
      <vt:variant>
        <vt:lpwstr>_Toc390179872</vt:lpwstr>
      </vt:variant>
      <vt:variant>
        <vt:i4>1114172</vt:i4>
      </vt:variant>
      <vt:variant>
        <vt:i4>470</vt:i4>
      </vt:variant>
      <vt:variant>
        <vt:i4>0</vt:i4>
      </vt:variant>
      <vt:variant>
        <vt:i4>5</vt:i4>
      </vt:variant>
      <vt:variant>
        <vt:lpwstr/>
      </vt:variant>
      <vt:variant>
        <vt:lpwstr>_Toc390179871</vt:lpwstr>
      </vt:variant>
      <vt:variant>
        <vt:i4>1114172</vt:i4>
      </vt:variant>
      <vt:variant>
        <vt:i4>464</vt:i4>
      </vt:variant>
      <vt:variant>
        <vt:i4>0</vt:i4>
      </vt:variant>
      <vt:variant>
        <vt:i4>5</vt:i4>
      </vt:variant>
      <vt:variant>
        <vt:lpwstr/>
      </vt:variant>
      <vt:variant>
        <vt:lpwstr>_Toc390179870</vt:lpwstr>
      </vt:variant>
      <vt:variant>
        <vt:i4>1048636</vt:i4>
      </vt:variant>
      <vt:variant>
        <vt:i4>458</vt:i4>
      </vt:variant>
      <vt:variant>
        <vt:i4>0</vt:i4>
      </vt:variant>
      <vt:variant>
        <vt:i4>5</vt:i4>
      </vt:variant>
      <vt:variant>
        <vt:lpwstr/>
      </vt:variant>
      <vt:variant>
        <vt:lpwstr>_Toc390179869</vt:lpwstr>
      </vt:variant>
      <vt:variant>
        <vt:i4>1048636</vt:i4>
      </vt:variant>
      <vt:variant>
        <vt:i4>452</vt:i4>
      </vt:variant>
      <vt:variant>
        <vt:i4>0</vt:i4>
      </vt:variant>
      <vt:variant>
        <vt:i4>5</vt:i4>
      </vt:variant>
      <vt:variant>
        <vt:lpwstr/>
      </vt:variant>
      <vt:variant>
        <vt:lpwstr>_Toc390179868</vt:lpwstr>
      </vt:variant>
      <vt:variant>
        <vt:i4>1048636</vt:i4>
      </vt:variant>
      <vt:variant>
        <vt:i4>446</vt:i4>
      </vt:variant>
      <vt:variant>
        <vt:i4>0</vt:i4>
      </vt:variant>
      <vt:variant>
        <vt:i4>5</vt:i4>
      </vt:variant>
      <vt:variant>
        <vt:lpwstr/>
      </vt:variant>
      <vt:variant>
        <vt:lpwstr>_Toc390179867</vt:lpwstr>
      </vt:variant>
      <vt:variant>
        <vt:i4>1048636</vt:i4>
      </vt:variant>
      <vt:variant>
        <vt:i4>440</vt:i4>
      </vt:variant>
      <vt:variant>
        <vt:i4>0</vt:i4>
      </vt:variant>
      <vt:variant>
        <vt:i4>5</vt:i4>
      </vt:variant>
      <vt:variant>
        <vt:lpwstr/>
      </vt:variant>
      <vt:variant>
        <vt:lpwstr>_Toc390179866</vt:lpwstr>
      </vt:variant>
      <vt:variant>
        <vt:i4>1048636</vt:i4>
      </vt:variant>
      <vt:variant>
        <vt:i4>434</vt:i4>
      </vt:variant>
      <vt:variant>
        <vt:i4>0</vt:i4>
      </vt:variant>
      <vt:variant>
        <vt:i4>5</vt:i4>
      </vt:variant>
      <vt:variant>
        <vt:lpwstr/>
      </vt:variant>
      <vt:variant>
        <vt:lpwstr>_Toc390179865</vt:lpwstr>
      </vt:variant>
      <vt:variant>
        <vt:i4>1048636</vt:i4>
      </vt:variant>
      <vt:variant>
        <vt:i4>428</vt:i4>
      </vt:variant>
      <vt:variant>
        <vt:i4>0</vt:i4>
      </vt:variant>
      <vt:variant>
        <vt:i4>5</vt:i4>
      </vt:variant>
      <vt:variant>
        <vt:lpwstr/>
      </vt:variant>
      <vt:variant>
        <vt:lpwstr>_Toc390179864</vt:lpwstr>
      </vt:variant>
      <vt:variant>
        <vt:i4>1048636</vt:i4>
      </vt:variant>
      <vt:variant>
        <vt:i4>422</vt:i4>
      </vt:variant>
      <vt:variant>
        <vt:i4>0</vt:i4>
      </vt:variant>
      <vt:variant>
        <vt:i4>5</vt:i4>
      </vt:variant>
      <vt:variant>
        <vt:lpwstr/>
      </vt:variant>
      <vt:variant>
        <vt:lpwstr>_Toc390179863</vt:lpwstr>
      </vt:variant>
      <vt:variant>
        <vt:i4>1048636</vt:i4>
      </vt:variant>
      <vt:variant>
        <vt:i4>416</vt:i4>
      </vt:variant>
      <vt:variant>
        <vt:i4>0</vt:i4>
      </vt:variant>
      <vt:variant>
        <vt:i4>5</vt:i4>
      </vt:variant>
      <vt:variant>
        <vt:lpwstr/>
      </vt:variant>
      <vt:variant>
        <vt:lpwstr>_Toc390179862</vt:lpwstr>
      </vt:variant>
      <vt:variant>
        <vt:i4>1048636</vt:i4>
      </vt:variant>
      <vt:variant>
        <vt:i4>410</vt:i4>
      </vt:variant>
      <vt:variant>
        <vt:i4>0</vt:i4>
      </vt:variant>
      <vt:variant>
        <vt:i4>5</vt:i4>
      </vt:variant>
      <vt:variant>
        <vt:lpwstr/>
      </vt:variant>
      <vt:variant>
        <vt:lpwstr>_Toc390179861</vt:lpwstr>
      </vt:variant>
      <vt:variant>
        <vt:i4>1048636</vt:i4>
      </vt:variant>
      <vt:variant>
        <vt:i4>404</vt:i4>
      </vt:variant>
      <vt:variant>
        <vt:i4>0</vt:i4>
      </vt:variant>
      <vt:variant>
        <vt:i4>5</vt:i4>
      </vt:variant>
      <vt:variant>
        <vt:lpwstr/>
      </vt:variant>
      <vt:variant>
        <vt:lpwstr>_Toc390179860</vt:lpwstr>
      </vt:variant>
      <vt:variant>
        <vt:i4>1245244</vt:i4>
      </vt:variant>
      <vt:variant>
        <vt:i4>398</vt:i4>
      </vt:variant>
      <vt:variant>
        <vt:i4>0</vt:i4>
      </vt:variant>
      <vt:variant>
        <vt:i4>5</vt:i4>
      </vt:variant>
      <vt:variant>
        <vt:lpwstr/>
      </vt:variant>
      <vt:variant>
        <vt:lpwstr>_Toc390179859</vt:lpwstr>
      </vt:variant>
      <vt:variant>
        <vt:i4>1245244</vt:i4>
      </vt:variant>
      <vt:variant>
        <vt:i4>392</vt:i4>
      </vt:variant>
      <vt:variant>
        <vt:i4>0</vt:i4>
      </vt:variant>
      <vt:variant>
        <vt:i4>5</vt:i4>
      </vt:variant>
      <vt:variant>
        <vt:lpwstr/>
      </vt:variant>
      <vt:variant>
        <vt:lpwstr>_Toc390179858</vt:lpwstr>
      </vt:variant>
      <vt:variant>
        <vt:i4>1245244</vt:i4>
      </vt:variant>
      <vt:variant>
        <vt:i4>386</vt:i4>
      </vt:variant>
      <vt:variant>
        <vt:i4>0</vt:i4>
      </vt:variant>
      <vt:variant>
        <vt:i4>5</vt:i4>
      </vt:variant>
      <vt:variant>
        <vt:lpwstr/>
      </vt:variant>
      <vt:variant>
        <vt:lpwstr>_Toc390179857</vt:lpwstr>
      </vt:variant>
      <vt:variant>
        <vt:i4>1245244</vt:i4>
      </vt:variant>
      <vt:variant>
        <vt:i4>380</vt:i4>
      </vt:variant>
      <vt:variant>
        <vt:i4>0</vt:i4>
      </vt:variant>
      <vt:variant>
        <vt:i4>5</vt:i4>
      </vt:variant>
      <vt:variant>
        <vt:lpwstr/>
      </vt:variant>
      <vt:variant>
        <vt:lpwstr>_Toc390179856</vt:lpwstr>
      </vt:variant>
      <vt:variant>
        <vt:i4>1245244</vt:i4>
      </vt:variant>
      <vt:variant>
        <vt:i4>374</vt:i4>
      </vt:variant>
      <vt:variant>
        <vt:i4>0</vt:i4>
      </vt:variant>
      <vt:variant>
        <vt:i4>5</vt:i4>
      </vt:variant>
      <vt:variant>
        <vt:lpwstr/>
      </vt:variant>
      <vt:variant>
        <vt:lpwstr>_Toc390179855</vt:lpwstr>
      </vt:variant>
      <vt:variant>
        <vt:i4>1245244</vt:i4>
      </vt:variant>
      <vt:variant>
        <vt:i4>368</vt:i4>
      </vt:variant>
      <vt:variant>
        <vt:i4>0</vt:i4>
      </vt:variant>
      <vt:variant>
        <vt:i4>5</vt:i4>
      </vt:variant>
      <vt:variant>
        <vt:lpwstr/>
      </vt:variant>
      <vt:variant>
        <vt:lpwstr>_Toc390179854</vt:lpwstr>
      </vt:variant>
      <vt:variant>
        <vt:i4>1245244</vt:i4>
      </vt:variant>
      <vt:variant>
        <vt:i4>362</vt:i4>
      </vt:variant>
      <vt:variant>
        <vt:i4>0</vt:i4>
      </vt:variant>
      <vt:variant>
        <vt:i4>5</vt:i4>
      </vt:variant>
      <vt:variant>
        <vt:lpwstr/>
      </vt:variant>
      <vt:variant>
        <vt:lpwstr>_Toc390179853</vt:lpwstr>
      </vt:variant>
      <vt:variant>
        <vt:i4>1245244</vt:i4>
      </vt:variant>
      <vt:variant>
        <vt:i4>356</vt:i4>
      </vt:variant>
      <vt:variant>
        <vt:i4>0</vt:i4>
      </vt:variant>
      <vt:variant>
        <vt:i4>5</vt:i4>
      </vt:variant>
      <vt:variant>
        <vt:lpwstr/>
      </vt:variant>
      <vt:variant>
        <vt:lpwstr>_Toc390179852</vt:lpwstr>
      </vt:variant>
      <vt:variant>
        <vt:i4>1245244</vt:i4>
      </vt:variant>
      <vt:variant>
        <vt:i4>350</vt:i4>
      </vt:variant>
      <vt:variant>
        <vt:i4>0</vt:i4>
      </vt:variant>
      <vt:variant>
        <vt:i4>5</vt:i4>
      </vt:variant>
      <vt:variant>
        <vt:lpwstr/>
      </vt:variant>
      <vt:variant>
        <vt:lpwstr>_Toc390179851</vt:lpwstr>
      </vt:variant>
      <vt:variant>
        <vt:i4>1245244</vt:i4>
      </vt:variant>
      <vt:variant>
        <vt:i4>344</vt:i4>
      </vt:variant>
      <vt:variant>
        <vt:i4>0</vt:i4>
      </vt:variant>
      <vt:variant>
        <vt:i4>5</vt:i4>
      </vt:variant>
      <vt:variant>
        <vt:lpwstr/>
      </vt:variant>
      <vt:variant>
        <vt:lpwstr>_Toc390179850</vt:lpwstr>
      </vt:variant>
      <vt:variant>
        <vt:i4>1179708</vt:i4>
      </vt:variant>
      <vt:variant>
        <vt:i4>338</vt:i4>
      </vt:variant>
      <vt:variant>
        <vt:i4>0</vt:i4>
      </vt:variant>
      <vt:variant>
        <vt:i4>5</vt:i4>
      </vt:variant>
      <vt:variant>
        <vt:lpwstr/>
      </vt:variant>
      <vt:variant>
        <vt:lpwstr>_Toc390179849</vt:lpwstr>
      </vt:variant>
      <vt:variant>
        <vt:i4>1179708</vt:i4>
      </vt:variant>
      <vt:variant>
        <vt:i4>332</vt:i4>
      </vt:variant>
      <vt:variant>
        <vt:i4>0</vt:i4>
      </vt:variant>
      <vt:variant>
        <vt:i4>5</vt:i4>
      </vt:variant>
      <vt:variant>
        <vt:lpwstr/>
      </vt:variant>
      <vt:variant>
        <vt:lpwstr>_Toc390179848</vt:lpwstr>
      </vt:variant>
      <vt:variant>
        <vt:i4>1179708</vt:i4>
      </vt:variant>
      <vt:variant>
        <vt:i4>326</vt:i4>
      </vt:variant>
      <vt:variant>
        <vt:i4>0</vt:i4>
      </vt:variant>
      <vt:variant>
        <vt:i4>5</vt:i4>
      </vt:variant>
      <vt:variant>
        <vt:lpwstr/>
      </vt:variant>
      <vt:variant>
        <vt:lpwstr>_Toc390179847</vt:lpwstr>
      </vt:variant>
      <vt:variant>
        <vt:i4>1179708</vt:i4>
      </vt:variant>
      <vt:variant>
        <vt:i4>320</vt:i4>
      </vt:variant>
      <vt:variant>
        <vt:i4>0</vt:i4>
      </vt:variant>
      <vt:variant>
        <vt:i4>5</vt:i4>
      </vt:variant>
      <vt:variant>
        <vt:lpwstr/>
      </vt:variant>
      <vt:variant>
        <vt:lpwstr>_Toc390179846</vt:lpwstr>
      </vt:variant>
      <vt:variant>
        <vt:i4>1179708</vt:i4>
      </vt:variant>
      <vt:variant>
        <vt:i4>314</vt:i4>
      </vt:variant>
      <vt:variant>
        <vt:i4>0</vt:i4>
      </vt:variant>
      <vt:variant>
        <vt:i4>5</vt:i4>
      </vt:variant>
      <vt:variant>
        <vt:lpwstr/>
      </vt:variant>
      <vt:variant>
        <vt:lpwstr>_Toc390179845</vt:lpwstr>
      </vt:variant>
      <vt:variant>
        <vt:i4>1179708</vt:i4>
      </vt:variant>
      <vt:variant>
        <vt:i4>308</vt:i4>
      </vt:variant>
      <vt:variant>
        <vt:i4>0</vt:i4>
      </vt:variant>
      <vt:variant>
        <vt:i4>5</vt:i4>
      </vt:variant>
      <vt:variant>
        <vt:lpwstr/>
      </vt:variant>
      <vt:variant>
        <vt:lpwstr>_Toc390179844</vt:lpwstr>
      </vt:variant>
      <vt:variant>
        <vt:i4>1179708</vt:i4>
      </vt:variant>
      <vt:variant>
        <vt:i4>302</vt:i4>
      </vt:variant>
      <vt:variant>
        <vt:i4>0</vt:i4>
      </vt:variant>
      <vt:variant>
        <vt:i4>5</vt:i4>
      </vt:variant>
      <vt:variant>
        <vt:lpwstr/>
      </vt:variant>
      <vt:variant>
        <vt:lpwstr>_Toc390179843</vt:lpwstr>
      </vt:variant>
      <vt:variant>
        <vt:i4>1179708</vt:i4>
      </vt:variant>
      <vt:variant>
        <vt:i4>296</vt:i4>
      </vt:variant>
      <vt:variant>
        <vt:i4>0</vt:i4>
      </vt:variant>
      <vt:variant>
        <vt:i4>5</vt:i4>
      </vt:variant>
      <vt:variant>
        <vt:lpwstr/>
      </vt:variant>
      <vt:variant>
        <vt:lpwstr>_Toc390179842</vt:lpwstr>
      </vt:variant>
      <vt:variant>
        <vt:i4>1179708</vt:i4>
      </vt:variant>
      <vt:variant>
        <vt:i4>290</vt:i4>
      </vt:variant>
      <vt:variant>
        <vt:i4>0</vt:i4>
      </vt:variant>
      <vt:variant>
        <vt:i4>5</vt:i4>
      </vt:variant>
      <vt:variant>
        <vt:lpwstr/>
      </vt:variant>
      <vt:variant>
        <vt:lpwstr>_Toc390179841</vt:lpwstr>
      </vt:variant>
      <vt:variant>
        <vt:i4>1179708</vt:i4>
      </vt:variant>
      <vt:variant>
        <vt:i4>284</vt:i4>
      </vt:variant>
      <vt:variant>
        <vt:i4>0</vt:i4>
      </vt:variant>
      <vt:variant>
        <vt:i4>5</vt:i4>
      </vt:variant>
      <vt:variant>
        <vt:lpwstr/>
      </vt:variant>
      <vt:variant>
        <vt:lpwstr>_Toc390179840</vt:lpwstr>
      </vt:variant>
      <vt:variant>
        <vt:i4>1376316</vt:i4>
      </vt:variant>
      <vt:variant>
        <vt:i4>278</vt:i4>
      </vt:variant>
      <vt:variant>
        <vt:i4>0</vt:i4>
      </vt:variant>
      <vt:variant>
        <vt:i4>5</vt:i4>
      </vt:variant>
      <vt:variant>
        <vt:lpwstr/>
      </vt:variant>
      <vt:variant>
        <vt:lpwstr>_Toc390179839</vt:lpwstr>
      </vt:variant>
      <vt:variant>
        <vt:i4>1376316</vt:i4>
      </vt:variant>
      <vt:variant>
        <vt:i4>272</vt:i4>
      </vt:variant>
      <vt:variant>
        <vt:i4>0</vt:i4>
      </vt:variant>
      <vt:variant>
        <vt:i4>5</vt:i4>
      </vt:variant>
      <vt:variant>
        <vt:lpwstr/>
      </vt:variant>
      <vt:variant>
        <vt:lpwstr>_Toc390179838</vt:lpwstr>
      </vt:variant>
      <vt:variant>
        <vt:i4>1376316</vt:i4>
      </vt:variant>
      <vt:variant>
        <vt:i4>266</vt:i4>
      </vt:variant>
      <vt:variant>
        <vt:i4>0</vt:i4>
      </vt:variant>
      <vt:variant>
        <vt:i4>5</vt:i4>
      </vt:variant>
      <vt:variant>
        <vt:lpwstr/>
      </vt:variant>
      <vt:variant>
        <vt:lpwstr>_Toc390179837</vt:lpwstr>
      </vt:variant>
      <vt:variant>
        <vt:i4>1376316</vt:i4>
      </vt:variant>
      <vt:variant>
        <vt:i4>260</vt:i4>
      </vt:variant>
      <vt:variant>
        <vt:i4>0</vt:i4>
      </vt:variant>
      <vt:variant>
        <vt:i4>5</vt:i4>
      </vt:variant>
      <vt:variant>
        <vt:lpwstr/>
      </vt:variant>
      <vt:variant>
        <vt:lpwstr>_Toc390179836</vt:lpwstr>
      </vt:variant>
      <vt:variant>
        <vt:i4>1376316</vt:i4>
      </vt:variant>
      <vt:variant>
        <vt:i4>254</vt:i4>
      </vt:variant>
      <vt:variant>
        <vt:i4>0</vt:i4>
      </vt:variant>
      <vt:variant>
        <vt:i4>5</vt:i4>
      </vt:variant>
      <vt:variant>
        <vt:lpwstr/>
      </vt:variant>
      <vt:variant>
        <vt:lpwstr>_Toc390179835</vt:lpwstr>
      </vt:variant>
      <vt:variant>
        <vt:i4>1376316</vt:i4>
      </vt:variant>
      <vt:variant>
        <vt:i4>248</vt:i4>
      </vt:variant>
      <vt:variant>
        <vt:i4>0</vt:i4>
      </vt:variant>
      <vt:variant>
        <vt:i4>5</vt:i4>
      </vt:variant>
      <vt:variant>
        <vt:lpwstr/>
      </vt:variant>
      <vt:variant>
        <vt:lpwstr>_Toc390179834</vt:lpwstr>
      </vt:variant>
      <vt:variant>
        <vt:i4>1376316</vt:i4>
      </vt:variant>
      <vt:variant>
        <vt:i4>242</vt:i4>
      </vt:variant>
      <vt:variant>
        <vt:i4>0</vt:i4>
      </vt:variant>
      <vt:variant>
        <vt:i4>5</vt:i4>
      </vt:variant>
      <vt:variant>
        <vt:lpwstr/>
      </vt:variant>
      <vt:variant>
        <vt:lpwstr>_Toc390179833</vt:lpwstr>
      </vt:variant>
      <vt:variant>
        <vt:i4>1376316</vt:i4>
      </vt:variant>
      <vt:variant>
        <vt:i4>236</vt:i4>
      </vt:variant>
      <vt:variant>
        <vt:i4>0</vt:i4>
      </vt:variant>
      <vt:variant>
        <vt:i4>5</vt:i4>
      </vt:variant>
      <vt:variant>
        <vt:lpwstr/>
      </vt:variant>
      <vt:variant>
        <vt:lpwstr>_Toc390179832</vt:lpwstr>
      </vt:variant>
      <vt:variant>
        <vt:i4>1376316</vt:i4>
      </vt:variant>
      <vt:variant>
        <vt:i4>230</vt:i4>
      </vt:variant>
      <vt:variant>
        <vt:i4>0</vt:i4>
      </vt:variant>
      <vt:variant>
        <vt:i4>5</vt:i4>
      </vt:variant>
      <vt:variant>
        <vt:lpwstr/>
      </vt:variant>
      <vt:variant>
        <vt:lpwstr>_Toc390179831</vt:lpwstr>
      </vt:variant>
      <vt:variant>
        <vt:i4>1376316</vt:i4>
      </vt:variant>
      <vt:variant>
        <vt:i4>224</vt:i4>
      </vt:variant>
      <vt:variant>
        <vt:i4>0</vt:i4>
      </vt:variant>
      <vt:variant>
        <vt:i4>5</vt:i4>
      </vt:variant>
      <vt:variant>
        <vt:lpwstr/>
      </vt:variant>
      <vt:variant>
        <vt:lpwstr>_Toc390179830</vt:lpwstr>
      </vt:variant>
      <vt:variant>
        <vt:i4>1310780</vt:i4>
      </vt:variant>
      <vt:variant>
        <vt:i4>218</vt:i4>
      </vt:variant>
      <vt:variant>
        <vt:i4>0</vt:i4>
      </vt:variant>
      <vt:variant>
        <vt:i4>5</vt:i4>
      </vt:variant>
      <vt:variant>
        <vt:lpwstr/>
      </vt:variant>
      <vt:variant>
        <vt:lpwstr>_Toc390179829</vt:lpwstr>
      </vt:variant>
      <vt:variant>
        <vt:i4>1310780</vt:i4>
      </vt:variant>
      <vt:variant>
        <vt:i4>212</vt:i4>
      </vt:variant>
      <vt:variant>
        <vt:i4>0</vt:i4>
      </vt:variant>
      <vt:variant>
        <vt:i4>5</vt:i4>
      </vt:variant>
      <vt:variant>
        <vt:lpwstr/>
      </vt:variant>
      <vt:variant>
        <vt:lpwstr>_Toc390179828</vt:lpwstr>
      </vt:variant>
      <vt:variant>
        <vt:i4>1310780</vt:i4>
      </vt:variant>
      <vt:variant>
        <vt:i4>206</vt:i4>
      </vt:variant>
      <vt:variant>
        <vt:i4>0</vt:i4>
      </vt:variant>
      <vt:variant>
        <vt:i4>5</vt:i4>
      </vt:variant>
      <vt:variant>
        <vt:lpwstr/>
      </vt:variant>
      <vt:variant>
        <vt:lpwstr>_Toc390179827</vt:lpwstr>
      </vt:variant>
      <vt:variant>
        <vt:i4>1310780</vt:i4>
      </vt:variant>
      <vt:variant>
        <vt:i4>200</vt:i4>
      </vt:variant>
      <vt:variant>
        <vt:i4>0</vt:i4>
      </vt:variant>
      <vt:variant>
        <vt:i4>5</vt:i4>
      </vt:variant>
      <vt:variant>
        <vt:lpwstr/>
      </vt:variant>
      <vt:variant>
        <vt:lpwstr>_Toc390179826</vt:lpwstr>
      </vt:variant>
      <vt:variant>
        <vt:i4>1310780</vt:i4>
      </vt:variant>
      <vt:variant>
        <vt:i4>194</vt:i4>
      </vt:variant>
      <vt:variant>
        <vt:i4>0</vt:i4>
      </vt:variant>
      <vt:variant>
        <vt:i4>5</vt:i4>
      </vt:variant>
      <vt:variant>
        <vt:lpwstr/>
      </vt:variant>
      <vt:variant>
        <vt:lpwstr>_Toc390179825</vt:lpwstr>
      </vt:variant>
      <vt:variant>
        <vt:i4>1310780</vt:i4>
      </vt:variant>
      <vt:variant>
        <vt:i4>188</vt:i4>
      </vt:variant>
      <vt:variant>
        <vt:i4>0</vt:i4>
      </vt:variant>
      <vt:variant>
        <vt:i4>5</vt:i4>
      </vt:variant>
      <vt:variant>
        <vt:lpwstr/>
      </vt:variant>
      <vt:variant>
        <vt:lpwstr>_Toc390179824</vt:lpwstr>
      </vt:variant>
      <vt:variant>
        <vt:i4>1310780</vt:i4>
      </vt:variant>
      <vt:variant>
        <vt:i4>182</vt:i4>
      </vt:variant>
      <vt:variant>
        <vt:i4>0</vt:i4>
      </vt:variant>
      <vt:variant>
        <vt:i4>5</vt:i4>
      </vt:variant>
      <vt:variant>
        <vt:lpwstr/>
      </vt:variant>
      <vt:variant>
        <vt:lpwstr>_Toc390179823</vt:lpwstr>
      </vt:variant>
      <vt:variant>
        <vt:i4>1310780</vt:i4>
      </vt:variant>
      <vt:variant>
        <vt:i4>176</vt:i4>
      </vt:variant>
      <vt:variant>
        <vt:i4>0</vt:i4>
      </vt:variant>
      <vt:variant>
        <vt:i4>5</vt:i4>
      </vt:variant>
      <vt:variant>
        <vt:lpwstr/>
      </vt:variant>
      <vt:variant>
        <vt:lpwstr>_Toc390179822</vt:lpwstr>
      </vt:variant>
      <vt:variant>
        <vt:i4>1310780</vt:i4>
      </vt:variant>
      <vt:variant>
        <vt:i4>170</vt:i4>
      </vt:variant>
      <vt:variant>
        <vt:i4>0</vt:i4>
      </vt:variant>
      <vt:variant>
        <vt:i4>5</vt:i4>
      </vt:variant>
      <vt:variant>
        <vt:lpwstr/>
      </vt:variant>
      <vt:variant>
        <vt:lpwstr>_Toc390179821</vt:lpwstr>
      </vt:variant>
      <vt:variant>
        <vt:i4>1310780</vt:i4>
      </vt:variant>
      <vt:variant>
        <vt:i4>164</vt:i4>
      </vt:variant>
      <vt:variant>
        <vt:i4>0</vt:i4>
      </vt:variant>
      <vt:variant>
        <vt:i4>5</vt:i4>
      </vt:variant>
      <vt:variant>
        <vt:lpwstr/>
      </vt:variant>
      <vt:variant>
        <vt:lpwstr>_Toc390179820</vt:lpwstr>
      </vt:variant>
      <vt:variant>
        <vt:i4>1507388</vt:i4>
      </vt:variant>
      <vt:variant>
        <vt:i4>158</vt:i4>
      </vt:variant>
      <vt:variant>
        <vt:i4>0</vt:i4>
      </vt:variant>
      <vt:variant>
        <vt:i4>5</vt:i4>
      </vt:variant>
      <vt:variant>
        <vt:lpwstr/>
      </vt:variant>
      <vt:variant>
        <vt:lpwstr>_Toc390179819</vt:lpwstr>
      </vt:variant>
      <vt:variant>
        <vt:i4>1507388</vt:i4>
      </vt:variant>
      <vt:variant>
        <vt:i4>152</vt:i4>
      </vt:variant>
      <vt:variant>
        <vt:i4>0</vt:i4>
      </vt:variant>
      <vt:variant>
        <vt:i4>5</vt:i4>
      </vt:variant>
      <vt:variant>
        <vt:lpwstr/>
      </vt:variant>
      <vt:variant>
        <vt:lpwstr>_Toc390179818</vt:lpwstr>
      </vt:variant>
      <vt:variant>
        <vt:i4>1507388</vt:i4>
      </vt:variant>
      <vt:variant>
        <vt:i4>146</vt:i4>
      </vt:variant>
      <vt:variant>
        <vt:i4>0</vt:i4>
      </vt:variant>
      <vt:variant>
        <vt:i4>5</vt:i4>
      </vt:variant>
      <vt:variant>
        <vt:lpwstr/>
      </vt:variant>
      <vt:variant>
        <vt:lpwstr>_Toc390179817</vt:lpwstr>
      </vt:variant>
      <vt:variant>
        <vt:i4>1507388</vt:i4>
      </vt:variant>
      <vt:variant>
        <vt:i4>140</vt:i4>
      </vt:variant>
      <vt:variant>
        <vt:i4>0</vt:i4>
      </vt:variant>
      <vt:variant>
        <vt:i4>5</vt:i4>
      </vt:variant>
      <vt:variant>
        <vt:lpwstr/>
      </vt:variant>
      <vt:variant>
        <vt:lpwstr>_Toc390179816</vt:lpwstr>
      </vt:variant>
      <vt:variant>
        <vt:i4>1507388</vt:i4>
      </vt:variant>
      <vt:variant>
        <vt:i4>134</vt:i4>
      </vt:variant>
      <vt:variant>
        <vt:i4>0</vt:i4>
      </vt:variant>
      <vt:variant>
        <vt:i4>5</vt:i4>
      </vt:variant>
      <vt:variant>
        <vt:lpwstr/>
      </vt:variant>
      <vt:variant>
        <vt:lpwstr>_Toc390179815</vt:lpwstr>
      </vt:variant>
      <vt:variant>
        <vt:i4>1507388</vt:i4>
      </vt:variant>
      <vt:variant>
        <vt:i4>128</vt:i4>
      </vt:variant>
      <vt:variant>
        <vt:i4>0</vt:i4>
      </vt:variant>
      <vt:variant>
        <vt:i4>5</vt:i4>
      </vt:variant>
      <vt:variant>
        <vt:lpwstr/>
      </vt:variant>
      <vt:variant>
        <vt:lpwstr>_Toc390179814</vt:lpwstr>
      </vt:variant>
      <vt:variant>
        <vt:i4>1507388</vt:i4>
      </vt:variant>
      <vt:variant>
        <vt:i4>122</vt:i4>
      </vt:variant>
      <vt:variant>
        <vt:i4>0</vt:i4>
      </vt:variant>
      <vt:variant>
        <vt:i4>5</vt:i4>
      </vt:variant>
      <vt:variant>
        <vt:lpwstr/>
      </vt:variant>
      <vt:variant>
        <vt:lpwstr>_Toc390179813</vt:lpwstr>
      </vt:variant>
      <vt:variant>
        <vt:i4>1507388</vt:i4>
      </vt:variant>
      <vt:variant>
        <vt:i4>116</vt:i4>
      </vt:variant>
      <vt:variant>
        <vt:i4>0</vt:i4>
      </vt:variant>
      <vt:variant>
        <vt:i4>5</vt:i4>
      </vt:variant>
      <vt:variant>
        <vt:lpwstr/>
      </vt:variant>
      <vt:variant>
        <vt:lpwstr>_Toc390179812</vt:lpwstr>
      </vt:variant>
      <vt:variant>
        <vt:i4>1507388</vt:i4>
      </vt:variant>
      <vt:variant>
        <vt:i4>110</vt:i4>
      </vt:variant>
      <vt:variant>
        <vt:i4>0</vt:i4>
      </vt:variant>
      <vt:variant>
        <vt:i4>5</vt:i4>
      </vt:variant>
      <vt:variant>
        <vt:lpwstr/>
      </vt:variant>
      <vt:variant>
        <vt:lpwstr>_Toc390179811</vt:lpwstr>
      </vt:variant>
      <vt:variant>
        <vt:i4>1507388</vt:i4>
      </vt:variant>
      <vt:variant>
        <vt:i4>104</vt:i4>
      </vt:variant>
      <vt:variant>
        <vt:i4>0</vt:i4>
      </vt:variant>
      <vt:variant>
        <vt:i4>5</vt:i4>
      </vt:variant>
      <vt:variant>
        <vt:lpwstr/>
      </vt:variant>
      <vt:variant>
        <vt:lpwstr>_Toc390179810</vt:lpwstr>
      </vt:variant>
      <vt:variant>
        <vt:i4>1441852</vt:i4>
      </vt:variant>
      <vt:variant>
        <vt:i4>98</vt:i4>
      </vt:variant>
      <vt:variant>
        <vt:i4>0</vt:i4>
      </vt:variant>
      <vt:variant>
        <vt:i4>5</vt:i4>
      </vt:variant>
      <vt:variant>
        <vt:lpwstr/>
      </vt:variant>
      <vt:variant>
        <vt:lpwstr>_Toc390179809</vt:lpwstr>
      </vt:variant>
      <vt:variant>
        <vt:i4>1441852</vt:i4>
      </vt:variant>
      <vt:variant>
        <vt:i4>92</vt:i4>
      </vt:variant>
      <vt:variant>
        <vt:i4>0</vt:i4>
      </vt:variant>
      <vt:variant>
        <vt:i4>5</vt:i4>
      </vt:variant>
      <vt:variant>
        <vt:lpwstr/>
      </vt:variant>
      <vt:variant>
        <vt:lpwstr>_Toc390179808</vt:lpwstr>
      </vt:variant>
      <vt:variant>
        <vt:i4>1441852</vt:i4>
      </vt:variant>
      <vt:variant>
        <vt:i4>86</vt:i4>
      </vt:variant>
      <vt:variant>
        <vt:i4>0</vt:i4>
      </vt:variant>
      <vt:variant>
        <vt:i4>5</vt:i4>
      </vt:variant>
      <vt:variant>
        <vt:lpwstr/>
      </vt:variant>
      <vt:variant>
        <vt:lpwstr>_Toc390179807</vt:lpwstr>
      </vt:variant>
      <vt:variant>
        <vt:i4>1441852</vt:i4>
      </vt:variant>
      <vt:variant>
        <vt:i4>80</vt:i4>
      </vt:variant>
      <vt:variant>
        <vt:i4>0</vt:i4>
      </vt:variant>
      <vt:variant>
        <vt:i4>5</vt:i4>
      </vt:variant>
      <vt:variant>
        <vt:lpwstr/>
      </vt:variant>
      <vt:variant>
        <vt:lpwstr>_Toc390179806</vt:lpwstr>
      </vt:variant>
      <vt:variant>
        <vt:i4>1441852</vt:i4>
      </vt:variant>
      <vt:variant>
        <vt:i4>74</vt:i4>
      </vt:variant>
      <vt:variant>
        <vt:i4>0</vt:i4>
      </vt:variant>
      <vt:variant>
        <vt:i4>5</vt:i4>
      </vt:variant>
      <vt:variant>
        <vt:lpwstr/>
      </vt:variant>
      <vt:variant>
        <vt:lpwstr>_Toc390179805</vt:lpwstr>
      </vt:variant>
      <vt:variant>
        <vt:i4>1441852</vt:i4>
      </vt:variant>
      <vt:variant>
        <vt:i4>68</vt:i4>
      </vt:variant>
      <vt:variant>
        <vt:i4>0</vt:i4>
      </vt:variant>
      <vt:variant>
        <vt:i4>5</vt:i4>
      </vt:variant>
      <vt:variant>
        <vt:lpwstr/>
      </vt:variant>
      <vt:variant>
        <vt:lpwstr>_Toc390179804</vt:lpwstr>
      </vt:variant>
      <vt:variant>
        <vt:i4>1441852</vt:i4>
      </vt:variant>
      <vt:variant>
        <vt:i4>62</vt:i4>
      </vt:variant>
      <vt:variant>
        <vt:i4>0</vt:i4>
      </vt:variant>
      <vt:variant>
        <vt:i4>5</vt:i4>
      </vt:variant>
      <vt:variant>
        <vt:lpwstr/>
      </vt:variant>
      <vt:variant>
        <vt:lpwstr>_Toc390179803</vt:lpwstr>
      </vt:variant>
      <vt:variant>
        <vt:i4>1441852</vt:i4>
      </vt:variant>
      <vt:variant>
        <vt:i4>56</vt:i4>
      </vt:variant>
      <vt:variant>
        <vt:i4>0</vt:i4>
      </vt:variant>
      <vt:variant>
        <vt:i4>5</vt:i4>
      </vt:variant>
      <vt:variant>
        <vt:lpwstr/>
      </vt:variant>
      <vt:variant>
        <vt:lpwstr>_Toc390179802</vt:lpwstr>
      </vt:variant>
      <vt:variant>
        <vt:i4>1441852</vt:i4>
      </vt:variant>
      <vt:variant>
        <vt:i4>50</vt:i4>
      </vt:variant>
      <vt:variant>
        <vt:i4>0</vt:i4>
      </vt:variant>
      <vt:variant>
        <vt:i4>5</vt:i4>
      </vt:variant>
      <vt:variant>
        <vt:lpwstr/>
      </vt:variant>
      <vt:variant>
        <vt:lpwstr>_Toc390179801</vt:lpwstr>
      </vt:variant>
      <vt:variant>
        <vt:i4>1441852</vt:i4>
      </vt:variant>
      <vt:variant>
        <vt:i4>44</vt:i4>
      </vt:variant>
      <vt:variant>
        <vt:i4>0</vt:i4>
      </vt:variant>
      <vt:variant>
        <vt:i4>5</vt:i4>
      </vt:variant>
      <vt:variant>
        <vt:lpwstr/>
      </vt:variant>
      <vt:variant>
        <vt:lpwstr>_Toc390179800</vt:lpwstr>
      </vt:variant>
      <vt:variant>
        <vt:i4>2031667</vt:i4>
      </vt:variant>
      <vt:variant>
        <vt:i4>38</vt:i4>
      </vt:variant>
      <vt:variant>
        <vt:i4>0</vt:i4>
      </vt:variant>
      <vt:variant>
        <vt:i4>5</vt:i4>
      </vt:variant>
      <vt:variant>
        <vt:lpwstr/>
      </vt:variant>
      <vt:variant>
        <vt:lpwstr>_Toc390179799</vt:lpwstr>
      </vt:variant>
      <vt:variant>
        <vt:i4>2031667</vt:i4>
      </vt:variant>
      <vt:variant>
        <vt:i4>32</vt:i4>
      </vt:variant>
      <vt:variant>
        <vt:i4>0</vt:i4>
      </vt:variant>
      <vt:variant>
        <vt:i4>5</vt:i4>
      </vt:variant>
      <vt:variant>
        <vt:lpwstr/>
      </vt:variant>
      <vt:variant>
        <vt:lpwstr>_Toc390179798</vt:lpwstr>
      </vt:variant>
      <vt:variant>
        <vt:i4>2031667</vt:i4>
      </vt:variant>
      <vt:variant>
        <vt:i4>26</vt:i4>
      </vt:variant>
      <vt:variant>
        <vt:i4>0</vt:i4>
      </vt:variant>
      <vt:variant>
        <vt:i4>5</vt:i4>
      </vt:variant>
      <vt:variant>
        <vt:lpwstr/>
      </vt:variant>
      <vt:variant>
        <vt:lpwstr>_Toc390179797</vt:lpwstr>
      </vt:variant>
      <vt:variant>
        <vt:i4>2031667</vt:i4>
      </vt:variant>
      <vt:variant>
        <vt:i4>20</vt:i4>
      </vt:variant>
      <vt:variant>
        <vt:i4>0</vt:i4>
      </vt:variant>
      <vt:variant>
        <vt:i4>5</vt:i4>
      </vt:variant>
      <vt:variant>
        <vt:lpwstr/>
      </vt:variant>
      <vt:variant>
        <vt:lpwstr>_Toc390179796</vt:lpwstr>
      </vt:variant>
      <vt:variant>
        <vt:i4>2031667</vt:i4>
      </vt:variant>
      <vt:variant>
        <vt:i4>14</vt:i4>
      </vt:variant>
      <vt:variant>
        <vt:i4>0</vt:i4>
      </vt:variant>
      <vt:variant>
        <vt:i4>5</vt:i4>
      </vt:variant>
      <vt:variant>
        <vt:lpwstr/>
      </vt:variant>
      <vt:variant>
        <vt:lpwstr>_Toc390179795</vt:lpwstr>
      </vt:variant>
      <vt:variant>
        <vt:i4>2031667</vt:i4>
      </vt:variant>
      <vt:variant>
        <vt:i4>8</vt:i4>
      </vt:variant>
      <vt:variant>
        <vt:i4>0</vt:i4>
      </vt:variant>
      <vt:variant>
        <vt:i4>5</vt:i4>
      </vt:variant>
      <vt:variant>
        <vt:lpwstr/>
      </vt:variant>
      <vt:variant>
        <vt:lpwstr>_Toc390179794</vt:lpwstr>
      </vt:variant>
      <vt:variant>
        <vt:i4>2031667</vt:i4>
      </vt:variant>
      <vt:variant>
        <vt:i4>2</vt:i4>
      </vt:variant>
      <vt:variant>
        <vt:i4>0</vt:i4>
      </vt:variant>
      <vt:variant>
        <vt:i4>5</vt:i4>
      </vt:variant>
      <vt:variant>
        <vt:lpwstr/>
      </vt:variant>
      <vt:variant>
        <vt:lpwstr>_Toc390179793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PRŮMYSLU A OBCHODU</dc:title>
  <dc:creator>MPO</dc:creator>
  <cp:lastModifiedBy>Martin Ptáčník</cp:lastModifiedBy>
  <cp:revision>100</cp:revision>
  <cp:lastPrinted>2014-06-25T15:43:00Z</cp:lastPrinted>
  <dcterms:created xsi:type="dcterms:W3CDTF">2014-06-24T05:08:00Z</dcterms:created>
  <dcterms:modified xsi:type="dcterms:W3CDTF">2014-06-26T07:53:00Z</dcterms:modified>
  <cp:contentType>Dokument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0x010100664239D97487854F9179C7D6EE52A648</vt:lpwstr>
  </property>
  <property fmtid="{D5CDD505-2E9C-101B-9397-08002B2CF9AE}" pid="3" name="TemplateUrl">
    <vt:lpwstr/>
  </property>
  <property fmtid="{D5CDD505-2E9C-101B-9397-08002B2CF9AE}" pid="4" name="_SourceUrl">
    <vt:lpwstr/>
  </property>
  <property fmtid="{D5CDD505-2E9C-101B-9397-08002B2CF9AE}" pid="5" name="_SharedFileIndex">
    <vt:lpwstr/>
  </property>
  <property fmtid="{D5CDD505-2E9C-101B-9397-08002B2CF9AE}" pid="6" name="xd_Signature">
    <vt:bool>false</vt:bool>
  </property>
  <property fmtid="{D5CDD505-2E9C-101B-9397-08002B2CF9AE}" pid="7" name="xd_ProgID">
    <vt:lpwstr/>
  </property>
</Properties>
</file>