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8EC4" w14:textId="258E6B98" w:rsidR="006D5A0D" w:rsidRPr="006D5A0D" w:rsidRDefault="006D5A0D" w:rsidP="00FF4AE8">
      <w:pPr>
        <w:spacing w:before="120" w:after="120" w:line="240" w:lineRule="auto"/>
        <w:jc w:val="center"/>
        <w:rPr>
          <w:rFonts w:ascii="Arial" w:eastAsia="Arial" w:hAnsi="Arial"/>
          <w:sz w:val="20"/>
          <w:szCs w:val="20"/>
          <w:lang w:eastAsia="cs-CZ"/>
        </w:rPr>
      </w:pPr>
      <w:r w:rsidRPr="006D5A0D">
        <w:rPr>
          <w:rFonts w:ascii="Arial" w:eastAsia="Arial" w:hAnsi="Arial"/>
          <w:sz w:val="24"/>
          <w:szCs w:val="24"/>
          <w:lang w:eastAsia="cs-CZ"/>
        </w:rPr>
        <w:t xml:space="preserve">Bodové hodnocení žádostí – </w:t>
      </w:r>
      <w:r w:rsidR="000905E4" w:rsidRPr="0086679B">
        <w:rPr>
          <w:rFonts w:cstheme="minorHAnsi"/>
          <w:b/>
          <w:bCs/>
        </w:rPr>
        <w:t>kategorie „dostupné bydlení“</w:t>
      </w:r>
    </w:p>
    <w:p w14:paraId="6A34686A" w14:textId="77777777" w:rsidR="006D5A0D" w:rsidRPr="006D5A0D" w:rsidRDefault="006D5A0D" w:rsidP="00FF4AE8">
      <w:pPr>
        <w:spacing w:before="120" w:after="120" w:line="240" w:lineRule="auto"/>
        <w:jc w:val="both"/>
        <w:rPr>
          <w:rFonts w:ascii="Arial" w:eastAsia="Arial" w:hAnsi="Arial"/>
          <w:sz w:val="20"/>
          <w:szCs w:val="18"/>
          <w:lang w:eastAsia="cs-CZ"/>
        </w:rPr>
      </w:pPr>
    </w:p>
    <w:p w14:paraId="13509F32" w14:textId="77777777" w:rsidR="003923A5" w:rsidRPr="003923A5" w:rsidRDefault="006D5A0D" w:rsidP="00FF4AE8">
      <w:pPr>
        <w:numPr>
          <w:ilvl w:val="0"/>
          <w:numId w:val="1"/>
        </w:numPr>
        <w:spacing w:before="120" w:after="120" w:line="240" w:lineRule="auto"/>
        <w:ind w:left="357" w:hanging="357"/>
        <w:jc w:val="both"/>
        <w:rPr>
          <w:rFonts w:ascii="Arial" w:eastAsia="Arial" w:hAnsi="Arial"/>
          <w:sz w:val="20"/>
          <w:szCs w:val="18"/>
          <w:lang w:eastAsia="cs-CZ"/>
        </w:rPr>
      </w:pPr>
      <w:r w:rsidRPr="003923A5">
        <w:rPr>
          <w:rFonts w:ascii="Arial" w:eastAsia="Arial" w:hAnsi="Arial"/>
          <w:b/>
          <w:sz w:val="20"/>
          <w:szCs w:val="18"/>
          <w:lang w:eastAsia="cs-CZ"/>
        </w:rPr>
        <w:t xml:space="preserve">Délka trvalého nebo skutečného pobytu </w:t>
      </w:r>
      <w:r w:rsidR="000905E4" w:rsidRPr="003923A5">
        <w:rPr>
          <w:rFonts w:ascii="Arial" w:eastAsia="Arial" w:hAnsi="Arial"/>
          <w:b/>
          <w:sz w:val="20"/>
          <w:szCs w:val="18"/>
          <w:lang w:eastAsia="cs-CZ"/>
        </w:rPr>
        <w:t>v Českých Budějovicích</w:t>
      </w:r>
      <w:r w:rsidR="0083176E" w:rsidRPr="003923A5">
        <w:rPr>
          <w:rFonts w:ascii="Arial" w:eastAsia="Arial" w:hAnsi="Arial"/>
          <w:b/>
          <w:sz w:val="20"/>
          <w:szCs w:val="18"/>
          <w:lang w:eastAsia="cs-CZ"/>
        </w:rPr>
        <w:t xml:space="preserve"> nebo v ORP České Budějovice</w:t>
      </w:r>
      <w:r w:rsidRPr="003923A5">
        <w:rPr>
          <w:rFonts w:ascii="Arial" w:eastAsia="Arial" w:hAnsi="Arial"/>
          <w:b/>
          <w:sz w:val="20"/>
          <w:szCs w:val="18"/>
          <w:lang w:eastAsia="cs-CZ"/>
        </w:rPr>
        <w:t xml:space="preserve"> </w:t>
      </w:r>
    </w:p>
    <w:p w14:paraId="713C1939" w14:textId="1378909D" w:rsidR="006D5A0D" w:rsidRPr="003923A5" w:rsidRDefault="006D5A0D" w:rsidP="003923A5">
      <w:pPr>
        <w:spacing w:before="120" w:after="120" w:line="240" w:lineRule="auto"/>
        <w:ind w:left="357"/>
        <w:jc w:val="both"/>
        <w:rPr>
          <w:rFonts w:ascii="Arial" w:eastAsia="Arial" w:hAnsi="Arial"/>
          <w:sz w:val="20"/>
          <w:szCs w:val="18"/>
          <w:lang w:eastAsia="cs-CZ"/>
        </w:rPr>
      </w:pPr>
      <w:r w:rsidRPr="003923A5">
        <w:rPr>
          <w:rFonts w:ascii="Arial" w:eastAsia="Arial" w:hAnsi="Arial"/>
          <w:sz w:val="20"/>
          <w:szCs w:val="18"/>
          <w:lang w:eastAsia="cs-CZ"/>
        </w:rPr>
        <w:t>V případě skutečného pobytu je nutné doložit například nájemní, podnájemní, ubytovací nebo pracovní smlouvou.</w:t>
      </w:r>
    </w:p>
    <w:tbl>
      <w:tblPr>
        <w:tblW w:w="9072" w:type="dxa"/>
        <w:tblInd w:w="113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6D5A0D" w:rsidRPr="006D5A0D" w14:paraId="3279FCB8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08A8E" w14:textId="015E3B39" w:rsidR="006D5A0D" w:rsidRPr="006D5A0D" w:rsidRDefault="006D5A0D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Trvalý/skutečný pobyt v</w:t>
            </w:r>
            <w:r w:rsidR="000905E4">
              <w:rPr>
                <w:rFonts w:ascii="Arial" w:eastAsia="Arial" w:hAnsi="Arial"/>
                <w:sz w:val="20"/>
                <w:szCs w:val="18"/>
                <w:lang w:eastAsia="cs-CZ"/>
              </w:rPr>
              <w:t> Českých Budějovicích</w:t>
            </w: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– méně než 1 rok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04454" w14:textId="77777777" w:rsidR="006D5A0D" w:rsidRPr="006D5A0D" w:rsidRDefault="006D5A0D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0 bodů </w:t>
            </w:r>
          </w:p>
        </w:tc>
      </w:tr>
      <w:tr w:rsidR="006D5A0D" w:rsidRPr="006D5A0D" w14:paraId="29464E1E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0ED26" w14:textId="19735762" w:rsidR="006D5A0D" w:rsidRPr="006D5A0D" w:rsidRDefault="006D5A0D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Trvalý/skutečný pobyt v</w:t>
            </w:r>
            <w:r w:rsidR="000905E4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Českých Budějovicích</w:t>
            </w:r>
            <w:r w:rsidR="000905E4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– alespoň 1 rok a méně než 3 roky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6772A" w14:textId="77777777" w:rsidR="006D5A0D" w:rsidRPr="006D5A0D" w:rsidRDefault="006D5A0D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2 body </w:t>
            </w:r>
          </w:p>
        </w:tc>
      </w:tr>
      <w:tr w:rsidR="006D5A0D" w:rsidRPr="006D5A0D" w14:paraId="68B0736C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F8FCC" w14:textId="0F7F4273" w:rsidR="006D5A0D" w:rsidRPr="006D5A0D" w:rsidRDefault="006D5A0D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Trvalý/skutečný pobyt v </w:t>
            </w:r>
            <w:r w:rsidR="000905E4">
              <w:rPr>
                <w:rFonts w:ascii="Arial" w:eastAsia="Arial" w:hAnsi="Arial"/>
                <w:sz w:val="20"/>
                <w:szCs w:val="18"/>
                <w:lang w:eastAsia="cs-CZ"/>
              </w:rPr>
              <w:t>Českých Budějovicích</w:t>
            </w:r>
            <w:r w:rsidR="000905E4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– alespoň 3 roky a méně než 5 let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C2FBF" w14:textId="77777777" w:rsidR="006D5A0D" w:rsidRPr="006D5A0D" w:rsidRDefault="006D5A0D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4 body</w:t>
            </w:r>
          </w:p>
        </w:tc>
      </w:tr>
      <w:tr w:rsidR="006D5A0D" w:rsidRPr="006D5A0D" w14:paraId="590761D4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8E98D" w14:textId="463FCFD1" w:rsidR="006D5A0D" w:rsidRPr="006D5A0D" w:rsidRDefault="006D5A0D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Trvalý/skutečný pobyt v </w:t>
            </w:r>
            <w:r w:rsidR="000905E4">
              <w:rPr>
                <w:rFonts w:ascii="Arial" w:eastAsia="Arial" w:hAnsi="Arial"/>
                <w:sz w:val="20"/>
                <w:szCs w:val="18"/>
                <w:lang w:eastAsia="cs-CZ"/>
              </w:rPr>
              <w:t>Českých Budějovicích</w:t>
            </w:r>
            <w:r w:rsidR="000905E4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– více jak 5 let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49A12" w14:textId="77777777" w:rsidR="006D5A0D" w:rsidRPr="006D5A0D" w:rsidRDefault="006D5A0D" w:rsidP="00FF4AE8">
            <w:pPr>
              <w:spacing w:before="120" w:after="120" w:line="240" w:lineRule="auto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6 bodů </w:t>
            </w:r>
          </w:p>
        </w:tc>
      </w:tr>
    </w:tbl>
    <w:p w14:paraId="693E7D02" w14:textId="40FB2E8D" w:rsidR="006D5A0D" w:rsidRPr="006D5A0D" w:rsidRDefault="006D5A0D" w:rsidP="00FF4AE8">
      <w:pPr>
        <w:numPr>
          <w:ilvl w:val="0"/>
          <w:numId w:val="1"/>
        </w:numPr>
        <w:spacing w:before="240" w:after="120" w:line="240" w:lineRule="auto"/>
        <w:ind w:left="357" w:hanging="357"/>
        <w:jc w:val="both"/>
        <w:rPr>
          <w:rFonts w:ascii="Arial" w:eastAsia="Arial" w:hAnsi="Arial"/>
          <w:b/>
          <w:sz w:val="20"/>
          <w:szCs w:val="18"/>
          <w:lang w:eastAsia="cs-CZ"/>
        </w:rPr>
      </w:pPr>
      <w:r w:rsidRPr="006D5A0D">
        <w:rPr>
          <w:rFonts w:ascii="Arial" w:eastAsia="Arial" w:hAnsi="Arial"/>
          <w:b/>
          <w:sz w:val="20"/>
          <w:szCs w:val="18"/>
          <w:lang w:eastAsia="cs-CZ"/>
        </w:rPr>
        <w:t xml:space="preserve">Pracovní poměr ve městě </w:t>
      </w:r>
      <w:r w:rsidR="000905E4">
        <w:rPr>
          <w:rFonts w:ascii="Arial" w:eastAsia="Arial" w:hAnsi="Arial"/>
          <w:b/>
          <w:sz w:val="20"/>
          <w:szCs w:val="18"/>
          <w:lang w:eastAsia="cs-CZ"/>
        </w:rPr>
        <w:t>České Budějovice</w:t>
      </w:r>
      <w:r w:rsidRPr="006D5A0D">
        <w:rPr>
          <w:rFonts w:ascii="Arial" w:eastAsia="Arial" w:hAnsi="Arial"/>
          <w:b/>
          <w:sz w:val="20"/>
          <w:szCs w:val="18"/>
          <w:lang w:eastAsia="cs-CZ"/>
        </w:rPr>
        <w:t xml:space="preserve"> včetně místa výkonu práce, sídla nebo pobočky</w:t>
      </w:r>
    </w:p>
    <w:p w14:paraId="6E8F80AE" w14:textId="630B25FB" w:rsidR="006D5A0D" w:rsidRPr="00FF4AE8" w:rsidRDefault="006D5A0D" w:rsidP="00FF4AE8">
      <w:pPr>
        <w:spacing w:before="240" w:after="120" w:line="240" w:lineRule="auto"/>
        <w:jc w:val="both"/>
        <w:rPr>
          <w:rFonts w:ascii="Arial" w:eastAsia="Arial" w:hAnsi="Arial"/>
          <w:sz w:val="20"/>
          <w:szCs w:val="18"/>
          <w:lang w:eastAsia="cs-CZ"/>
        </w:rPr>
      </w:pPr>
      <w:r w:rsidRPr="006D5A0D">
        <w:rPr>
          <w:rFonts w:ascii="Arial" w:eastAsia="Arial" w:hAnsi="Arial"/>
          <w:sz w:val="20"/>
          <w:szCs w:val="18"/>
          <w:lang w:eastAsia="cs-CZ"/>
        </w:rPr>
        <w:t xml:space="preserve">Je nutné doložit pracovní smlouvou, dohodou o pracovní činnosti nebo daňovým přiznáním. </w:t>
      </w:r>
    </w:p>
    <w:tbl>
      <w:tblPr>
        <w:tblW w:w="9072" w:type="dxa"/>
        <w:tblInd w:w="113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6D5A0D" w:rsidRPr="006D5A0D" w14:paraId="2F1F0B55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873A6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Pracovní poměr – méně než 1 rok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95218" w14:textId="1252E2EE" w:rsidR="006D5A0D" w:rsidRPr="006D5A0D" w:rsidRDefault="00916CA7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2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bod </w:t>
            </w:r>
          </w:p>
        </w:tc>
      </w:tr>
      <w:tr w:rsidR="006D5A0D" w:rsidRPr="006D5A0D" w14:paraId="51D58949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28097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Pracovní poměr – alespoň 1 rok a méně než 3 roky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BF57C" w14:textId="5D7AE3F8" w:rsidR="006D5A0D" w:rsidRPr="006D5A0D" w:rsidRDefault="00916CA7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4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body </w:t>
            </w:r>
          </w:p>
        </w:tc>
      </w:tr>
      <w:tr w:rsidR="006D5A0D" w:rsidRPr="006D5A0D" w14:paraId="68E8F7C5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09D4D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Pracovní poměr – alespoň 3 roky a více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360B" w14:textId="691F839C" w:rsidR="006D5A0D" w:rsidRPr="006D5A0D" w:rsidRDefault="00916CA7" w:rsidP="00FF4AE8">
            <w:pPr>
              <w:spacing w:before="240" w:after="120" w:line="240" w:lineRule="auto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6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body</w:t>
            </w:r>
          </w:p>
        </w:tc>
      </w:tr>
    </w:tbl>
    <w:p w14:paraId="0AA3C782" w14:textId="5745977A" w:rsidR="0083176E" w:rsidRPr="0083176E" w:rsidRDefault="006D5A0D" w:rsidP="00FF4AE8">
      <w:pPr>
        <w:pStyle w:val="Odstavecseseznamem"/>
        <w:numPr>
          <w:ilvl w:val="0"/>
          <w:numId w:val="1"/>
        </w:numPr>
        <w:spacing w:before="240" w:after="120" w:line="240" w:lineRule="auto"/>
        <w:ind w:left="360"/>
        <w:jc w:val="both"/>
        <w:rPr>
          <w:rFonts w:ascii="Arial" w:eastAsia="Arial" w:hAnsi="Arial"/>
          <w:b/>
          <w:sz w:val="20"/>
          <w:szCs w:val="18"/>
          <w:lang w:eastAsia="cs-CZ"/>
        </w:rPr>
      </w:pPr>
      <w:r w:rsidRPr="0083176E">
        <w:rPr>
          <w:rFonts w:ascii="Arial" w:eastAsia="Arial" w:hAnsi="Arial"/>
          <w:b/>
          <w:sz w:val="20"/>
          <w:szCs w:val="18"/>
          <w:lang w:eastAsia="cs-CZ"/>
        </w:rPr>
        <w:t xml:space="preserve">Bytová nouze </w:t>
      </w:r>
    </w:p>
    <w:tbl>
      <w:tblPr>
        <w:tblW w:w="9072" w:type="dxa"/>
        <w:tblInd w:w="113" w:type="dxa"/>
        <w:tblLook w:val="04A0" w:firstRow="1" w:lastRow="0" w:firstColumn="1" w:lastColumn="0" w:noHBand="0" w:noVBand="1"/>
      </w:tblPr>
      <w:tblGrid>
        <w:gridCol w:w="7938"/>
        <w:gridCol w:w="1134"/>
      </w:tblGrid>
      <w:tr w:rsidR="006D5A0D" w:rsidRPr="006D5A0D" w14:paraId="1DD583AF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B64F6" w14:textId="27CACD9E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Končící platnost nájemní smlouvy/ztráta bydlení v horizontu </w:t>
            </w:r>
            <w:r w:rsidR="00B14D25">
              <w:rPr>
                <w:rFonts w:ascii="Arial" w:eastAsia="Arial" w:hAnsi="Arial"/>
                <w:sz w:val="20"/>
                <w:szCs w:val="18"/>
                <w:lang w:eastAsia="cs-CZ"/>
              </w:rPr>
              <w:t>6</w:t>
            </w: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měsíců bez možnosti prodloužení (s výjimkou důvodů výpovědi pro nehrazení nájemného nebo porušování dobrých mravů v domě)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CF7A7" w14:textId="77777777" w:rsidR="006D5A0D" w:rsidRPr="006D5A0D" w:rsidRDefault="006D5A0D" w:rsidP="00FF4AE8">
            <w:pPr>
              <w:spacing w:before="240" w:after="120" w:line="240" w:lineRule="auto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783134A8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98507" w14:textId="77777777" w:rsidR="006D5A0D" w:rsidRPr="006D5A0D" w:rsidRDefault="006D5A0D" w:rsidP="00FF4AE8">
            <w:pPr>
              <w:spacing w:before="240" w:after="120" w:line="240" w:lineRule="auto"/>
              <w:ind w:left="2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Absence nájemní/ubytovací smlouvy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116B8" w14:textId="00CC5C50" w:rsidR="006D5A0D" w:rsidRPr="006D5A0D" w:rsidRDefault="006D5A0D" w:rsidP="00FF4AE8">
            <w:pPr>
              <w:spacing w:before="240" w:after="120" w:line="240" w:lineRule="auto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22CF06B2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E0A7E" w14:textId="0562C561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Poživatel dávky státní sociální podpory</w:t>
            </w:r>
            <w:r w:rsidR="00064F88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– </w:t>
            </w:r>
            <w:proofErr w:type="spellStart"/>
            <w:r w:rsidR="00064F88">
              <w:rPr>
                <w:rFonts w:ascii="Arial" w:eastAsia="Arial" w:hAnsi="Arial"/>
                <w:sz w:val="20"/>
                <w:szCs w:val="18"/>
                <w:lang w:eastAsia="cs-CZ"/>
              </w:rPr>
              <w:t>superdávky</w:t>
            </w:r>
            <w:proofErr w:type="spellEnd"/>
            <w:r w:rsidR="00064F88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ve složce na bydlení </w:t>
            </w: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(nutno doložit potvrzením)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5482F" w14:textId="77777777" w:rsidR="006D5A0D" w:rsidRPr="006D5A0D" w:rsidRDefault="006D5A0D" w:rsidP="00FF4AE8">
            <w:pPr>
              <w:spacing w:before="240" w:after="120" w:line="240" w:lineRule="auto"/>
              <w:rPr>
                <w:rFonts w:ascii="Arial" w:hAnsi="Arial"/>
                <w:sz w:val="18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516F4B7D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0A969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Byt se sníženou kvalitou (nevyhovující technické zázemí bytu, topení pouze na tuhá paliva, WC či koupelna mimo bytovou jednotku, nadměrná vlhkost bytu)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01DAC" w14:textId="77777777" w:rsidR="006D5A0D" w:rsidRPr="006D5A0D" w:rsidRDefault="006D5A0D" w:rsidP="00FF4AE8">
            <w:pPr>
              <w:spacing w:before="240" w:after="120" w:line="240" w:lineRule="auto"/>
              <w:rPr>
                <w:rFonts w:ascii="Arial" w:hAnsi="Arial"/>
                <w:sz w:val="18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07402894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FEBED" w14:textId="3A12F9AB" w:rsidR="006D5A0D" w:rsidRPr="006D5A0D" w:rsidRDefault="006D5A0D" w:rsidP="00FF4AE8">
            <w:pPr>
              <w:spacing w:before="240" w:after="120" w:line="240" w:lineRule="auto"/>
              <w:ind w:left="2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Současné nevyhovující bydlení u rodičů, příbuzných nebo známých</w:t>
            </w:r>
            <w:r w:rsidR="0002228D">
              <w:rPr>
                <w:rFonts w:ascii="Arial" w:eastAsia="Arial" w:hAnsi="Arial"/>
                <w:sz w:val="20"/>
                <w:szCs w:val="18"/>
                <w:lang w:eastAsia="cs-CZ"/>
              </w:rPr>
              <w:t>, n</w:t>
            </w:r>
            <w:r w:rsidR="0002228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epřiměřenost velikosti bytu vzhledem k počtu členů v domácnosti (</w:t>
            </w:r>
            <w:proofErr w:type="spellStart"/>
            <w:r w:rsidR="0002228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přebydlenost</w:t>
            </w:r>
            <w:proofErr w:type="spellEnd"/>
            <w:r w:rsidR="0002228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či naopak příliš velký byt)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AC40E" w14:textId="77777777" w:rsidR="006D5A0D" w:rsidRPr="006D5A0D" w:rsidRDefault="006D5A0D" w:rsidP="00FF4AE8">
            <w:pPr>
              <w:spacing w:before="240" w:after="120" w:line="240" w:lineRule="auto"/>
              <w:rPr>
                <w:rFonts w:ascii="Arial" w:hAnsi="Arial"/>
                <w:sz w:val="18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29A0E8CA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FF34D" w14:textId="77777777" w:rsidR="006D5A0D" w:rsidRPr="006D5A0D" w:rsidRDefault="006D5A0D" w:rsidP="00FF4AE8">
            <w:pPr>
              <w:spacing w:before="240" w:after="120" w:line="240" w:lineRule="auto"/>
              <w:ind w:left="2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Ubytovna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5CA5C" w14:textId="77777777" w:rsidR="006D5A0D" w:rsidRPr="006D5A0D" w:rsidRDefault="006D5A0D" w:rsidP="00FF4AE8">
            <w:pPr>
              <w:spacing w:before="240" w:after="120" w:line="240" w:lineRule="auto"/>
              <w:rPr>
                <w:rFonts w:ascii="Arial" w:hAnsi="Arial"/>
                <w:sz w:val="18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</w:tbl>
    <w:p w14:paraId="5F22A537" w14:textId="77777777" w:rsidR="00FF4AE8" w:rsidRDefault="00FF4AE8" w:rsidP="00FF4AE8">
      <w:pPr>
        <w:spacing w:before="240" w:after="120" w:line="240" w:lineRule="auto"/>
        <w:ind w:left="357"/>
        <w:jc w:val="both"/>
        <w:rPr>
          <w:rFonts w:ascii="Arial" w:eastAsia="Arial" w:hAnsi="Arial"/>
          <w:b/>
          <w:sz w:val="20"/>
          <w:szCs w:val="18"/>
          <w:lang w:eastAsia="cs-CZ"/>
        </w:rPr>
      </w:pPr>
    </w:p>
    <w:p w14:paraId="76357B96" w14:textId="77777777" w:rsidR="00FF4AE8" w:rsidRDefault="00FF4AE8">
      <w:pPr>
        <w:spacing w:after="160" w:line="259" w:lineRule="auto"/>
        <w:rPr>
          <w:rFonts w:ascii="Arial" w:eastAsia="Arial" w:hAnsi="Arial"/>
          <w:b/>
          <w:sz w:val="20"/>
          <w:szCs w:val="18"/>
          <w:lang w:eastAsia="cs-CZ"/>
        </w:rPr>
      </w:pPr>
      <w:r>
        <w:rPr>
          <w:rFonts w:ascii="Arial" w:eastAsia="Arial" w:hAnsi="Arial"/>
          <w:b/>
          <w:sz w:val="20"/>
          <w:szCs w:val="18"/>
          <w:lang w:eastAsia="cs-CZ"/>
        </w:rPr>
        <w:br w:type="page"/>
      </w:r>
    </w:p>
    <w:p w14:paraId="0760A0DC" w14:textId="4F2915C8" w:rsidR="006D5A0D" w:rsidRPr="006D5A0D" w:rsidRDefault="006D5A0D" w:rsidP="00FF4AE8">
      <w:pPr>
        <w:numPr>
          <w:ilvl w:val="0"/>
          <w:numId w:val="5"/>
        </w:numPr>
        <w:spacing w:before="240" w:after="120" w:line="240" w:lineRule="auto"/>
        <w:ind w:left="303"/>
        <w:jc w:val="both"/>
        <w:rPr>
          <w:rFonts w:ascii="Arial" w:eastAsia="Arial" w:hAnsi="Arial"/>
          <w:b/>
          <w:sz w:val="20"/>
          <w:szCs w:val="18"/>
          <w:lang w:eastAsia="cs-CZ"/>
        </w:rPr>
      </w:pPr>
      <w:r w:rsidRPr="006D5A0D">
        <w:rPr>
          <w:rFonts w:ascii="Arial" w:eastAsia="Arial" w:hAnsi="Arial"/>
          <w:b/>
          <w:sz w:val="20"/>
          <w:szCs w:val="18"/>
          <w:lang w:eastAsia="cs-CZ"/>
        </w:rPr>
        <w:lastRenderedPageBreak/>
        <w:t xml:space="preserve">Znevýhodněná životní situace </w:t>
      </w:r>
    </w:p>
    <w:tbl>
      <w:tblPr>
        <w:tblW w:w="9072" w:type="dxa"/>
        <w:tblInd w:w="113" w:type="dxa"/>
        <w:tblCellMar>
          <w:left w:w="99" w:type="dxa"/>
          <w:right w:w="64" w:type="dxa"/>
        </w:tblCellMar>
        <w:tblLook w:val="04A0" w:firstRow="1" w:lastRow="0" w:firstColumn="1" w:lastColumn="0" w:noHBand="0" w:noVBand="1"/>
      </w:tblPr>
      <w:tblGrid>
        <w:gridCol w:w="7938"/>
        <w:gridCol w:w="1134"/>
      </w:tblGrid>
      <w:tr w:rsidR="006D5A0D" w:rsidRPr="006D5A0D" w14:paraId="7DD4C117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7DF2E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Péče alespoň o jedno nezaopatřené dítě ve společné domácnosti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B796" w14:textId="77777777" w:rsidR="006D5A0D" w:rsidRPr="006D5A0D" w:rsidRDefault="006D5A0D" w:rsidP="00FF4AE8">
            <w:pPr>
              <w:spacing w:before="240" w:after="120" w:line="240" w:lineRule="auto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79BB29BB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09A1F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Péče o dítě v náhradní rodinné péči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58063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77D59A11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CEDFC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Těhotenství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2AA8C" w14:textId="77777777" w:rsidR="006D5A0D" w:rsidRPr="006D5A0D" w:rsidRDefault="006D5A0D" w:rsidP="00FF4AE8">
            <w:pPr>
              <w:spacing w:before="240" w:after="120" w:line="240" w:lineRule="auto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390AFE18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47CE1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Samoživitelství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7A392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5EF2A1FA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2A17A" w14:textId="3F3971DF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Poživatel invalidního důchodu</w:t>
            </w:r>
            <w:r w:rsidR="0083176E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I. nebo II. stupně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9BF74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0DEBF69E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CCFAF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Návrat z ústavní péče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83A93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6A5584EF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0BD60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Osamostatnění po náhradní rodinné péči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DEBA3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275BF054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9B1EB" w14:textId="77777777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Oběť domácího násilí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B7031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6D5A0D" w:rsidRPr="006D5A0D" w14:paraId="13DA2B8C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F88E8" w14:textId="13A54FD5" w:rsidR="006D5A0D" w:rsidRPr="006D5A0D" w:rsidRDefault="006D5A0D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Opuštění azylového domu, domu na půl cesty, chráněného bydlení, terapeutické komunity</w:t>
            </w:r>
            <w:r w:rsidR="009D533B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  <w:r w:rsidR="00E22DF0">
              <w:rPr>
                <w:rFonts w:ascii="Arial" w:eastAsia="Arial" w:hAnsi="Arial"/>
                <w:sz w:val="20"/>
                <w:szCs w:val="18"/>
                <w:lang w:eastAsia="cs-CZ"/>
              </w:rPr>
              <w:t>a jiné sociální služby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3DD36" w14:textId="77777777" w:rsidR="006D5A0D" w:rsidRPr="006D5A0D" w:rsidRDefault="006D5A0D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  <w:tr w:rsidR="000905E4" w:rsidRPr="006D5A0D" w14:paraId="5D7C2C2F" w14:textId="77777777" w:rsidTr="00954BDC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EF6DC" w14:textId="3973FF6E" w:rsidR="000905E4" w:rsidRPr="006D5A0D" w:rsidRDefault="000905E4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Žadatel </w:t>
            </w: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je jednotlivec nad 50 let věku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14C63" w14:textId="435CBAE7" w:rsidR="000905E4" w:rsidRPr="00CC5CA5" w:rsidRDefault="00CC5CA5" w:rsidP="00CC5CA5">
            <w:pPr>
              <w:spacing w:before="240" w:after="120" w:line="240" w:lineRule="auto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proofErr w:type="gramStart"/>
            <w:r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2  </w:t>
            </w:r>
            <w:r w:rsidR="000905E4" w:rsidRPr="00CC5CA5">
              <w:rPr>
                <w:rFonts w:ascii="Arial" w:eastAsia="Arial" w:hAnsi="Arial"/>
                <w:sz w:val="20"/>
                <w:szCs w:val="18"/>
                <w:lang w:eastAsia="cs-CZ"/>
              </w:rPr>
              <w:t>body</w:t>
            </w:r>
            <w:proofErr w:type="gramEnd"/>
          </w:p>
        </w:tc>
      </w:tr>
    </w:tbl>
    <w:p w14:paraId="60AD30D8" w14:textId="77777777" w:rsidR="003923A5" w:rsidRPr="003923A5" w:rsidRDefault="006D5A0D" w:rsidP="003923A5">
      <w:pPr>
        <w:numPr>
          <w:ilvl w:val="0"/>
          <w:numId w:val="1"/>
        </w:numPr>
        <w:spacing w:before="360" w:after="120" w:line="240" w:lineRule="auto"/>
        <w:ind w:left="357" w:hanging="357"/>
        <w:jc w:val="both"/>
        <w:rPr>
          <w:rFonts w:ascii="Arial" w:eastAsia="Arial" w:hAnsi="Arial"/>
          <w:sz w:val="20"/>
          <w:szCs w:val="18"/>
          <w:lang w:eastAsia="cs-CZ"/>
        </w:rPr>
      </w:pPr>
      <w:r w:rsidRPr="003923A5">
        <w:rPr>
          <w:rFonts w:ascii="Arial" w:eastAsia="Arial" w:hAnsi="Arial"/>
          <w:b/>
          <w:sz w:val="20"/>
          <w:szCs w:val="18"/>
          <w:lang w:eastAsia="cs-CZ"/>
        </w:rPr>
        <w:t xml:space="preserve">Body přidělené </w:t>
      </w:r>
      <w:r w:rsidR="00817A3F" w:rsidRPr="003923A5">
        <w:rPr>
          <w:rFonts w:ascii="Arial" w:eastAsia="Arial" w:hAnsi="Arial"/>
          <w:b/>
          <w:sz w:val="20"/>
          <w:szCs w:val="18"/>
          <w:lang w:eastAsia="cs-CZ"/>
        </w:rPr>
        <w:t>Odborným konziliem (pracovní skupinou)</w:t>
      </w:r>
      <w:r w:rsidRPr="003923A5">
        <w:rPr>
          <w:rFonts w:ascii="Arial" w:eastAsia="Arial" w:hAnsi="Arial"/>
          <w:b/>
          <w:sz w:val="20"/>
          <w:szCs w:val="18"/>
          <w:lang w:eastAsia="cs-CZ"/>
        </w:rPr>
        <w:t xml:space="preserve"> dle uvážení </w:t>
      </w:r>
    </w:p>
    <w:p w14:paraId="6C050BDA" w14:textId="3D397794" w:rsidR="006D5A0D" w:rsidRPr="003923A5" w:rsidRDefault="006D5A0D" w:rsidP="003923A5">
      <w:pPr>
        <w:spacing w:before="120" w:after="120" w:line="240" w:lineRule="auto"/>
        <w:ind w:left="357"/>
        <w:jc w:val="both"/>
        <w:rPr>
          <w:rFonts w:ascii="Arial" w:eastAsia="Arial" w:hAnsi="Arial"/>
          <w:sz w:val="20"/>
          <w:szCs w:val="18"/>
          <w:lang w:eastAsia="cs-CZ"/>
        </w:rPr>
      </w:pPr>
      <w:r w:rsidRPr="003923A5">
        <w:rPr>
          <w:rFonts w:ascii="Arial" w:eastAsia="Arial" w:hAnsi="Arial"/>
          <w:sz w:val="20"/>
          <w:szCs w:val="18"/>
          <w:lang w:eastAsia="cs-CZ"/>
        </w:rPr>
        <w:t>Pouze ve věcech, které nejsou zohledněny ve výši zmíněných kategoriích (např. doporučení neziskové organizace).</w:t>
      </w:r>
    </w:p>
    <w:p w14:paraId="18A4A6A7" w14:textId="77777777" w:rsidR="006D5A0D" w:rsidRPr="00FF4AE8" w:rsidRDefault="006D5A0D" w:rsidP="00FF4AE8">
      <w:pPr>
        <w:spacing w:before="120" w:after="120" w:line="240" w:lineRule="auto"/>
        <w:jc w:val="both"/>
        <w:rPr>
          <w:rFonts w:ascii="Arial" w:eastAsia="Arial" w:hAnsi="Arial"/>
          <w:sz w:val="20"/>
          <w:szCs w:val="18"/>
          <w:lang w:eastAsia="cs-CZ"/>
        </w:rPr>
      </w:pPr>
    </w:p>
    <w:p w14:paraId="0CA1C193" w14:textId="77777777" w:rsidR="003923A5" w:rsidRDefault="003923A5" w:rsidP="00FF4AE8">
      <w:pPr>
        <w:spacing w:before="120" w:after="120" w:line="240" w:lineRule="auto"/>
        <w:jc w:val="both"/>
        <w:rPr>
          <w:rFonts w:ascii="Arial" w:eastAsia="Arial" w:hAnsi="Arial"/>
          <w:b/>
          <w:sz w:val="20"/>
          <w:szCs w:val="18"/>
          <w:lang w:eastAsia="cs-CZ"/>
        </w:rPr>
      </w:pPr>
    </w:p>
    <w:p w14:paraId="7F9A2344" w14:textId="51A8F156" w:rsidR="006D5A0D" w:rsidRPr="00FF4AE8" w:rsidRDefault="006D5A0D" w:rsidP="00FF4A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F4AE8">
        <w:rPr>
          <w:rFonts w:ascii="Arial" w:eastAsia="Arial" w:hAnsi="Arial"/>
          <w:b/>
          <w:sz w:val="20"/>
          <w:szCs w:val="18"/>
          <w:lang w:eastAsia="cs-CZ"/>
        </w:rPr>
        <w:t xml:space="preserve">Celkem max. bodů: </w:t>
      </w:r>
      <w:r w:rsidR="00CC5CA5">
        <w:rPr>
          <w:rFonts w:ascii="Arial" w:eastAsia="Arial" w:hAnsi="Arial"/>
          <w:b/>
          <w:sz w:val="20"/>
          <w:szCs w:val="18"/>
          <w:lang w:eastAsia="cs-CZ"/>
        </w:rPr>
        <w:t>59</w:t>
      </w:r>
      <w:r w:rsidRPr="00FF4AE8">
        <w:rPr>
          <w:rFonts w:ascii="Arial" w:eastAsia="Arial" w:hAnsi="Arial"/>
          <w:b/>
          <w:sz w:val="20"/>
          <w:szCs w:val="18"/>
          <w:lang w:eastAsia="cs-CZ"/>
        </w:rPr>
        <w:t xml:space="preserve"> (včetně 3 bodů </w:t>
      </w:r>
      <w:r w:rsidR="00817A3F" w:rsidRPr="00FF4AE8">
        <w:rPr>
          <w:rFonts w:ascii="Arial" w:eastAsia="Arial" w:hAnsi="Arial"/>
          <w:b/>
          <w:sz w:val="20"/>
          <w:szCs w:val="18"/>
          <w:lang w:eastAsia="cs-CZ"/>
        </w:rPr>
        <w:t>Odborného konzilia nebo pracovní skupiny</w:t>
      </w:r>
      <w:r w:rsidRPr="00FF4AE8">
        <w:rPr>
          <w:rFonts w:ascii="Arial" w:eastAsia="Arial" w:hAnsi="Arial"/>
          <w:b/>
          <w:sz w:val="20"/>
          <w:szCs w:val="18"/>
          <w:lang w:eastAsia="cs-CZ"/>
        </w:rPr>
        <w:t>).</w:t>
      </w:r>
    </w:p>
    <w:sectPr w:rsidR="006D5A0D" w:rsidRPr="00FF4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0160" w14:textId="77777777" w:rsidR="00205CA8" w:rsidRDefault="00205CA8" w:rsidP="006D5A0D">
      <w:pPr>
        <w:spacing w:after="0" w:line="240" w:lineRule="auto"/>
      </w:pPr>
      <w:r>
        <w:separator/>
      </w:r>
    </w:p>
  </w:endnote>
  <w:endnote w:type="continuationSeparator" w:id="0">
    <w:p w14:paraId="584122DF" w14:textId="77777777" w:rsidR="00205CA8" w:rsidRDefault="00205CA8" w:rsidP="006D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8C3B" w14:textId="77777777" w:rsidR="00205CA8" w:rsidRDefault="00205CA8" w:rsidP="006D5A0D">
      <w:pPr>
        <w:spacing w:after="0" w:line="240" w:lineRule="auto"/>
      </w:pPr>
      <w:r>
        <w:separator/>
      </w:r>
    </w:p>
  </w:footnote>
  <w:footnote w:type="continuationSeparator" w:id="0">
    <w:p w14:paraId="7BA6EDCA" w14:textId="77777777" w:rsidR="00205CA8" w:rsidRDefault="00205CA8" w:rsidP="006D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B5B9" w14:textId="77777777" w:rsidR="00D41CFD" w:rsidRDefault="00D41C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4A5"/>
    <w:multiLevelType w:val="hybridMultilevel"/>
    <w:tmpl w:val="9D28729E"/>
    <w:lvl w:ilvl="0" w:tplc="5B1EF3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76D"/>
    <w:multiLevelType w:val="hybridMultilevel"/>
    <w:tmpl w:val="BAF84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182"/>
    <w:multiLevelType w:val="hybridMultilevel"/>
    <w:tmpl w:val="1F04675C"/>
    <w:lvl w:ilvl="0" w:tplc="CD8629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A7424"/>
    <w:multiLevelType w:val="hybridMultilevel"/>
    <w:tmpl w:val="5FE8D5E2"/>
    <w:lvl w:ilvl="0" w:tplc="A2CC16B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79671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8001">
    <w:abstractNumId w:val="1"/>
  </w:num>
  <w:num w:numId="3" w16cid:durableId="435171978">
    <w:abstractNumId w:val="2"/>
  </w:num>
  <w:num w:numId="4" w16cid:durableId="1301955251">
    <w:abstractNumId w:val="2"/>
    <w:lvlOverride w:ilvl="0">
      <w:lvl w:ilvl="0" w:tplc="CD8629F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77026617">
    <w:abstractNumId w:val="2"/>
    <w:lvlOverride w:ilvl="0">
      <w:lvl w:ilvl="0" w:tplc="CD8629F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63259823">
    <w:abstractNumId w:val="0"/>
  </w:num>
  <w:num w:numId="7" w16cid:durableId="1089543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0D"/>
    <w:rsid w:val="0002228D"/>
    <w:rsid w:val="00064F88"/>
    <w:rsid w:val="00077DEE"/>
    <w:rsid w:val="000905E4"/>
    <w:rsid w:val="000D1201"/>
    <w:rsid w:val="001378A3"/>
    <w:rsid w:val="00205CA8"/>
    <w:rsid w:val="003923A5"/>
    <w:rsid w:val="004C16B1"/>
    <w:rsid w:val="005D4439"/>
    <w:rsid w:val="00630680"/>
    <w:rsid w:val="00693E90"/>
    <w:rsid w:val="006977CF"/>
    <w:rsid w:val="006D5A0D"/>
    <w:rsid w:val="0072344C"/>
    <w:rsid w:val="00755ABB"/>
    <w:rsid w:val="0081188F"/>
    <w:rsid w:val="00817A3F"/>
    <w:rsid w:val="0083176E"/>
    <w:rsid w:val="008459D0"/>
    <w:rsid w:val="00860971"/>
    <w:rsid w:val="008B17CA"/>
    <w:rsid w:val="00916CA7"/>
    <w:rsid w:val="0094577A"/>
    <w:rsid w:val="009C0687"/>
    <w:rsid w:val="009D533B"/>
    <w:rsid w:val="00A02111"/>
    <w:rsid w:val="00A62B58"/>
    <w:rsid w:val="00A667EE"/>
    <w:rsid w:val="00B004E9"/>
    <w:rsid w:val="00B14D25"/>
    <w:rsid w:val="00C16E49"/>
    <w:rsid w:val="00C3529F"/>
    <w:rsid w:val="00C40B67"/>
    <w:rsid w:val="00C90A86"/>
    <w:rsid w:val="00CC50EF"/>
    <w:rsid w:val="00CC5CA5"/>
    <w:rsid w:val="00CE0C2D"/>
    <w:rsid w:val="00D41956"/>
    <w:rsid w:val="00D41CFD"/>
    <w:rsid w:val="00D71C71"/>
    <w:rsid w:val="00E22DF0"/>
    <w:rsid w:val="00E71FB8"/>
    <w:rsid w:val="00E85DAB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62A"/>
  <w15:chartTrackingRefBased/>
  <w15:docId w15:val="{49E911A1-0B0D-47FB-9952-94BC298A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A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A0D"/>
    <w:pPr>
      <w:spacing w:after="0" w:line="240" w:lineRule="auto"/>
    </w:pPr>
    <w:rPr>
      <w:rFonts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A0D"/>
    <w:rPr>
      <w:rFonts w:ascii="Calibri" w:eastAsia="Calibri" w:hAnsi="Calibri" w:cs="Arial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D5A0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D5A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A0D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4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Vyterna</dc:creator>
  <cp:keywords/>
  <dc:description/>
  <cp:lastModifiedBy>Němcová Žaneta</cp:lastModifiedBy>
  <cp:revision>2</cp:revision>
  <cp:lastPrinted>2025-12-03T08:59:00Z</cp:lastPrinted>
  <dcterms:created xsi:type="dcterms:W3CDTF">2025-12-15T13:48:00Z</dcterms:created>
  <dcterms:modified xsi:type="dcterms:W3CDTF">2025-12-15T13:48:00Z</dcterms:modified>
</cp:coreProperties>
</file>