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D" w:rsidRPr="00512172" w:rsidRDefault="00335B43">
      <w:pPr>
        <w:tabs>
          <w:tab w:val="left" w:pos="900"/>
        </w:tabs>
        <w:rPr>
          <w:rFonts w:ascii="Calibri" w:hAnsi="Calibri"/>
          <w:b/>
          <w:bCs/>
          <w:sz w:val="22"/>
          <w:szCs w:val="22"/>
        </w:rPr>
      </w:pPr>
      <w:r w:rsidRPr="00512172">
        <w:rPr>
          <w:rFonts w:ascii="Calibri" w:hAnsi="Calibri"/>
          <w:b/>
          <w:bCs/>
          <w:sz w:val="22"/>
          <w:szCs w:val="22"/>
        </w:rPr>
        <w:t>Důvodová zpráva</w:t>
      </w:r>
    </w:p>
    <w:p w:rsidR="00767AFD" w:rsidRPr="00512172" w:rsidRDefault="00767AFD">
      <w:pPr>
        <w:tabs>
          <w:tab w:val="left" w:pos="900"/>
        </w:tabs>
        <w:rPr>
          <w:rFonts w:ascii="Calibri" w:hAnsi="Calibri"/>
          <w:b/>
          <w:bCs/>
          <w:sz w:val="22"/>
          <w:szCs w:val="22"/>
        </w:rPr>
      </w:pPr>
    </w:p>
    <w:p w:rsidR="006A7026" w:rsidRDefault="00300674">
      <w:pPr>
        <w:tabs>
          <w:tab w:val="left" w:pos="900"/>
        </w:tabs>
        <w:jc w:val="both"/>
        <w:rPr>
          <w:rFonts w:ascii="Calibri" w:hAnsi="Calibri"/>
          <w:sz w:val="22"/>
          <w:szCs w:val="20"/>
        </w:rPr>
      </w:pPr>
      <w:r>
        <w:rPr>
          <w:rFonts w:ascii="Calibri" w:hAnsi="Calibri"/>
          <w:sz w:val="22"/>
          <w:szCs w:val="22"/>
        </w:rPr>
        <w:t xml:space="preserve">Předkládaným materiálem je radě města, jakožto příslušnému orgánu města, navrhováno vydání nového tržního řádu. Tržní řád je vydáván na základě zákonného zmocnění obsaženého v </w:t>
      </w:r>
      <w:r w:rsidRPr="00300674">
        <w:rPr>
          <w:rFonts w:ascii="Calibri" w:hAnsi="Calibri"/>
          <w:sz w:val="22"/>
          <w:szCs w:val="20"/>
        </w:rPr>
        <w:t>§</w:t>
      </w:r>
      <w:r>
        <w:rPr>
          <w:rFonts w:ascii="Calibri" w:hAnsi="Calibri"/>
          <w:sz w:val="22"/>
          <w:szCs w:val="20"/>
        </w:rPr>
        <w:t xml:space="preserve"> 18 živnostenského zákona, a to ve formě nařízení města, tj. obecně závazného právního předpisu vydávaného v rámci přenesené působnosti města (</w:t>
      </w:r>
      <w:r w:rsidRPr="00300674">
        <w:rPr>
          <w:rFonts w:ascii="Calibri" w:hAnsi="Calibri"/>
          <w:sz w:val="22"/>
          <w:szCs w:val="20"/>
        </w:rPr>
        <w:t>§</w:t>
      </w:r>
      <w:r>
        <w:rPr>
          <w:rFonts w:ascii="Calibri" w:hAnsi="Calibri"/>
          <w:sz w:val="22"/>
          <w:szCs w:val="20"/>
        </w:rPr>
        <w:t xml:space="preserve"> 102 odst. 2 písm. d) zákona o obcích).</w:t>
      </w:r>
    </w:p>
    <w:p w:rsidR="00300674" w:rsidRDefault="00300674">
      <w:pPr>
        <w:tabs>
          <w:tab w:val="left" w:pos="900"/>
        </w:tabs>
        <w:jc w:val="both"/>
        <w:rPr>
          <w:rFonts w:ascii="Calibri" w:hAnsi="Calibri"/>
          <w:sz w:val="22"/>
          <w:szCs w:val="20"/>
        </w:rPr>
      </w:pPr>
    </w:p>
    <w:p w:rsidR="00300674" w:rsidRDefault="00300674">
      <w:pPr>
        <w:tabs>
          <w:tab w:val="left" w:pos="900"/>
        </w:tabs>
        <w:jc w:val="both"/>
        <w:rPr>
          <w:rFonts w:ascii="Calibri" w:hAnsi="Calibri"/>
          <w:sz w:val="22"/>
          <w:szCs w:val="20"/>
        </w:rPr>
      </w:pPr>
      <w:r>
        <w:rPr>
          <w:rFonts w:ascii="Calibri" w:hAnsi="Calibri"/>
          <w:sz w:val="22"/>
          <w:szCs w:val="20"/>
        </w:rPr>
        <w:t>Tržní řád je veřejnoprávní regulací a je tak třeba zdůraznit, že úprava v něm obsažená se nijak nedotýká samosprávných postupů města jakožto vlastníka pozemků a komunikací. Stále tak platí, že ačkoli např. tržní řád na daném místě prodejní místo připouští, stále bude záviset na posouzení městské samosprávy (jde-li o pozemek/komunikaci města), zda na umístění zařízení s danou osobou uzavře dohodu o zvláštním užívání, nájemní smlouvu nebo jinak udělí svůj souhlas vlastníka, anebo nikoli.</w:t>
      </w:r>
    </w:p>
    <w:p w:rsidR="00300674" w:rsidRDefault="00300674">
      <w:pPr>
        <w:tabs>
          <w:tab w:val="left" w:pos="900"/>
        </w:tabs>
        <w:jc w:val="both"/>
        <w:rPr>
          <w:rFonts w:ascii="Calibri" w:hAnsi="Calibri"/>
          <w:sz w:val="22"/>
          <w:szCs w:val="20"/>
        </w:rPr>
      </w:pPr>
    </w:p>
    <w:p w:rsidR="00300674" w:rsidRDefault="00300674">
      <w:pPr>
        <w:tabs>
          <w:tab w:val="left" w:pos="900"/>
        </w:tabs>
        <w:jc w:val="both"/>
        <w:rPr>
          <w:rFonts w:ascii="Calibri" w:hAnsi="Calibri"/>
          <w:sz w:val="22"/>
          <w:szCs w:val="20"/>
        </w:rPr>
      </w:pPr>
      <w:r>
        <w:rPr>
          <w:rFonts w:ascii="Calibri" w:hAnsi="Calibri"/>
          <w:sz w:val="22"/>
          <w:szCs w:val="20"/>
        </w:rPr>
        <w:t xml:space="preserve">Navrhované nařízení, bude-li přijato, nahradí aktuálně platný tržní řád, </w:t>
      </w:r>
      <w:r w:rsidR="00A57ED9">
        <w:rPr>
          <w:rFonts w:ascii="Calibri" w:hAnsi="Calibri"/>
          <w:sz w:val="22"/>
          <w:szCs w:val="20"/>
        </w:rPr>
        <w:t>který byl vydán v roce 2006 a který s ohledem na legislativní změny a aktuální potřeby města již nelze považovat za odpovídající.</w:t>
      </w:r>
    </w:p>
    <w:p w:rsidR="00A57ED9" w:rsidRDefault="00A57ED9">
      <w:pPr>
        <w:tabs>
          <w:tab w:val="left" w:pos="900"/>
        </w:tabs>
        <w:jc w:val="both"/>
        <w:rPr>
          <w:rFonts w:ascii="Calibri" w:hAnsi="Calibri"/>
          <w:sz w:val="22"/>
          <w:szCs w:val="20"/>
        </w:rPr>
      </w:pPr>
    </w:p>
    <w:p w:rsidR="00A57ED9" w:rsidRDefault="00A57ED9">
      <w:pPr>
        <w:tabs>
          <w:tab w:val="left" w:pos="900"/>
        </w:tabs>
        <w:jc w:val="both"/>
        <w:rPr>
          <w:rFonts w:ascii="Calibri" w:hAnsi="Calibri"/>
          <w:sz w:val="22"/>
          <w:szCs w:val="20"/>
        </w:rPr>
      </w:pPr>
      <w:r>
        <w:rPr>
          <w:rFonts w:ascii="Calibri" w:hAnsi="Calibri"/>
          <w:sz w:val="22"/>
          <w:szCs w:val="20"/>
        </w:rPr>
        <w:t>Podstatou tržního řádu je, jak z rozsahu daného zákonného zmocnění vyplývá, úprava pravidel pro prodej zboží, resp. poskytování služeb, uskutečňované na území města mimo provozovnu. Tržní řád se vztahuje na prodej mimo provozovnu bez ohledu na charakter a vlastnictví daného prostranství, tj. týká se i prodeje mimo provozovnu uskutečňovaného na soukromých pozemcích. Tržní řád se naopak ze své podstaty nemůže vztahovat na prodej zboží, resp. poskytování služeb, uskutečňované v provozovně.</w:t>
      </w:r>
    </w:p>
    <w:p w:rsidR="00A57ED9" w:rsidRDefault="00A57ED9">
      <w:pPr>
        <w:tabs>
          <w:tab w:val="left" w:pos="900"/>
        </w:tabs>
        <w:jc w:val="both"/>
        <w:rPr>
          <w:rFonts w:ascii="Calibri" w:hAnsi="Calibri"/>
          <w:sz w:val="22"/>
          <w:szCs w:val="20"/>
        </w:rPr>
      </w:pPr>
    </w:p>
    <w:p w:rsidR="00A57ED9" w:rsidRDefault="00A57ED9">
      <w:pPr>
        <w:tabs>
          <w:tab w:val="left" w:pos="900"/>
        </w:tabs>
        <w:jc w:val="both"/>
        <w:rPr>
          <w:rFonts w:ascii="Calibri" w:hAnsi="Calibri"/>
          <w:sz w:val="22"/>
          <w:szCs w:val="20"/>
        </w:rPr>
      </w:pPr>
      <w:r>
        <w:rPr>
          <w:rFonts w:ascii="Calibri" w:hAnsi="Calibri"/>
          <w:sz w:val="22"/>
          <w:szCs w:val="20"/>
        </w:rPr>
        <w:t>Tržní řád tak upravuje tržnice, tržiště, trhy, tržní místa, restaurační předzahrádky a předsunutá prodejná místa. Tržní řád obsahuje definici těchto míst, přičemž oproti stávajícímu tržnímu řádu došlo k jejich doplnění a upřesnění.</w:t>
      </w:r>
    </w:p>
    <w:p w:rsidR="00A57ED9" w:rsidRDefault="00A57ED9">
      <w:pPr>
        <w:tabs>
          <w:tab w:val="left" w:pos="900"/>
        </w:tabs>
        <w:jc w:val="both"/>
        <w:rPr>
          <w:rFonts w:ascii="Calibri" w:hAnsi="Calibri"/>
          <w:sz w:val="22"/>
          <w:szCs w:val="20"/>
        </w:rPr>
      </w:pPr>
    </w:p>
    <w:p w:rsidR="00A57ED9" w:rsidRDefault="00A57ED9">
      <w:pPr>
        <w:tabs>
          <w:tab w:val="left" w:pos="900"/>
        </w:tabs>
        <w:jc w:val="both"/>
        <w:rPr>
          <w:rFonts w:ascii="Calibri" w:hAnsi="Calibri"/>
          <w:sz w:val="22"/>
          <w:szCs w:val="20"/>
        </w:rPr>
      </w:pPr>
      <w:r>
        <w:rPr>
          <w:rFonts w:ascii="Calibri" w:hAnsi="Calibri"/>
          <w:sz w:val="22"/>
          <w:szCs w:val="20"/>
        </w:rPr>
        <w:t>Základ úpravy v tržním řádu představuje vymezení míst, kde lze shora uvedený prodej uskutečňovat. Oproti stávajícímu tržnímu řádu, který je poměrně striktní a vymezuje jen několik málo míst k prodeji mimo provozovnu, nový tržní řád vychází z odlišné koncepce a tato místa vymezuje různě v závislosti na druhu tohoto místa:</w:t>
      </w:r>
    </w:p>
    <w:p w:rsidR="00A57ED9" w:rsidRDefault="00A57ED9" w:rsidP="00A57ED9">
      <w:pPr>
        <w:pStyle w:val="Odstavecseseznamem"/>
        <w:numPr>
          <w:ilvl w:val="0"/>
          <w:numId w:val="6"/>
        </w:numPr>
        <w:tabs>
          <w:tab w:val="left" w:pos="900"/>
        </w:tabs>
        <w:jc w:val="both"/>
        <w:rPr>
          <w:rFonts w:ascii="Calibri" w:hAnsi="Calibri"/>
          <w:sz w:val="22"/>
          <w:szCs w:val="22"/>
        </w:rPr>
      </w:pPr>
      <w:r>
        <w:rPr>
          <w:rFonts w:ascii="Calibri" w:hAnsi="Calibri"/>
          <w:sz w:val="22"/>
          <w:szCs w:val="22"/>
        </w:rPr>
        <w:t>tržnice, tržiště a trhy</w:t>
      </w:r>
    </w:p>
    <w:p w:rsidR="00A57ED9" w:rsidRDefault="00A57ED9" w:rsidP="00A57ED9">
      <w:pPr>
        <w:pStyle w:val="Odstavecseseznamem"/>
        <w:numPr>
          <w:ilvl w:val="0"/>
          <w:numId w:val="7"/>
        </w:numPr>
        <w:tabs>
          <w:tab w:val="left" w:pos="900"/>
        </w:tabs>
        <w:jc w:val="both"/>
        <w:rPr>
          <w:rFonts w:ascii="Calibri" w:hAnsi="Calibri"/>
          <w:sz w:val="22"/>
          <w:szCs w:val="22"/>
        </w:rPr>
      </w:pPr>
      <w:r>
        <w:rPr>
          <w:rFonts w:ascii="Calibri" w:hAnsi="Calibri"/>
          <w:sz w:val="22"/>
          <w:szCs w:val="22"/>
        </w:rPr>
        <w:t>lze zřizovat pouze na místech výslovně vypočtených v příloze č. 1 (výčtový režim)</w:t>
      </w:r>
    </w:p>
    <w:p w:rsidR="00A57ED9" w:rsidRDefault="00A57ED9" w:rsidP="00A57ED9">
      <w:pPr>
        <w:pStyle w:val="Odstavecseseznamem"/>
        <w:numPr>
          <w:ilvl w:val="0"/>
          <w:numId w:val="6"/>
        </w:numPr>
        <w:tabs>
          <w:tab w:val="left" w:pos="900"/>
        </w:tabs>
        <w:jc w:val="both"/>
        <w:rPr>
          <w:rFonts w:ascii="Calibri" w:hAnsi="Calibri"/>
          <w:sz w:val="22"/>
          <w:szCs w:val="22"/>
        </w:rPr>
      </w:pPr>
      <w:r>
        <w:rPr>
          <w:rFonts w:ascii="Calibri" w:hAnsi="Calibri"/>
          <w:sz w:val="22"/>
          <w:szCs w:val="22"/>
        </w:rPr>
        <w:t>tržní místa</w:t>
      </w:r>
    </w:p>
    <w:p w:rsidR="00A57ED9" w:rsidRDefault="00A57ED9" w:rsidP="00A57ED9">
      <w:pPr>
        <w:pStyle w:val="Odstavecseseznamem"/>
        <w:numPr>
          <w:ilvl w:val="0"/>
          <w:numId w:val="7"/>
        </w:numPr>
        <w:tabs>
          <w:tab w:val="left" w:pos="900"/>
        </w:tabs>
        <w:jc w:val="both"/>
        <w:rPr>
          <w:rFonts w:ascii="Calibri" w:hAnsi="Calibri"/>
          <w:sz w:val="22"/>
          <w:szCs w:val="22"/>
        </w:rPr>
      </w:pPr>
      <w:r>
        <w:rPr>
          <w:rFonts w:ascii="Calibri" w:hAnsi="Calibri"/>
          <w:sz w:val="22"/>
          <w:szCs w:val="22"/>
        </w:rPr>
        <w:t>v historickém jádru města a na Lannově třídě lez zřizovat pouze na místech výslovně vypočtených v příloze č. 1 (výčtový režim)</w:t>
      </w:r>
    </w:p>
    <w:p w:rsidR="00A57ED9" w:rsidRDefault="00A57ED9" w:rsidP="00A57ED9">
      <w:pPr>
        <w:pStyle w:val="Odstavecseseznamem"/>
        <w:numPr>
          <w:ilvl w:val="0"/>
          <w:numId w:val="7"/>
        </w:numPr>
        <w:tabs>
          <w:tab w:val="left" w:pos="900"/>
        </w:tabs>
        <w:jc w:val="both"/>
        <w:rPr>
          <w:rFonts w:ascii="Calibri" w:hAnsi="Calibri"/>
          <w:sz w:val="22"/>
          <w:szCs w:val="22"/>
        </w:rPr>
      </w:pPr>
      <w:r>
        <w:rPr>
          <w:rFonts w:ascii="Calibri" w:hAnsi="Calibri"/>
          <w:sz w:val="22"/>
          <w:szCs w:val="22"/>
        </w:rPr>
        <w:t>na zbytku území města bez omezení (resp. při dodržení obecných podmínek a omezení)</w:t>
      </w:r>
    </w:p>
    <w:p w:rsidR="00A57ED9" w:rsidRDefault="00A57ED9" w:rsidP="00A57ED9">
      <w:pPr>
        <w:pStyle w:val="Odstavecseseznamem"/>
        <w:numPr>
          <w:ilvl w:val="0"/>
          <w:numId w:val="6"/>
        </w:numPr>
        <w:tabs>
          <w:tab w:val="left" w:pos="900"/>
        </w:tabs>
        <w:jc w:val="both"/>
        <w:rPr>
          <w:rFonts w:ascii="Calibri" w:hAnsi="Calibri"/>
          <w:sz w:val="22"/>
          <w:szCs w:val="22"/>
        </w:rPr>
      </w:pPr>
      <w:r>
        <w:rPr>
          <w:rFonts w:ascii="Calibri" w:hAnsi="Calibri"/>
          <w:sz w:val="22"/>
          <w:szCs w:val="22"/>
        </w:rPr>
        <w:t>restaurační předzahrádky a předsunutá prodejní místa</w:t>
      </w:r>
    </w:p>
    <w:p w:rsidR="00A57ED9" w:rsidRDefault="00A57ED9" w:rsidP="00A57ED9">
      <w:pPr>
        <w:pStyle w:val="Odstavecseseznamem"/>
        <w:numPr>
          <w:ilvl w:val="0"/>
          <w:numId w:val="8"/>
        </w:numPr>
        <w:tabs>
          <w:tab w:val="left" w:pos="900"/>
        </w:tabs>
        <w:jc w:val="both"/>
        <w:rPr>
          <w:rFonts w:ascii="Calibri" w:hAnsi="Calibri"/>
          <w:sz w:val="22"/>
          <w:szCs w:val="22"/>
        </w:rPr>
      </w:pPr>
      <w:r>
        <w:rPr>
          <w:rFonts w:ascii="Calibri" w:hAnsi="Calibri"/>
          <w:sz w:val="22"/>
          <w:szCs w:val="22"/>
        </w:rPr>
        <w:t>na celém území města bez omezení (resp. při dodržení obecných podmínek a omezení)</w:t>
      </w:r>
    </w:p>
    <w:p w:rsidR="000A5749" w:rsidRDefault="000A5749" w:rsidP="000A5749">
      <w:pPr>
        <w:tabs>
          <w:tab w:val="left" w:pos="900"/>
        </w:tabs>
        <w:jc w:val="both"/>
        <w:rPr>
          <w:rFonts w:ascii="Calibri" w:hAnsi="Calibri"/>
          <w:sz w:val="22"/>
          <w:szCs w:val="22"/>
        </w:rPr>
      </w:pPr>
    </w:p>
    <w:p w:rsidR="000A5749" w:rsidRDefault="000A5749" w:rsidP="000A5749">
      <w:pPr>
        <w:tabs>
          <w:tab w:val="left" w:pos="900"/>
        </w:tabs>
        <w:jc w:val="both"/>
        <w:rPr>
          <w:rFonts w:ascii="Calibri" w:hAnsi="Calibri"/>
          <w:sz w:val="22"/>
          <w:szCs w:val="22"/>
        </w:rPr>
      </w:pPr>
      <w:r>
        <w:rPr>
          <w:rFonts w:ascii="Calibri" w:hAnsi="Calibri"/>
          <w:sz w:val="22"/>
          <w:szCs w:val="22"/>
        </w:rPr>
        <w:t>Tržní řád dále stanoví určité omezení sortimentu pro prodej uskutečňovaný mimo provozovnu, a to jednak obecným zákazem některých komodit (rozsah vychází z dosavadní úpravy, byly však upřesněny formulace), a jednak zvláštním vymezením přípustného sortimentu pro některá konkrétní místa vypočtená v příloze č. 1. V průběhu roku bude možno podle potřeby přílohu aktualizovat dle požadavků či žádostí vlastníků pozemků, popř. na základě průběžných kontrol prováděných městkou policií nebo pracovníky magistrátu.</w:t>
      </w:r>
    </w:p>
    <w:p w:rsidR="000A5749" w:rsidRDefault="000A5749" w:rsidP="000A5749">
      <w:pPr>
        <w:tabs>
          <w:tab w:val="left" w:pos="900"/>
        </w:tabs>
        <w:jc w:val="both"/>
        <w:rPr>
          <w:rFonts w:ascii="Calibri" w:hAnsi="Calibri"/>
          <w:sz w:val="22"/>
          <w:szCs w:val="22"/>
        </w:rPr>
      </w:pPr>
    </w:p>
    <w:p w:rsidR="000A5749" w:rsidRDefault="000A5749" w:rsidP="000A5749">
      <w:pPr>
        <w:tabs>
          <w:tab w:val="left" w:pos="900"/>
        </w:tabs>
        <w:jc w:val="both"/>
        <w:rPr>
          <w:rFonts w:ascii="Calibri" w:hAnsi="Calibri"/>
          <w:sz w:val="22"/>
          <w:szCs w:val="22"/>
        </w:rPr>
      </w:pPr>
      <w:r>
        <w:rPr>
          <w:rFonts w:ascii="Calibri" w:hAnsi="Calibri"/>
          <w:sz w:val="22"/>
          <w:szCs w:val="22"/>
        </w:rPr>
        <w:t>Tržní řád stanoví rovněž časová omezení prodeje, jak z hlediska ročního období, tak i z hlediska denní doby:</w:t>
      </w:r>
    </w:p>
    <w:p w:rsidR="000A5749" w:rsidRPr="00512172" w:rsidRDefault="000A5749" w:rsidP="000A5749">
      <w:pPr>
        <w:numPr>
          <w:ilvl w:val="0"/>
          <w:numId w:val="9"/>
        </w:numPr>
        <w:jc w:val="both"/>
        <w:rPr>
          <w:rFonts w:ascii="Calibri" w:hAnsi="Calibri"/>
          <w:sz w:val="22"/>
          <w:szCs w:val="22"/>
        </w:rPr>
      </w:pPr>
      <w:r w:rsidRPr="00512172">
        <w:rPr>
          <w:rFonts w:ascii="Calibri" w:hAnsi="Calibri"/>
          <w:sz w:val="22"/>
          <w:szCs w:val="22"/>
        </w:rPr>
        <w:t>tržnice, tržiště, tržní místa a trhy:</w:t>
      </w:r>
    </w:p>
    <w:p w:rsidR="000A5749" w:rsidRPr="00512172" w:rsidRDefault="000A5749" w:rsidP="000A5749">
      <w:pPr>
        <w:numPr>
          <w:ilvl w:val="1"/>
          <w:numId w:val="4"/>
        </w:numPr>
        <w:jc w:val="both"/>
        <w:rPr>
          <w:rFonts w:ascii="Calibri" w:hAnsi="Calibri"/>
          <w:sz w:val="22"/>
          <w:szCs w:val="22"/>
        </w:rPr>
      </w:pPr>
      <w:r w:rsidRPr="00512172">
        <w:rPr>
          <w:rFonts w:ascii="Calibri" w:hAnsi="Calibri"/>
          <w:sz w:val="22"/>
          <w:szCs w:val="22"/>
        </w:rPr>
        <w:t>specificky dle přílohy č. 1 nařízení</w:t>
      </w:r>
    </w:p>
    <w:p w:rsidR="000A5749" w:rsidRPr="000A5749" w:rsidRDefault="000A5749" w:rsidP="000A5749">
      <w:pPr>
        <w:numPr>
          <w:ilvl w:val="1"/>
          <w:numId w:val="4"/>
        </w:numPr>
        <w:jc w:val="both"/>
        <w:rPr>
          <w:rFonts w:ascii="Calibri" w:hAnsi="Calibri"/>
          <w:sz w:val="22"/>
          <w:szCs w:val="22"/>
        </w:rPr>
      </w:pPr>
      <w:r>
        <w:rPr>
          <w:rFonts w:ascii="Calibri" w:hAnsi="Calibri"/>
          <w:sz w:val="22"/>
          <w:szCs w:val="22"/>
        </w:rPr>
        <w:t xml:space="preserve">jinak </w:t>
      </w:r>
      <w:r w:rsidRPr="000A5749">
        <w:rPr>
          <w:rFonts w:ascii="Calibri" w:hAnsi="Calibri"/>
          <w:sz w:val="22"/>
          <w:szCs w:val="22"/>
        </w:rPr>
        <w:t xml:space="preserve">celoroční provoz, doba prodeje či poskytování služeb může započít nejdříve v </w:t>
      </w:r>
      <w:r w:rsidRPr="000A5749">
        <w:rPr>
          <w:rFonts w:ascii="Calibri" w:hAnsi="Calibri"/>
          <w:bCs/>
          <w:sz w:val="22"/>
          <w:szCs w:val="22"/>
        </w:rPr>
        <w:t>6:00</w:t>
      </w:r>
      <w:r w:rsidRPr="000A5749">
        <w:rPr>
          <w:rFonts w:ascii="Calibri" w:hAnsi="Calibri"/>
          <w:sz w:val="22"/>
          <w:szCs w:val="22"/>
        </w:rPr>
        <w:t xml:space="preserve"> a skončit nejpozději v </w:t>
      </w:r>
      <w:r w:rsidRPr="000A5749">
        <w:rPr>
          <w:rFonts w:ascii="Calibri" w:hAnsi="Calibri"/>
          <w:bCs/>
          <w:sz w:val="22"/>
          <w:szCs w:val="22"/>
        </w:rPr>
        <w:t>22:00</w:t>
      </w:r>
      <w:r w:rsidRPr="000A5749">
        <w:rPr>
          <w:rFonts w:ascii="Calibri" w:hAnsi="Calibri"/>
          <w:sz w:val="22"/>
          <w:szCs w:val="22"/>
        </w:rPr>
        <w:t xml:space="preserve"> hod. </w:t>
      </w:r>
    </w:p>
    <w:p w:rsidR="000A5749" w:rsidRPr="000A5749" w:rsidRDefault="000A5749" w:rsidP="000A5749">
      <w:pPr>
        <w:pStyle w:val="Odstavecseseznamem"/>
        <w:numPr>
          <w:ilvl w:val="0"/>
          <w:numId w:val="9"/>
        </w:numPr>
        <w:jc w:val="both"/>
        <w:rPr>
          <w:rFonts w:ascii="Calibri" w:hAnsi="Calibri"/>
          <w:sz w:val="22"/>
          <w:szCs w:val="22"/>
        </w:rPr>
      </w:pPr>
      <w:r w:rsidRPr="000A5749">
        <w:rPr>
          <w:rFonts w:ascii="Calibri" w:hAnsi="Calibri"/>
          <w:sz w:val="22"/>
          <w:szCs w:val="22"/>
        </w:rPr>
        <w:t>restaurační předzahrádky:</w:t>
      </w:r>
    </w:p>
    <w:p w:rsidR="000A5749" w:rsidRPr="00512172" w:rsidRDefault="000A5749" w:rsidP="000A5749">
      <w:pPr>
        <w:numPr>
          <w:ilvl w:val="1"/>
          <w:numId w:val="4"/>
        </w:numPr>
        <w:jc w:val="both"/>
        <w:rPr>
          <w:rFonts w:ascii="Calibri" w:hAnsi="Calibri"/>
          <w:sz w:val="22"/>
          <w:szCs w:val="22"/>
        </w:rPr>
      </w:pPr>
      <w:r w:rsidRPr="00512172">
        <w:rPr>
          <w:rFonts w:ascii="Calibri" w:hAnsi="Calibri"/>
          <w:sz w:val="22"/>
          <w:szCs w:val="22"/>
        </w:rPr>
        <w:t>specificky dle přílohy č. 1 nařízení</w:t>
      </w:r>
    </w:p>
    <w:p w:rsidR="000A5749" w:rsidRPr="00512172" w:rsidRDefault="0001261B" w:rsidP="000A5749">
      <w:pPr>
        <w:numPr>
          <w:ilvl w:val="1"/>
          <w:numId w:val="4"/>
        </w:numPr>
        <w:jc w:val="both"/>
        <w:rPr>
          <w:rFonts w:ascii="Calibri" w:hAnsi="Calibri"/>
          <w:sz w:val="22"/>
          <w:szCs w:val="22"/>
        </w:rPr>
      </w:pPr>
      <w:r>
        <w:rPr>
          <w:rFonts w:ascii="Calibri" w:hAnsi="Calibri"/>
          <w:sz w:val="22"/>
          <w:szCs w:val="22"/>
        </w:rPr>
        <w:lastRenderedPageBreak/>
        <w:t xml:space="preserve">jinak </w:t>
      </w:r>
      <w:r w:rsidR="000A5749" w:rsidRPr="00512172">
        <w:rPr>
          <w:rFonts w:ascii="Calibri" w:hAnsi="Calibri"/>
          <w:sz w:val="22"/>
          <w:szCs w:val="22"/>
        </w:rPr>
        <w:t xml:space="preserve">celoroční provoz, doba prodeje či poskytování služeb může započít nejdříve v </w:t>
      </w:r>
      <w:r w:rsidR="000A5749" w:rsidRPr="006C5EF5">
        <w:rPr>
          <w:rFonts w:ascii="Calibri" w:hAnsi="Calibri"/>
          <w:bCs/>
          <w:sz w:val="22"/>
          <w:szCs w:val="22"/>
        </w:rPr>
        <w:t>6:00</w:t>
      </w:r>
      <w:r w:rsidR="000A5749" w:rsidRPr="00512172">
        <w:rPr>
          <w:rFonts w:ascii="Calibri" w:hAnsi="Calibri"/>
          <w:sz w:val="22"/>
          <w:szCs w:val="22"/>
        </w:rPr>
        <w:t xml:space="preserve"> a skončit nejpozději v </w:t>
      </w:r>
      <w:r w:rsidR="000A5749" w:rsidRPr="006C5EF5">
        <w:rPr>
          <w:rFonts w:ascii="Calibri" w:hAnsi="Calibri"/>
          <w:bCs/>
          <w:sz w:val="22"/>
          <w:szCs w:val="22"/>
        </w:rPr>
        <w:t>22:00</w:t>
      </w:r>
      <w:r w:rsidR="000A5749" w:rsidRPr="00512172">
        <w:rPr>
          <w:rFonts w:ascii="Calibri" w:hAnsi="Calibri"/>
          <w:b/>
          <w:bCs/>
          <w:sz w:val="22"/>
          <w:szCs w:val="22"/>
        </w:rPr>
        <w:t xml:space="preserve"> </w:t>
      </w:r>
      <w:r w:rsidR="000A5749" w:rsidRPr="00512172">
        <w:rPr>
          <w:rFonts w:ascii="Calibri" w:hAnsi="Calibri"/>
          <w:sz w:val="22"/>
          <w:szCs w:val="22"/>
        </w:rPr>
        <w:t xml:space="preserve">hod., je-li následujícím dnem sobota, neděle nebo státní či ostatní svátek nejpozději </w:t>
      </w:r>
      <w:r w:rsidR="000A5749" w:rsidRPr="006C5EF5">
        <w:rPr>
          <w:rFonts w:ascii="Calibri" w:hAnsi="Calibri"/>
          <w:sz w:val="22"/>
          <w:szCs w:val="22"/>
        </w:rPr>
        <w:t xml:space="preserve">v </w:t>
      </w:r>
      <w:r w:rsidR="000A5749" w:rsidRPr="006C5EF5">
        <w:rPr>
          <w:rFonts w:ascii="Calibri" w:hAnsi="Calibri"/>
          <w:bCs/>
          <w:sz w:val="22"/>
          <w:szCs w:val="22"/>
        </w:rPr>
        <w:t>24:00 hod</w:t>
      </w:r>
      <w:r w:rsidR="000A5749" w:rsidRPr="00512172">
        <w:rPr>
          <w:rFonts w:ascii="Calibri" w:hAnsi="Calibri"/>
          <w:sz w:val="22"/>
          <w:szCs w:val="22"/>
        </w:rPr>
        <w:t xml:space="preserve"> (u restauračních předzahrádek mimo historické jádro města), v ostatních případech (historické jádro) může započít nejdříve </w:t>
      </w:r>
      <w:r w:rsidR="000A5749" w:rsidRPr="006C5EF5">
        <w:rPr>
          <w:rFonts w:ascii="Calibri" w:hAnsi="Calibri"/>
          <w:sz w:val="22"/>
          <w:szCs w:val="22"/>
        </w:rPr>
        <w:t xml:space="preserve">v </w:t>
      </w:r>
      <w:r w:rsidR="000A5749" w:rsidRPr="006C5EF5">
        <w:rPr>
          <w:rFonts w:ascii="Calibri" w:hAnsi="Calibri"/>
          <w:bCs/>
          <w:sz w:val="22"/>
          <w:szCs w:val="22"/>
        </w:rPr>
        <w:t>6:00</w:t>
      </w:r>
      <w:r w:rsidR="000A5749" w:rsidRPr="006C5EF5">
        <w:rPr>
          <w:rFonts w:ascii="Calibri" w:hAnsi="Calibri"/>
          <w:sz w:val="22"/>
          <w:szCs w:val="22"/>
        </w:rPr>
        <w:t xml:space="preserve"> a skončit nejpozději v </w:t>
      </w:r>
      <w:r w:rsidR="000A5749" w:rsidRPr="006C5EF5">
        <w:rPr>
          <w:rFonts w:ascii="Calibri" w:hAnsi="Calibri"/>
          <w:bCs/>
          <w:sz w:val="22"/>
          <w:szCs w:val="22"/>
        </w:rPr>
        <w:t>24:00</w:t>
      </w:r>
      <w:r w:rsidR="000A5749" w:rsidRPr="006C5EF5">
        <w:rPr>
          <w:rFonts w:ascii="Calibri" w:hAnsi="Calibri"/>
          <w:sz w:val="22"/>
          <w:szCs w:val="22"/>
        </w:rPr>
        <w:t xml:space="preserve"> ho</w:t>
      </w:r>
      <w:r w:rsidR="000A5749" w:rsidRPr="00512172">
        <w:rPr>
          <w:rFonts w:ascii="Calibri" w:hAnsi="Calibri"/>
          <w:sz w:val="22"/>
          <w:szCs w:val="22"/>
        </w:rPr>
        <w:t xml:space="preserve">d. </w:t>
      </w:r>
    </w:p>
    <w:p w:rsidR="000A5749" w:rsidRPr="000A5749" w:rsidRDefault="000A5749" w:rsidP="000A5749">
      <w:pPr>
        <w:pStyle w:val="Odstavecseseznamem"/>
        <w:numPr>
          <w:ilvl w:val="0"/>
          <w:numId w:val="9"/>
        </w:numPr>
        <w:jc w:val="both"/>
        <w:rPr>
          <w:rFonts w:ascii="Calibri" w:hAnsi="Calibri"/>
          <w:sz w:val="22"/>
          <w:szCs w:val="22"/>
        </w:rPr>
      </w:pPr>
      <w:r w:rsidRPr="000A5749">
        <w:rPr>
          <w:rFonts w:ascii="Calibri" w:hAnsi="Calibri"/>
          <w:sz w:val="22"/>
          <w:szCs w:val="22"/>
        </w:rPr>
        <w:t>předsunutá prodejní místa:</w:t>
      </w:r>
    </w:p>
    <w:p w:rsidR="000A5749" w:rsidRPr="00512172" w:rsidRDefault="000A5749" w:rsidP="000A5749">
      <w:pPr>
        <w:numPr>
          <w:ilvl w:val="1"/>
          <w:numId w:val="4"/>
        </w:numPr>
        <w:jc w:val="both"/>
        <w:rPr>
          <w:rFonts w:ascii="Calibri" w:hAnsi="Calibri"/>
          <w:sz w:val="22"/>
          <w:szCs w:val="22"/>
        </w:rPr>
      </w:pPr>
      <w:r w:rsidRPr="00512172">
        <w:rPr>
          <w:rFonts w:ascii="Calibri" w:hAnsi="Calibri"/>
          <w:sz w:val="22"/>
          <w:szCs w:val="22"/>
        </w:rPr>
        <w:t>specificky dle přílohy č. 1 nařízení</w:t>
      </w:r>
    </w:p>
    <w:p w:rsidR="000A5749" w:rsidRPr="00C9316D" w:rsidRDefault="000A5749" w:rsidP="000A5749">
      <w:pPr>
        <w:numPr>
          <w:ilvl w:val="1"/>
          <w:numId w:val="4"/>
        </w:numPr>
        <w:jc w:val="both"/>
        <w:rPr>
          <w:rFonts w:ascii="Calibri" w:hAnsi="Calibri"/>
          <w:color w:val="auto"/>
          <w:sz w:val="22"/>
          <w:szCs w:val="22"/>
        </w:rPr>
      </w:pPr>
      <w:r w:rsidRPr="00512172">
        <w:rPr>
          <w:rFonts w:ascii="Calibri" w:hAnsi="Calibri"/>
          <w:sz w:val="22"/>
          <w:szCs w:val="22"/>
        </w:rPr>
        <w:t xml:space="preserve">jinak celoroční provoz, doba prodeje či poskytování služeb může započít nejdříve v </w:t>
      </w:r>
      <w:r w:rsidRPr="006C5EF5">
        <w:rPr>
          <w:rFonts w:ascii="Calibri" w:hAnsi="Calibri"/>
          <w:bCs/>
          <w:sz w:val="22"/>
          <w:szCs w:val="22"/>
        </w:rPr>
        <w:t>6:00</w:t>
      </w:r>
      <w:r w:rsidRPr="006C5EF5">
        <w:rPr>
          <w:rFonts w:ascii="Calibri" w:hAnsi="Calibri"/>
          <w:sz w:val="22"/>
          <w:szCs w:val="22"/>
        </w:rPr>
        <w:t xml:space="preserve"> a skončit nejpozději v </w:t>
      </w:r>
      <w:r w:rsidRPr="006C5EF5">
        <w:rPr>
          <w:rFonts w:ascii="Calibri" w:hAnsi="Calibri"/>
          <w:bCs/>
          <w:sz w:val="22"/>
          <w:szCs w:val="22"/>
        </w:rPr>
        <w:t>22:00</w:t>
      </w:r>
      <w:r w:rsidRPr="00512172">
        <w:rPr>
          <w:rFonts w:ascii="Calibri" w:hAnsi="Calibri"/>
          <w:sz w:val="22"/>
          <w:szCs w:val="22"/>
        </w:rPr>
        <w:t xml:space="preserve"> hod</w:t>
      </w:r>
      <w:r w:rsidRPr="00C9316D">
        <w:rPr>
          <w:rFonts w:ascii="Calibri" w:hAnsi="Calibri"/>
          <w:sz w:val="22"/>
          <w:szCs w:val="22"/>
        </w:rPr>
        <w:t xml:space="preserve">., </w:t>
      </w:r>
      <w:r w:rsidRPr="00C9316D">
        <w:rPr>
          <w:rFonts w:ascii="Calibri" w:hAnsi="Calibri"/>
          <w:color w:val="auto"/>
          <w:sz w:val="22"/>
          <w:szCs w:val="22"/>
        </w:rPr>
        <w:t xml:space="preserve">je-li však předsunuté prodejní místo provozováno za účelem adventního prodeje v období od 25.11. do 15.1. skončit nejpozději v </w:t>
      </w:r>
      <w:r w:rsidRPr="00C9316D">
        <w:rPr>
          <w:rFonts w:ascii="Calibri" w:hAnsi="Calibri"/>
          <w:bCs/>
          <w:color w:val="auto"/>
          <w:sz w:val="22"/>
          <w:szCs w:val="22"/>
        </w:rPr>
        <w:t>24:00</w:t>
      </w:r>
      <w:r w:rsidRPr="00C9316D">
        <w:rPr>
          <w:rFonts w:ascii="Calibri" w:hAnsi="Calibri"/>
          <w:b/>
          <w:bCs/>
          <w:color w:val="auto"/>
          <w:sz w:val="22"/>
          <w:szCs w:val="22"/>
        </w:rPr>
        <w:t xml:space="preserve"> </w:t>
      </w:r>
      <w:r w:rsidRPr="00C9316D">
        <w:rPr>
          <w:rFonts w:ascii="Calibri" w:hAnsi="Calibri"/>
          <w:color w:val="auto"/>
          <w:sz w:val="22"/>
          <w:szCs w:val="22"/>
        </w:rPr>
        <w:t>hod.</w:t>
      </w:r>
    </w:p>
    <w:p w:rsidR="000A5749" w:rsidRPr="000A5749" w:rsidRDefault="000A5749" w:rsidP="000A5749">
      <w:pPr>
        <w:tabs>
          <w:tab w:val="left" w:pos="900"/>
        </w:tabs>
        <w:jc w:val="both"/>
        <w:rPr>
          <w:rFonts w:ascii="Calibri" w:hAnsi="Calibri"/>
          <w:sz w:val="22"/>
          <w:szCs w:val="22"/>
        </w:rPr>
      </w:pPr>
    </w:p>
    <w:p w:rsidR="0001261B" w:rsidRDefault="0001261B" w:rsidP="0001261B">
      <w:pPr>
        <w:tabs>
          <w:tab w:val="left" w:pos="900"/>
        </w:tabs>
        <w:jc w:val="both"/>
        <w:rPr>
          <w:rFonts w:ascii="Calibri" w:hAnsi="Calibri"/>
          <w:sz w:val="22"/>
          <w:szCs w:val="22"/>
        </w:rPr>
      </w:pPr>
      <w:r w:rsidRPr="00512172">
        <w:rPr>
          <w:rFonts w:ascii="Calibri" w:hAnsi="Calibri"/>
          <w:sz w:val="22"/>
          <w:szCs w:val="22"/>
        </w:rPr>
        <w:t>Nařízení u</w:t>
      </w:r>
      <w:r w:rsidRPr="00512172">
        <w:rPr>
          <w:rFonts w:ascii="Calibri" w:hAnsi="Calibri"/>
          <w:sz w:val="22"/>
          <w:szCs w:val="22"/>
          <w:lang w:val="fr-FR"/>
        </w:rPr>
        <w:t>pou</w:t>
      </w:r>
      <w:r w:rsidRPr="00512172">
        <w:rPr>
          <w:rFonts w:ascii="Calibri" w:hAnsi="Calibri"/>
          <w:sz w:val="22"/>
          <w:szCs w:val="22"/>
        </w:rPr>
        <w:t xml:space="preserve">ští od odlišování tzv. letních a zimních restauračních předzahrádek a nově je umožněn jejich celoroční provoz. Tzv. punčové stánky (v současné době patřící </w:t>
      </w:r>
      <w:r w:rsidRPr="00512172">
        <w:rPr>
          <w:rFonts w:ascii="Calibri" w:hAnsi="Calibri"/>
          <w:sz w:val="22"/>
          <w:szCs w:val="22"/>
          <w:lang w:val="nl-NL"/>
        </w:rPr>
        <w:t xml:space="preserve">do kategorie </w:t>
      </w:r>
      <w:r w:rsidR="003811EC">
        <w:rPr>
          <w:rFonts w:ascii="Calibri" w:hAnsi="Calibri"/>
          <w:sz w:val="22"/>
          <w:szCs w:val="22"/>
          <w:lang w:val="nl-NL"/>
        </w:rPr>
        <w:t xml:space="preserve">zimních </w:t>
      </w:r>
      <w:r w:rsidRPr="00512172">
        <w:rPr>
          <w:rFonts w:ascii="Calibri" w:hAnsi="Calibri"/>
          <w:sz w:val="22"/>
          <w:szCs w:val="22"/>
        </w:rPr>
        <w:t>předzahrádek) jsou vzhledem k zrušení rozlišování zimních a letních předzahrádek přeřazeny do kategorie předsunutých prodejních míst (předsunuté prodejní místo je mí</w:t>
      </w:r>
      <w:r w:rsidRPr="00512172">
        <w:rPr>
          <w:rFonts w:ascii="Calibri" w:hAnsi="Calibri"/>
          <w:sz w:val="22"/>
          <w:szCs w:val="22"/>
          <w:lang w:val="es-ES_tradnl"/>
        </w:rPr>
        <w:t>sto mimo ur</w:t>
      </w:r>
      <w:r w:rsidRPr="00512172">
        <w:rPr>
          <w:rFonts w:ascii="Calibri" w:hAnsi="Calibri"/>
          <w:sz w:val="22"/>
          <w:szCs w:val="22"/>
        </w:rPr>
        <w:t>č</w:t>
      </w:r>
      <w:r w:rsidR="003811EC">
        <w:rPr>
          <w:rFonts w:ascii="Calibri" w:hAnsi="Calibri"/>
          <w:sz w:val="22"/>
          <w:szCs w:val="22"/>
        </w:rPr>
        <w:t>enou</w:t>
      </w:r>
      <w:r w:rsidRPr="00512172">
        <w:rPr>
          <w:rFonts w:ascii="Calibri" w:hAnsi="Calibri"/>
          <w:sz w:val="22"/>
          <w:szCs w:val="22"/>
        </w:rPr>
        <w:t xml:space="preserve"> provozovnu, na kterém je umístěno prodejní zařízení, z něhož se prodává zboží nebo poskytují služby stejného nebo obdobného druhu jako v určené pr</w:t>
      </w:r>
      <w:bookmarkStart w:id="0" w:name="_GoBack"/>
      <w:bookmarkEnd w:id="0"/>
      <w:r w:rsidRPr="00512172">
        <w:rPr>
          <w:rFonts w:ascii="Calibri" w:hAnsi="Calibri"/>
          <w:sz w:val="22"/>
          <w:szCs w:val="22"/>
        </w:rPr>
        <w:t xml:space="preserve">ovozovně, se kterou funkčně </w:t>
      </w:r>
      <w:r w:rsidRPr="00512172">
        <w:rPr>
          <w:rFonts w:ascii="Calibri" w:hAnsi="Calibri"/>
          <w:sz w:val="22"/>
          <w:szCs w:val="22"/>
          <w:lang w:val="fr-FR"/>
        </w:rPr>
        <w:t>souvis</w:t>
      </w:r>
      <w:r w:rsidRPr="00512172">
        <w:rPr>
          <w:rFonts w:ascii="Calibri" w:hAnsi="Calibri"/>
          <w:sz w:val="22"/>
          <w:szCs w:val="22"/>
        </w:rPr>
        <w:t>í).</w:t>
      </w:r>
    </w:p>
    <w:p w:rsidR="003811EC" w:rsidRPr="00512172" w:rsidRDefault="003811EC" w:rsidP="0001261B">
      <w:pPr>
        <w:tabs>
          <w:tab w:val="left" w:pos="900"/>
        </w:tabs>
        <w:jc w:val="both"/>
        <w:rPr>
          <w:rFonts w:ascii="Calibri" w:hAnsi="Calibri"/>
          <w:sz w:val="22"/>
          <w:szCs w:val="22"/>
        </w:rPr>
      </w:pPr>
    </w:p>
    <w:p w:rsidR="006A7026" w:rsidRDefault="003811EC">
      <w:pPr>
        <w:tabs>
          <w:tab w:val="left" w:pos="900"/>
        </w:tabs>
        <w:jc w:val="both"/>
        <w:rPr>
          <w:rFonts w:ascii="Calibri" w:hAnsi="Calibri"/>
          <w:sz w:val="22"/>
          <w:szCs w:val="22"/>
        </w:rPr>
      </w:pPr>
      <w:r>
        <w:rPr>
          <w:rFonts w:ascii="Calibri" w:hAnsi="Calibri"/>
          <w:sz w:val="22"/>
          <w:szCs w:val="22"/>
        </w:rPr>
        <w:t>Navrhovaný tržní řád zachovává zákaz podomního a pochůzkového prodeje (a stanoví přípustné výjimky), připojuje nově i zákaz pojízdného prodeje.</w:t>
      </w:r>
    </w:p>
    <w:p w:rsidR="003811EC" w:rsidRDefault="003811EC">
      <w:pPr>
        <w:tabs>
          <w:tab w:val="left" w:pos="900"/>
        </w:tabs>
        <w:jc w:val="both"/>
        <w:rPr>
          <w:rFonts w:ascii="Calibri" w:hAnsi="Calibri"/>
          <w:sz w:val="22"/>
          <w:szCs w:val="22"/>
        </w:rPr>
      </w:pPr>
    </w:p>
    <w:p w:rsidR="003811EC" w:rsidRDefault="006C5EF5">
      <w:pPr>
        <w:tabs>
          <w:tab w:val="left" w:pos="900"/>
        </w:tabs>
        <w:jc w:val="both"/>
        <w:rPr>
          <w:rFonts w:ascii="Calibri" w:hAnsi="Calibri"/>
          <w:sz w:val="22"/>
          <w:szCs w:val="22"/>
        </w:rPr>
      </w:pPr>
      <w:r>
        <w:rPr>
          <w:rFonts w:ascii="Calibri" w:hAnsi="Calibri"/>
          <w:sz w:val="22"/>
          <w:szCs w:val="22"/>
        </w:rPr>
        <w:t>Nařízení</w:t>
      </w:r>
      <w:r w:rsidR="003811EC">
        <w:rPr>
          <w:rFonts w:ascii="Calibri" w:hAnsi="Calibri"/>
          <w:sz w:val="22"/>
          <w:szCs w:val="22"/>
        </w:rPr>
        <w:t xml:space="preserve"> stanoví zcela nově i další podrobnější podmínky provozu tržnic, tržišť, trhů a dalších míst prodeje mimo provozovnu, když tuto podstatnou úpravu aktuálně platný tržní řád neobsahuje vůbec. Jde zejména o vymezení základních povinností provozovatele tržnic, tržišť, trhů a tržních míst, resp. dalších prodejních míst, jakož i jednotlivých prodejců.</w:t>
      </w:r>
    </w:p>
    <w:p w:rsidR="000D0F37" w:rsidRDefault="000D0F37">
      <w:pPr>
        <w:tabs>
          <w:tab w:val="left" w:pos="900"/>
        </w:tabs>
        <w:jc w:val="both"/>
        <w:rPr>
          <w:rFonts w:ascii="Calibri" w:hAnsi="Calibri"/>
          <w:sz w:val="22"/>
          <w:szCs w:val="22"/>
        </w:rPr>
      </w:pPr>
    </w:p>
    <w:p w:rsidR="00767AFD" w:rsidRPr="00512172" w:rsidRDefault="00335B43">
      <w:pPr>
        <w:tabs>
          <w:tab w:val="left" w:pos="900"/>
        </w:tabs>
        <w:jc w:val="both"/>
        <w:rPr>
          <w:rFonts w:ascii="Calibri" w:hAnsi="Calibri"/>
          <w:sz w:val="22"/>
          <w:szCs w:val="22"/>
        </w:rPr>
      </w:pPr>
      <w:r w:rsidRPr="00512172">
        <w:rPr>
          <w:rFonts w:ascii="Calibri" w:hAnsi="Calibri"/>
          <w:sz w:val="22"/>
          <w:szCs w:val="22"/>
        </w:rPr>
        <w:t>Veškeré provedené změny nařízení jsou promítnuty též do sazebníku zvláštn</w:t>
      </w:r>
      <w:r w:rsidR="00196D0B">
        <w:rPr>
          <w:rFonts w:ascii="Calibri" w:hAnsi="Calibri"/>
          <w:sz w:val="22"/>
          <w:szCs w:val="22"/>
        </w:rPr>
        <w:t>ího užívání</w:t>
      </w:r>
      <w:r w:rsidR="000D0F37">
        <w:rPr>
          <w:rFonts w:ascii="Calibri" w:hAnsi="Calibri"/>
          <w:sz w:val="22"/>
          <w:szCs w:val="22"/>
        </w:rPr>
        <w:t xml:space="preserve"> a </w:t>
      </w:r>
      <w:r w:rsidRPr="00512172">
        <w:rPr>
          <w:rFonts w:ascii="Calibri" w:hAnsi="Calibri"/>
          <w:sz w:val="22"/>
          <w:szCs w:val="22"/>
        </w:rPr>
        <w:t xml:space="preserve">vzoru dohody o zvláštním užívání místní komunikace </w:t>
      </w:r>
      <w:r w:rsidR="00196D0B">
        <w:rPr>
          <w:rFonts w:ascii="Calibri" w:hAnsi="Calibri"/>
          <w:sz w:val="22"/>
          <w:szCs w:val="22"/>
        </w:rPr>
        <w:t>na zábor restauračních předzahrádek (</w:t>
      </w:r>
      <w:r w:rsidRPr="00512172">
        <w:rPr>
          <w:rFonts w:ascii="Calibri" w:hAnsi="Calibri"/>
          <w:sz w:val="22"/>
          <w:szCs w:val="22"/>
        </w:rPr>
        <w:t>vyjmutí poskytování slev za platby na celou dobu trvání dohody na zvláštní užívání komunikace, sleva za denní odstranění záboru…)</w:t>
      </w:r>
    </w:p>
    <w:p w:rsidR="00767AFD" w:rsidRPr="00512172" w:rsidRDefault="00767AFD">
      <w:pPr>
        <w:tabs>
          <w:tab w:val="left" w:pos="900"/>
        </w:tabs>
        <w:jc w:val="both"/>
        <w:rPr>
          <w:rFonts w:ascii="Calibri" w:hAnsi="Calibri"/>
          <w:i/>
          <w:iCs/>
          <w:sz w:val="22"/>
          <w:szCs w:val="22"/>
        </w:rPr>
      </w:pPr>
    </w:p>
    <w:p w:rsidR="00767AFD" w:rsidRPr="006C0B9F" w:rsidRDefault="00335B43">
      <w:pPr>
        <w:tabs>
          <w:tab w:val="left" w:pos="900"/>
        </w:tabs>
        <w:jc w:val="both"/>
        <w:rPr>
          <w:rFonts w:ascii="Calibri" w:hAnsi="Calibri"/>
          <w:color w:val="auto"/>
          <w:sz w:val="22"/>
          <w:szCs w:val="22"/>
        </w:rPr>
      </w:pPr>
      <w:r w:rsidRPr="006C0B9F">
        <w:rPr>
          <w:rFonts w:ascii="Calibri" w:hAnsi="Calibri"/>
          <w:color w:val="auto"/>
          <w:sz w:val="22"/>
          <w:szCs w:val="22"/>
        </w:rPr>
        <w:t>Nařízení je obecně závazným právním předpisem. Jeho porušení zakládá skutkovou podstatu přestupku proti pořádku ve státní správě dle § 4 odst. 1 zákona č</w:t>
      </w:r>
      <w:r w:rsidR="00B17B99" w:rsidRPr="006C0B9F">
        <w:rPr>
          <w:rFonts w:ascii="Calibri" w:hAnsi="Calibri"/>
          <w:color w:val="auto"/>
          <w:sz w:val="22"/>
          <w:szCs w:val="22"/>
          <w:lang w:val="pt-PT"/>
        </w:rPr>
        <w:t xml:space="preserve">. 251/2016 Sb., o </w:t>
      </w:r>
      <w:r w:rsidR="00B17B99" w:rsidRPr="006C0B9F">
        <w:rPr>
          <w:rFonts w:ascii="Calibri" w:hAnsi="Calibri"/>
          <w:color w:val="auto"/>
          <w:sz w:val="22"/>
          <w:szCs w:val="22"/>
        </w:rPr>
        <w:t>některých</w:t>
      </w:r>
      <w:r w:rsidRPr="006C0B9F">
        <w:rPr>
          <w:rFonts w:ascii="Calibri" w:hAnsi="Calibri"/>
          <w:color w:val="auto"/>
          <w:sz w:val="22"/>
          <w:szCs w:val="22"/>
        </w:rPr>
        <w:t xml:space="preserve"> přestupcích, v platném znění:</w:t>
      </w:r>
    </w:p>
    <w:p w:rsidR="00767AFD" w:rsidRPr="006C0B9F" w:rsidRDefault="00767AFD">
      <w:pPr>
        <w:tabs>
          <w:tab w:val="left" w:pos="900"/>
        </w:tabs>
        <w:jc w:val="both"/>
        <w:rPr>
          <w:rFonts w:ascii="Calibri" w:hAnsi="Calibri"/>
          <w:color w:val="auto"/>
          <w:sz w:val="22"/>
          <w:szCs w:val="22"/>
        </w:rPr>
      </w:pPr>
    </w:p>
    <w:p w:rsidR="00767AFD" w:rsidRPr="006C0B9F" w:rsidRDefault="00335B43">
      <w:pPr>
        <w:pStyle w:val="Odstavecseseznamem"/>
        <w:numPr>
          <w:ilvl w:val="0"/>
          <w:numId w:val="5"/>
        </w:numPr>
        <w:jc w:val="both"/>
        <w:rPr>
          <w:rFonts w:ascii="Calibri" w:hAnsi="Calibri"/>
          <w:color w:val="auto"/>
          <w:sz w:val="22"/>
          <w:szCs w:val="22"/>
        </w:rPr>
      </w:pPr>
      <w:r w:rsidRPr="006C0B9F">
        <w:rPr>
          <w:rFonts w:ascii="Calibri" w:hAnsi="Calibri"/>
          <w:color w:val="auto"/>
          <w:sz w:val="22"/>
          <w:szCs w:val="22"/>
        </w:rPr>
        <w:t>§ 4 odst. 1 zákona č</w:t>
      </w:r>
      <w:r w:rsidR="00B17B99" w:rsidRPr="006C0B9F">
        <w:rPr>
          <w:rFonts w:ascii="Calibri" w:hAnsi="Calibri"/>
          <w:color w:val="auto"/>
          <w:sz w:val="22"/>
          <w:szCs w:val="22"/>
          <w:lang w:val="pt-PT"/>
        </w:rPr>
        <w:t>. 251/2016 Sb., o některých</w:t>
      </w:r>
      <w:r w:rsidRPr="006C0B9F">
        <w:rPr>
          <w:rFonts w:ascii="Calibri" w:hAnsi="Calibri"/>
          <w:color w:val="auto"/>
          <w:sz w:val="22"/>
          <w:szCs w:val="22"/>
        </w:rPr>
        <w:t xml:space="preserve"> přestupcích, v platném znění  </w:t>
      </w:r>
    </w:p>
    <w:p w:rsidR="00767AFD" w:rsidRPr="006C0B9F" w:rsidRDefault="00335B43">
      <w:pPr>
        <w:pStyle w:val="Odstavecseseznamem"/>
        <w:numPr>
          <w:ilvl w:val="1"/>
          <w:numId w:val="5"/>
        </w:numPr>
        <w:jc w:val="both"/>
        <w:rPr>
          <w:rFonts w:ascii="Calibri" w:hAnsi="Calibri"/>
          <w:i/>
          <w:iCs/>
          <w:color w:val="auto"/>
          <w:sz w:val="22"/>
          <w:szCs w:val="22"/>
        </w:rPr>
      </w:pPr>
      <w:r w:rsidRPr="006C0B9F">
        <w:rPr>
          <w:rFonts w:ascii="Calibri" w:hAnsi="Calibri"/>
          <w:i/>
          <w:iCs/>
          <w:color w:val="auto"/>
          <w:sz w:val="22"/>
          <w:szCs w:val="22"/>
        </w:rPr>
        <w:t>„Fyzická, právnická nebo podnikající fyzická osoba se dopustí přestupku tím, ž</w:t>
      </w:r>
      <w:r w:rsidRPr="006C0B9F">
        <w:rPr>
          <w:rFonts w:ascii="Calibri" w:hAnsi="Calibri"/>
          <w:i/>
          <w:iCs/>
          <w:color w:val="auto"/>
          <w:sz w:val="22"/>
          <w:szCs w:val="22"/>
          <w:lang w:val="es-ES_tradnl"/>
        </w:rPr>
        <w:t>e poru</w:t>
      </w:r>
      <w:r w:rsidRPr="006C0B9F">
        <w:rPr>
          <w:rFonts w:ascii="Calibri" w:hAnsi="Calibri"/>
          <w:i/>
          <w:iCs/>
          <w:color w:val="auto"/>
          <w:sz w:val="22"/>
          <w:szCs w:val="22"/>
        </w:rPr>
        <w:t>ší povinnost stanovenou v nařízení obce nebo kraje.“</w:t>
      </w:r>
    </w:p>
    <w:p w:rsidR="00767AFD" w:rsidRPr="006C0B9F" w:rsidRDefault="00335B43">
      <w:pPr>
        <w:pStyle w:val="Odstavecseseznamem"/>
        <w:numPr>
          <w:ilvl w:val="1"/>
          <w:numId w:val="5"/>
        </w:numPr>
        <w:jc w:val="both"/>
        <w:rPr>
          <w:rFonts w:ascii="Calibri" w:hAnsi="Calibri"/>
          <w:color w:val="auto"/>
          <w:sz w:val="22"/>
          <w:szCs w:val="22"/>
        </w:rPr>
      </w:pPr>
      <w:r w:rsidRPr="006C0B9F">
        <w:rPr>
          <w:rFonts w:ascii="Calibri" w:hAnsi="Calibri"/>
          <w:color w:val="auto"/>
          <w:sz w:val="22"/>
          <w:szCs w:val="22"/>
        </w:rPr>
        <w:t xml:space="preserve">Za uvedený přestupek lze uložit pokutu do 100 000 Kč (fyzické i právnické osobě), dopustí-li se uvedeného přestupku fyzická osoba, lze jí uložit omezující opatření. </w:t>
      </w:r>
    </w:p>
    <w:p w:rsidR="00767AFD" w:rsidRDefault="00767AFD">
      <w:pPr>
        <w:pStyle w:val="Odstavecseseznamem"/>
        <w:tabs>
          <w:tab w:val="left" w:pos="709"/>
        </w:tabs>
        <w:ind w:left="0"/>
        <w:jc w:val="both"/>
        <w:rPr>
          <w:rFonts w:ascii="Calibri" w:hAnsi="Calibri"/>
          <w:sz w:val="22"/>
          <w:szCs w:val="22"/>
        </w:rPr>
      </w:pPr>
    </w:p>
    <w:p w:rsidR="00B17B99" w:rsidRDefault="00B17B99">
      <w:pPr>
        <w:pStyle w:val="Odstavecseseznamem"/>
        <w:tabs>
          <w:tab w:val="left" w:pos="709"/>
        </w:tabs>
        <w:ind w:left="0"/>
        <w:jc w:val="both"/>
        <w:rPr>
          <w:rFonts w:ascii="Calibri" w:hAnsi="Calibri"/>
          <w:sz w:val="22"/>
          <w:szCs w:val="22"/>
        </w:rPr>
      </w:pPr>
    </w:p>
    <w:p w:rsidR="00B17B99" w:rsidRPr="00512172" w:rsidRDefault="00B17B99">
      <w:pPr>
        <w:pStyle w:val="Odstavecseseznamem"/>
        <w:tabs>
          <w:tab w:val="left" w:pos="709"/>
        </w:tabs>
        <w:ind w:left="0"/>
        <w:jc w:val="both"/>
        <w:rPr>
          <w:rFonts w:ascii="Calibri" w:hAnsi="Calibri"/>
          <w:sz w:val="22"/>
          <w:szCs w:val="22"/>
        </w:rPr>
      </w:pPr>
    </w:p>
    <w:sectPr w:rsidR="00B17B99" w:rsidRPr="00512172">
      <w:pgSz w:w="11900" w:h="16840"/>
      <w:pgMar w:top="851" w:right="1418" w:bottom="851" w:left="1418"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E6" w:rsidRDefault="00335B43">
      <w:r>
        <w:separator/>
      </w:r>
    </w:p>
  </w:endnote>
  <w:endnote w:type="continuationSeparator" w:id="0">
    <w:p w:rsidR="000452E6" w:rsidRDefault="003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E6" w:rsidRDefault="00335B43">
      <w:r>
        <w:separator/>
      </w:r>
    </w:p>
  </w:footnote>
  <w:footnote w:type="continuationSeparator" w:id="0">
    <w:p w:rsidR="000452E6" w:rsidRDefault="0033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46E4"/>
    <w:multiLevelType w:val="hybridMultilevel"/>
    <w:tmpl w:val="B1849C2E"/>
    <w:styleLink w:val="Importovanstyl1"/>
    <w:lvl w:ilvl="0" w:tplc="0D1894F8">
      <w:start w:val="1"/>
      <w:numFmt w:val="upperRoman"/>
      <w:lvlText w:val="%1."/>
      <w:lvlJc w:val="left"/>
      <w:pPr>
        <w:ind w:left="72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1" w:tplc="85187C7C">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1542B6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221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4CB28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CEE83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A78EDB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E015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FA031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EC1932"/>
    <w:multiLevelType w:val="hybridMultilevel"/>
    <w:tmpl w:val="1C8EE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650594"/>
    <w:multiLevelType w:val="hybridMultilevel"/>
    <w:tmpl w:val="B1849C2E"/>
    <w:numStyleLink w:val="Importovanstyl1"/>
  </w:abstractNum>
  <w:abstractNum w:abstractNumId="3" w15:restartNumberingAfterBreak="0">
    <w:nsid w:val="2D02603C"/>
    <w:multiLevelType w:val="hybridMultilevel"/>
    <w:tmpl w:val="6FF8D63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F33EE7"/>
    <w:multiLevelType w:val="hybridMultilevel"/>
    <w:tmpl w:val="BB727F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C0F5070"/>
    <w:multiLevelType w:val="hybridMultilevel"/>
    <w:tmpl w:val="8DA43A5A"/>
    <w:lvl w:ilvl="0" w:tplc="04050001">
      <w:start w:val="1"/>
      <w:numFmt w:val="bullet"/>
      <w:lvlText w:val=""/>
      <w:lvlJc w:val="left"/>
      <w:pPr>
        <w:tabs>
          <w:tab w:val="left" w:pos="900"/>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E1480D0">
      <w:start w:val="1"/>
      <w:numFmt w:val="bullet"/>
      <w:lvlText w:val="o"/>
      <w:lvlJc w:val="left"/>
      <w:pPr>
        <w:tabs>
          <w:tab w:val="left" w:pos="90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FAA9DC">
      <w:start w:val="1"/>
      <w:numFmt w:val="bullet"/>
      <w:lvlText w:val="▪"/>
      <w:lvlJc w:val="left"/>
      <w:pPr>
        <w:tabs>
          <w:tab w:val="left" w:pos="90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D2DF1A">
      <w:start w:val="1"/>
      <w:numFmt w:val="bullet"/>
      <w:lvlText w:val="•"/>
      <w:lvlJc w:val="left"/>
      <w:pPr>
        <w:tabs>
          <w:tab w:val="left" w:pos="90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D2BF62">
      <w:start w:val="1"/>
      <w:numFmt w:val="bullet"/>
      <w:lvlText w:val="o"/>
      <w:lvlJc w:val="left"/>
      <w:pPr>
        <w:tabs>
          <w:tab w:val="left" w:pos="90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D07966">
      <w:start w:val="1"/>
      <w:numFmt w:val="bullet"/>
      <w:lvlText w:val="▪"/>
      <w:lvlJc w:val="left"/>
      <w:pPr>
        <w:tabs>
          <w:tab w:val="left" w:pos="90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52DCC8">
      <w:start w:val="1"/>
      <w:numFmt w:val="bullet"/>
      <w:lvlText w:val="•"/>
      <w:lvlJc w:val="left"/>
      <w:pPr>
        <w:tabs>
          <w:tab w:val="left" w:pos="90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1CC484">
      <w:start w:val="1"/>
      <w:numFmt w:val="bullet"/>
      <w:lvlText w:val="o"/>
      <w:lvlJc w:val="left"/>
      <w:pPr>
        <w:tabs>
          <w:tab w:val="left" w:pos="90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DE0CD0">
      <w:start w:val="1"/>
      <w:numFmt w:val="bullet"/>
      <w:lvlText w:val="▪"/>
      <w:lvlJc w:val="left"/>
      <w:pPr>
        <w:tabs>
          <w:tab w:val="left" w:pos="90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862467"/>
    <w:multiLevelType w:val="hybridMultilevel"/>
    <w:tmpl w:val="F86E250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DDA45AD"/>
    <w:multiLevelType w:val="hybridMultilevel"/>
    <w:tmpl w:val="93FA7240"/>
    <w:numStyleLink w:val="Importovanstyl2"/>
  </w:abstractNum>
  <w:abstractNum w:abstractNumId="8" w15:restartNumberingAfterBreak="0">
    <w:nsid w:val="69C56754"/>
    <w:multiLevelType w:val="hybridMultilevel"/>
    <w:tmpl w:val="93FA7240"/>
    <w:styleLink w:val="Importovanstyl2"/>
    <w:lvl w:ilvl="0" w:tplc="96A60B70">
      <w:start w:val="1"/>
      <w:numFmt w:val="bullet"/>
      <w:lvlText w:val="-"/>
      <w:lvlJc w:val="left"/>
      <w:pPr>
        <w:tabs>
          <w:tab w:val="left" w:pos="90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4C2E82">
      <w:start w:val="1"/>
      <w:numFmt w:val="bullet"/>
      <w:lvlText w:val="o"/>
      <w:lvlJc w:val="left"/>
      <w:pPr>
        <w:tabs>
          <w:tab w:val="left" w:pos="90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84CB4E">
      <w:start w:val="1"/>
      <w:numFmt w:val="bullet"/>
      <w:lvlText w:val="▪"/>
      <w:lvlJc w:val="left"/>
      <w:pPr>
        <w:tabs>
          <w:tab w:val="left" w:pos="90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89FF4">
      <w:start w:val="1"/>
      <w:numFmt w:val="bullet"/>
      <w:lvlText w:val="•"/>
      <w:lvlJc w:val="left"/>
      <w:pPr>
        <w:tabs>
          <w:tab w:val="left" w:pos="90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82584E">
      <w:start w:val="1"/>
      <w:numFmt w:val="bullet"/>
      <w:lvlText w:val="o"/>
      <w:lvlJc w:val="left"/>
      <w:pPr>
        <w:tabs>
          <w:tab w:val="left" w:pos="90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7049DA">
      <w:start w:val="1"/>
      <w:numFmt w:val="bullet"/>
      <w:lvlText w:val="▪"/>
      <w:lvlJc w:val="left"/>
      <w:pPr>
        <w:tabs>
          <w:tab w:val="left" w:pos="90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6CA5A4">
      <w:start w:val="1"/>
      <w:numFmt w:val="bullet"/>
      <w:lvlText w:val="•"/>
      <w:lvlJc w:val="left"/>
      <w:pPr>
        <w:tabs>
          <w:tab w:val="left" w:pos="90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84ABBE">
      <w:start w:val="1"/>
      <w:numFmt w:val="bullet"/>
      <w:lvlText w:val="o"/>
      <w:lvlJc w:val="left"/>
      <w:pPr>
        <w:tabs>
          <w:tab w:val="left" w:pos="90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BC9898">
      <w:start w:val="1"/>
      <w:numFmt w:val="bullet"/>
      <w:lvlText w:val="▪"/>
      <w:lvlJc w:val="left"/>
      <w:pPr>
        <w:tabs>
          <w:tab w:val="left" w:pos="90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8"/>
  </w:num>
  <w:num w:numId="4">
    <w:abstractNumId w:val="7"/>
  </w:num>
  <w:num w:numId="5">
    <w:abstractNumId w:val="7"/>
    <w:lvlOverride w:ilvl="0">
      <w:lvl w:ilvl="0" w:tplc="DDF82648">
        <w:start w:val="1"/>
        <w:numFmt w:val="bullet"/>
        <w:lvlText w:val="-"/>
        <w:lvlJc w:val="left"/>
        <w:pPr>
          <w:tabs>
            <w:tab w:val="left" w:pos="90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F8D15E">
        <w:start w:val="1"/>
        <w:numFmt w:val="bullet"/>
        <w:lvlText w:val="o"/>
        <w:lvlJc w:val="left"/>
        <w:pPr>
          <w:tabs>
            <w:tab w:val="left" w:pos="709"/>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FE8B08">
        <w:start w:val="1"/>
        <w:numFmt w:val="bullet"/>
        <w:lvlText w:val="▪"/>
        <w:lvlJc w:val="left"/>
        <w:pPr>
          <w:tabs>
            <w:tab w:val="left" w:pos="709"/>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E8CB70">
        <w:start w:val="1"/>
        <w:numFmt w:val="bullet"/>
        <w:lvlText w:val="•"/>
        <w:lvlJc w:val="left"/>
        <w:pPr>
          <w:tabs>
            <w:tab w:val="left" w:pos="709"/>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1CF34E">
        <w:start w:val="1"/>
        <w:numFmt w:val="bullet"/>
        <w:lvlText w:val="o"/>
        <w:lvlJc w:val="left"/>
        <w:pPr>
          <w:tabs>
            <w:tab w:val="left" w:pos="709"/>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A2D036">
        <w:start w:val="1"/>
        <w:numFmt w:val="bullet"/>
        <w:lvlText w:val="▪"/>
        <w:lvlJc w:val="left"/>
        <w:pPr>
          <w:tabs>
            <w:tab w:val="left" w:pos="709"/>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445692">
        <w:start w:val="1"/>
        <w:numFmt w:val="bullet"/>
        <w:lvlText w:val="•"/>
        <w:lvlJc w:val="left"/>
        <w:pPr>
          <w:tabs>
            <w:tab w:val="left" w:pos="709"/>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BEFB0A">
        <w:start w:val="1"/>
        <w:numFmt w:val="bullet"/>
        <w:lvlText w:val="o"/>
        <w:lvlJc w:val="left"/>
        <w:pPr>
          <w:tabs>
            <w:tab w:val="left" w:pos="709"/>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14A8F8">
        <w:start w:val="1"/>
        <w:numFmt w:val="bullet"/>
        <w:lvlText w:val="▪"/>
        <w:lvlJc w:val="left"/>
        <w:pPr>
          <w:tabs>
            <w:tab w:val="left" w:pos="709"/>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FD"/>
    <w:rsid w:val="0001261B"/>
    <w:rsid w:val="000452E6"/>
    <w:rsid w:val="000A5749"/>
    <w:rsid w:val="000D0F37"/>
    <w:rsid w:val="00196D0B"/>
    <w:rsid w:val="001E4289"/>
    <w:rsid w:val="00300674"/>
    <w:rsid w:val="00335B43"/>
    <w:rsid w:val="00342E58"/>
    <w:rsid w:val="003811EC"/>
    <w:rsid w:val="00395BB7"/>
    <w:rsid w:val="00512172"/>
    <w:rsid w:val="006A7026"/>
    <w:rsid w:val="006C0B9F"/>
    <w:rsid w:val="006C5EF5"/>
    <w:rsid w:val="00767AFD"/>
    <w:rsid w:val="00A57ED9"/>
    <w:rsid w:val="00B17B99"/>
    <w:rsid w:val="00C9316D"/>
    <w:rsid w:val="00E90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E8AB6-ED08-499B-8FB3-6DF26D9B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sz w:val="24"/>
      <w:szCs w:val="24"/>
      <w:u w:color="000000"/>
    </w:rPr>
  </w:style>
  <w:style w:type="paragraph" w:styleId="Nadpis3">
    <w:name w:val="heading 3"/>
    <w:next w:val="Normln"/>
    <w:pPr>
      <w:keepNext/>
      <w:spacing w:before="240" w:after="60"/>
      <w:outlineLvl w:val="2"/>
    </w:pPr>
    <w:rPr>
      <w:rFonts w:ascii="Arial" w:hAnsi="Arial" w:cs="Arial Unicode MS"/>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Bnodstavec">
    <w:name w:val="Běžný odstavec"/>
    <w:pPr>
      <w:tabs>
        <w:tab w:val="left" w:pos="1440"/>
        <w:tab w:val="left" w:pos="6300"/>
      </w:tabs>
      <w:spacing w:before="120" w:after="120"/>
    </w:pPr>
    <w:rPr>
      <w:rFonts w:cs="Arial Unicode MS"/>
      <w:color w:val="000000"/>
      <w:sz w:val="24"/>
      <w:szCs w:val="24"/>
      <w:u w:color="000000"/>
    </w:rPr>
  </w:style>
  <w:style w:type="paragraph" w:customStyle="1" w:styleId="Kbodu-text">
    <w:name w:val="K bodu-text"/>
    <w:next w:val="Kbodu"/>
    <w:pPr>
      <w:tabs>
        <w:tab w:val="left" w:pos="1620"/>
      </w:tabs>
      <w:suppressAutoHyphens/>
      <w:spacing w:before="240"/>
      <w:ind w:left="902" w:hanging="902"/>
    </w:pPr>
    <w:rPr>
      <w:rFonts w:eastAsia="Times New Roman"/>
      <w:b/>
      <w:bCs/>
      <w:color w:val="000000"/>
      <w:sz w:val="24"/>
      <w:szCs w:val="24"/>
      <w:u w:color="000000"/>
    </w:rPr>
  </w:style>
  <w:style w:type="paragraph" w:customStyle="1" w:styleId="Kbodu">
    <w:name w:val="K bodu"/>
    <w:pPr>
      <w:tabs>
        <w:tab w:val="left" w:pos="1620"/>
      </w:tabs>
      <w:ind w:left="907"/>
    </w:pPr>
    <w:rPr>
      <w:rFonts w:eastAsia="Times New Roman"/>
      <w:b/>
      <w:bCs/>
      <w:color w:val="000000"/>
      <w:sz w:val="24"/>
      <w:szCs w:val="24"/>
      <w:u w:color="000000"/>
    </w:rPr>
  </w:style>
  <w:style w:type="paragraph" w:styleId="Odstavecseseznamem">
    <w:name w:val="List Paragraph"/>
    <w:pPr>
      <w:ind w:left="720"/>
    </w:pPr>
    <w:rPr>
      <w:rFonts w:cs="Arial Unicode MS"/>
      <w:color w:val="000000"/>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paragraph" w:styleId="Textbubliny">
    <w:name w:val="Balloon Text"/>
    <w:basedOn w:val="Normln"/>
    <w:link w:val="TextbublinyChar"/>
    <w:uiPriority w:val="99"/>
    <w:semiHidden/>
    <w:unhideWhenUsed/>
    <w:rsid w:val="001E42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4289"/>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Dětáková Martina</dc:creator>
  <cp:lastModifiedBy>Dětáková Martina</cp:lastModifiedBy>
  <cp:revision>4</cp:revision>
  <cp:lastPrinted>2019-11-12T09:57:00Z</cp:lastPrinted>
  <dcterms:created xsi:type="dcterms:W3CDTF">2019-11-12T09:56:00Z</dcterms:created>
  <dcterms:modified xsi:type="dcterms:W3CDTF">2019-11-15T08:09:00Z</dcterms:modified>
</cp:coreProperties>
</file>