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F2CA" w14:textId="77777777" w:rsidR="008E0B3D" w:rsidRDefault="008E0B3D" w:rsidP="008E0B3D">
      <w:pPr>
        <w:jc w:val="right"/>
        <w:rPr>
          <w:rFonts w:cs="Arial"/>
          <w:b/>
          <w:bCs/>
        </w:rPr>
      </w:pPr>
      <w:r w:rsidRPr="001C20AC">
        <w:rPr>
          <w:rFonts w:cs="Arial"/>
          <w:b/>
          <w:bCs/>
        </w:rPr>
        <w:t>Příloha 11.</w:t>
      </w:r>
      <w:r>
        <w:rPr>
          <w:rFonts w:cs="Arial"/>
          <w:b/>
          <w:bCs/>
        </w:rPr>
        <w:t>4</w:t>
      </w:r>
      <w:r w:rsidRPr="001C20AC">
        <w:rPr>
          <w:rFonts w:cs="Arial"/>
          <w:b/>
          <w:bCs/>
        </w:rPr>
        <w:t>.</w:t>
      </w:r>
    </w:p>
    <w:p w14:paraId="435AFFD8" w14:textId="77777777" w:rsidR="008E0B3D" w:rsidRPr="001C20AC" w:rsidRDefault="008E0B3D" w:rsidP="008E0B3D">
      <w:pPr>
        <w:jc w:val="right"/>
        <w:rPr>
          <w:rFonts w:cs="Arial"/>
          <w:b/>
          <w:bCs/>
        </w:rPr>
      </w:pPr>
    </w:p>
    <w:p w14:paraId="4FEEEE7A" w14:textId="77777777" w:rsidR="008E0B3D" w:rsidRDefault="008E0B3D" w:rsidP="008E0B3D">
      <w:pPr>
        <w:pStyle w:val="Nadpis3"/>
        <w:ind w:left="2268" w:firstLine="993"/>
        <w:rPr>
          <w:rFonts w:eastAsia="Calibri"/>
          <w:caps/>
          <w:sz w:val="22"/>
        </w:rPr>
      </w:pPr>
      <w:bookmarkStart w:id="0" w:name="_Toc115787605"/>
    </w:p>
    <w:p w14:paraId="3591FA89" w14:textId="147FA4A7" w:rsidR="008E0B3D" w:rsidRDefault="008E0B3D" w:rsidP="008E0B3D">
      <w:pPr>
        <w:pStyle w:val="Nadpis3"/>
        <w:ind w:left="2268" w:firstLine="993"/>
        <w:rPr>
          <w:rFonts w:eastAsia="Calibri"/>
          <w:sz w:val="22"/>
        </w:rPr>
      </w:pPr>
      <w:r>
        <w:rPr>
          <w:rFonts w:eastAsia="Calibri"/>
          <w:caps/>
          <w:sz w:val="22"/>
        </w:rPr>
        <w:t xml:space="preserve">            </w:t>
      </w:r>
      <w:r w:rsidRPr="00EC1721">
        <w:rPr>
          <w:rFonts w:eastAsia="Calibri"/>
          <w:caps/>
          <w:sz w:val="22"/>
        </w:rPr>
        <w:t>Čestné prohlášení</w:t>
      </w:r>
    </w:p>
    <w:p w14:paraId="3C453ABA" w14:textId="77777777" w:rsidR="008E0B3D" w:rsidRPr="00341BC9" w:rsidRDefault="008E0B3D" w:rsidP="008E0B3D">
      <w:pPr>
        <w:pStyle w:val="Nadpis3"/>
        <w:ind w:left="1843" w:hanging="1276"/>
        <w:jc w:val="center"/>
        <w:rPr>
          <w:rFonts w:eastAsia="Calibri"/>
          <w:b/>
          <w:sz w:val="22"/>
          <w:shd w:val="clear" w:color="auto" w:fill="FFFFFF"/>
        </w:rPr>
      </w:pPr>
      <w:r w:rsidRPr="00341BC9">
        <w:rPr>
          <w:rFonts w:eastAsia="Calibri"/>
          <w:sz w:val="22"/>
        </w:rPr>
        <w:t>k o</w:t>
      </w:r>
      <w:r w:rsidRPr="00341BC9">
        <w:rPr>
          <w:sz w:val="22"/>
        </w:rPr>
        <w:t>mezujícím opatřením ve vztahu k sankcím spojeným s porušováním mezinárodních práv a konfliktem na Ukrajině</w:t>
      </w:r>
      <w:bookmarkEnd w:id="0"/>
    </w:p>
    <w:p w14:paraId="46EACD0F" w14:textId="77777777" w:rsidR="008E0B3D" w:rsidRPr="00341BC9" w:rsidRDefault="008E0B3D" w:rsidP="008E0B3D">
      <w:pPr>
        <w:widowControl w:val="0"/>
        <w:spacing w:after="120" w:line="276" w:lineRule="auto"/>
        <w:jc w:val="left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5873"/>
      </w:tblGrid>
      <w:tr w:rsidR="008E0B3D" w:rsidRPr="00236017" w14:paraId="03C7211E" w14:textId="77777777" w:rsidTr="0026158C">
        <w:trPr>
          <w:trHeight w:val="633"/>
        </w:trPr>
        <w:tc>
          <w:tcPr>
            <w:tcW w:w="3189" w:type="dxa"/>
            <w:shd w:val="clear" w:color="auto" w:fill="D9D9D9"/>
            <w:vAlign w:val="bottom"/>
          </w:tcPr>
          <w:p w14:paraId="38C989F9" w14:textId="77777777" w:rsidR="008E0B3D" w:rsidRPr="005A3AF0" w:rsidRDefault="008E0B3D" w:rsidP="0026158C">
            <w:pPr>
              <w:widowControl w:val="0"/>
              <w:spacing w:after="120" w:line="276" w:lineRule="auto"/>
              <w:rPr>
                <w:rFonts w:cs="Arial"/>
                <w:szCs w:val="22"/>
              </w:rPr>
            </w:pPr>
            <w:r w:rsidRPr="005A3AF0">
              <w:rPr>
                <w:rFonts w:cs="Arial"/>
                <w:szCs w:val="22"/>
              </w:rPr>
              <w:t>Název organizace / jméno fyzické osoby:</w:t>
            </w:r>
          </w:p>
        </w:tc>
        <w:tc>
          <w:tcPr>
            <w:tcW w:w="5873" w:type="dxa"/>
            <w:vAlign w:val="center"/>
          </w:tcPr>
          <w:p w14:paraId="26BEE0E9" w14:textId="77777777" w:rsidR="008E0B3D" w:rsidRPr="00236017" w:rsidRDefault="008E0B3D" w:rsidP="0026158C">
            <w:pPr>
              <w:widowControl w:val="0"/>
              <w:spacing w:line="276" w:lineRule="auto"/>
              <w:jc w:val="left"/>
              <w:rPr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8E0B3D" w:rsidRPr="00236017" w14:paraId="4B5BB8E6" w14:textId="77777777" w:rsidTr="0026158C">
        <w:tc>
          <w:tcPr>
            <w:tcW w:w="3189" w:type="dxa"/>
            <w:shd w:val="clear" w:color="auto" w:fill="D9D9D9"/>
            <w:vAlign w:val="bottom"/>
          </w:tcPr>
          <w:p w14:paraId="094E208B" w14:textId="77777777" w:rsidR="008E0B3D" w:rsidRPr="005A3AF0" w:rsidRDefault="008E0B3D" w:rsidP="0026158C">
            <w:pPr>
              <w:pStyle w:val="Prosttext"/>
              <w:rPr>
                <w:rFonts w:ascii="Arial" w:hAnsi="Arial" w:cs="Arial"/>
                <w:sz w:val="22"/>
                <w:szCs w:val="22"/>
              </w:rPr>
            </w:pPr>
            <w:r w:rsidRPr="005A3AF0">
              <w:rPr>
                <w:rFonts w:ascii="Arial" w:hAnsi="Arial" w:cs="Arial"/>
                <w:sz w:val="22"/>
                <w:szCs w:val="22"/>
              </w:rPr>
              <w:t>Sídlo organizace/ adresa fyzické osoby:</w:t>
            </w:r>
          </w:p>
        </w:tc>
        <w:tc>
          <w:tcPr>
            <w:tcW w:w="5873" w:type="dxa"/>
            <w:vAlign w:val="center"/>
          </w:tcPr>
          <w:p w14:paraId="15432128" w14:textId="77777777" w:rsidR="008E0B3D" w:rsidRPr="00236017" w:rsidRDefault="008E0B3D" w:rsidP="0026158C">
            <w:pPr>
              <w:widowControl w:val="0"/>
              <w:spacing w:line="276" w:lineRule="auto"/>
              <w:jc w:val="left"/>
              <w:rPr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8E0B3D" w:rsidRPr="00236017" w14:paraId="79B09167" w14:textId="77777777" w:rsidTr="0026158C">
        <w:tc>
          <w:tcPr>
            <w:tcW w:w="3189" w:type="dxa"/>
            <w:shd w:val="clear" w:color="auto" w:fill="D9D9D9"/>
            <w:vAlign w:val="bottom"/>
          </w:tcPr>
          <w:p w14:paraId="18D12055" w14:textId="77777777" w:rsidR="008E0B3D" w:rsidRPr="005A3AF0" w:rsidRDefault="008E0B3D" w:rsidP="0026158C">
            <w:pPr>
              <w:pStyle w:val="Prosttext"/>
              <w:rPr>
                <w:rFonts w:ascii="Arial" w:hAnsi="Arial" w:cs="Arial"/>
                <w:sz w:val="22"/>
                <w:szCs w:val="22"/>
              </w:rPr>
            </w:pPr>
            <w:r w:rsidRPr="005A3AF0">
              <w:rPr>
                <w:rFonts w:ascii="Arial" w:hAnsi="Arial" w:cs="Arial"/>
                <w:sz w:val="22"/>
                <w:szCs w:val="22"/>
              </w:rPr>
              <w:t>IČO/ rodné číslo:</w:t>
            </w:r>
            <w:r w:rsidRPr="005A3AF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873" w:type="dxa"/>
            <w:vAlign w:val="center"/>
          </w:tcPr>
          <w:p w14:paraId="29D20903" w14:textId="77777777" w:rsidR="008E0B3D" w:rsidRPr="00236017" w:rsidRDefault="008E0B3D" w:rsidP="0026158C">
            <w:pPr>
              <w:widowControl w:val="0"/>
              <w:spacing w:line="276" w:lineRule="auto"/>
              <w:jc w:val="left"/>
              <w:rPr>
                <w:i/>
                <w:iCs/>
                <w:sz w:val="24"/>
                <w:szCs w:val="24"/>
                <w:highlight w:val="lightGray"/>
              </w:rPr>
            </w:pPr>
          </w:p>
        </w:tc>
      </w:tr>
    </w:tbl>
    <w:p w14:paraId="05C70A0B" w14:textId="77777777" w:rsidR="008E0B3D" w:rsidRPr="00236017" w:rsidRDefault="008E0B3D" w:rsidP="008E0B3D">
      <w:pPr>
        <w:widowControl w:val="0"/>
        <w:spacing w:before="240" w:after="120" w:line="276" w:lineRule="auto"/>
        <w:rPr>
          <w:rFonts w:ascii="Segoe UI" w:eastAsia="Calibri" w:hAnsi="Segoe UI" w:cs="Segoe UI"/>
          <w:bCs/>
        </w:rPr>
      </w:pPr>
      <w:r w:rsidRPr="00236017">
        <w:rPr>
          <w:rFonts w:ascii="Segoe UI" w:eastAsia="Calibri" w:hAnsi="Segoe UI" w:cs="Segoe UI"/>
          <w:bCs/>
        </w:rPr>
        <w:t>tímto prohlašuje, že:</w:t>
      </w:r>
    </w:p>
    <w:p w14:paraId="3FD8F195" w14:textId="77777777" w:rsidR="008E0B3D" w:rsidRPr="003F1040" w:rsidRDefault="008E0B3D" w:rsidP="008E0B3D">
      <w:pPr>
        <w:pStyle w:val="Odstavecseseznamem"/>
        <w:widowControl w:val="0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cs="Arial"/>
          <w:bCs/>
        </w:rPr>
      </w:pPr>
      <w:r w:rsidRPr="003F1040">
        <w:rPr>
          <w:rFonts w:cs="Arial"/>
          <w:bCs/>
        </w:rPr>
        <w:t xml:space="preserve">není osobou </w:t>
      </w:r>
      <w:r w:rsidRPr="003F1040">
        <w:rPr>
          <w:rFonts w:cs="Arial"/>
        </w:rPr>
        <w:t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0B8B3B4" w14:textId="77777777" w:rsidR="008E0B3D" w:rsidRPr="00236017" w:rsidRDefault="008E0B3D" w:rsidP="008E0B3D">
      <w:pPr>
        <w:pStyle w:val="Odstavecseseznamem"/>
        <w:widowControl w:val="0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Segoe UI" w:hAnsi="Segoe UI" w:cs="Segoe UI"/>
          <w:bCs/>
        </w:rPr>
      </w:pPr>
      <w:r w:rsidRPr="003F1040">
        <w:rPr>
          <w:rFonts w:cs="Arial"/>
        </w:rPr>
        <w:t>žádné finanční prostředky či jiné hospodářské výhody, které obdrží při plnění smlouvy, přímo ani nepřímo nezpřístupní fyzickým nebo právnickým osobám, subjektům či orgánům s nimi spojeným nebo v jejich prospěch,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 Rady (EU) č. 208/2014 ze dne 5. března 2014 o omezujících opatřeních vůči některým osobám, subjektům a orgánům vzhledem k situaci na Ukrajině (ve znění pozdějších aktualizací) nebo nařízení Rady (ES) č. 765/2006 ze dne 18. května 2006 o omezujících opatřeních vůči prezidentu Lukašenkovi a některým představitelům Běloruska (ve znění pozdějších</w:t>
      </w:r>
      <w:r w:rsidRPr="00236017">
        <w:rPr>
          <w:rFonts w:ascii="Segoe UI" w:hAnsi="Segoe UI" w:cs="Segoe UI"/>
        </w:rPr>
        <w:t xml:space="preserve"> aktualizací).</w:t>
      </w:r>
    </w:p>
    <w:p w14:paraId="48D2BA4F" w14:textId="77777777" w:rsidR="008E0B3D" w:rsidRPr="00236017" w:rsidRDefault="008E0B3D" w:rsidP="008E0B3D">
      <w:pPr>
        <w:pStyle w:val="Odstavecseseznamem"/>
        <w:autoSpaceDE w:val="0"/>
        <w:autoSpaceDN w:val="0"/>
        <w:adjustRightInd w:val="0"/>
        <w:rPr>
          <w:sz w:val="24"/>
          <w:szCs w:val="24"/>
        </w:rPr>
      </w:pPr>
    </w:p>
    <w:p w14:paraId="57425233" w14:textId="77777777" w:rsidR="008E0B3D" w:rsidRPr="00236017" w:rsidRDefault="008E0B3D" w:rsidP="008E0B3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  <w:r w:rsidRPr="00236017">
        <w:rPr>
          <w:sz w:val="24"/>
          <w:szCs w:val="24"/>
        </w:rPr>
        <w:t xml:space="preserve">V </w:t>
      </w:r>
      <w:r w:rsidRPr="00236017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236017">
        <w:rPr>
          <w:sz w:val="24"/>
          <w:szCs w:val="24"/>
        </w:rPr>
        <w:instrText xml:space="preserve"> FORMTEXT </w:instrText>
      </w:r>
      <w:r w:rsidRPr="00236017">
        <w:rPr>
          <w:sz w:val="24"/>
          <w:szCs w:val="24"/>
        </w:rPr>
      </w:r>
      <w:r w:rsidRPr="00236017">
        <w:rPr>
          <w:sz w:val="24"/>
          <w:szCs w:val="24"/>
        </w:rPr>
        <w:fldChar w:fldCharType="separate"/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sz w:val="24"/>
          <w:szCs w:val="24"/>
        </w:rPr>
        <w:fldChar w:fldCharType="end"/>
      </w:r>
      <w:r w:rsidRPr="00236017">
        <w:rPr>
          <w:sz w:val="24"/>
          <w:szCs w:val="24"/>
        </w:rPr>
        <w:tab/>
        <w:t>dne</w:t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36017">
        <w:rPr>
          <w:sz w:val="24"/>
          <w:szCs w:val="24"/>
        </w:rPr>
        <w:instrText xml:space="preserve"> FORMTEXT </w:instrText>
      </w:r>
      <w:r w:rsidRPr="00236017">
        <w:rPr>
          <w:sz w:val="24"/>
          <w:szCs w:val="24"/>
        </w:rPr>
      </w:r>
      <w:r w:rsidRPr="00236017">
        <w:rPr>
          <w:sz w:val="24"/>
          <w:szCs w:val="24"/>
        </w:rPr>
        <w:fldChar w:fldCharType="separate"/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sz w:val="24"/>
          <w:szCs w:val="24"/>
        </w:rPr>
        <w:fldChar w:fldCharType="end"/>
      </w:r>
    </w:p>
    <w:p w14:paraId="26584A3E" w14:textId="77777777" w:rsidR="008E0B3D" w:rsidRPr="00236017" w:rsidRDefault="008E0B3D" w:rsidP="008E0B3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2424EC97" w14:textId="77777777" w:rsidR="008E0B3D" w:rsidRPr="00236017" w:rsidRDefault="008E0B3D" w:rsidP="008E0B3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37951BF2" w14:textId="77777777" w:rsidR="008E0B3D" w:rsidRPr="00236017" w:rsidRDefault="008E0B3D" w:rsidP="008E0B3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6E5DEA81" w14:textId="77777777" w:rsidR="008E0B3D" w:rsidRPr="00236017" w:rsidRDefault="008E0B3D" w:rsidP="008E0B3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23FA3DAB" w14:textId="77777777" w:rsidR="008E0B3D" w:rsidRPr="00236017" w:rsidRDefault="008E0B3D" w:rsidP="008E0B3D">
      <w:pPr>
        <w:autoSpaceDE w:val="0"/>
        <w:autoSpaceDN w:val="0"/>
        <w:adjustRightInd w:val="0"/>
        <w:ind w:left="360"/>
        <w:jc w:val="right"/>
        <w:rPr>
          <w:sz w:val="24"/>
          <w:szCs w:val="24"/>
        </w:rPr>
      </w:pPr>
      <w:r w:rsidRPr="00236017">
        <w:rPr>
          <w:sz w:val="24"/>
          <w:szCs w:val="24"/>
        </w:rPr>
        <w:t>…….….…………………………..</w:t>
      </w:r>
    </w:p>
    <w:p w14:paraId="2B1B3D4A" w14:textId="731567DC" w:rsidR="008E0B3D" w:rsidRDefault="008E0B3D" w:rsidP="008E0B3D">
      <w:pPr>
        <w:pStyle w:val="Stdtxt"/>
        <w:ind w:left="720"/>
        <w:jc w:val="center"/>
        <w:rPr>
          <w:rFonts w:cs="Arial"/>
        </w:rPr>
      </w:pP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  <w:t>statutární zástupce organizace</w:t>
      </w:r>
    </w:p>
    <w:p w14:paraId="48115E09" w14:textId="77777777" w:rsidR="00973E27" w:rsidRDefault="00973E27"/>
    <w:sectPr w:rsidR="00973E27" w:rsidSect="001D6460">
      <w:pgSz w:w="12240" w:h="15840" w:code="1"/>
      <w:pgMar w:top="851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40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D"/>
    <w:rsid w:val="00016C9F"/>
    <w:rsid w:val="001D6460"/>
    <w:rsid w:val="008B1EA8"/>
    <w:rsid w:val="008E0B3D"/>
    <w:rsid w:val="00973E27"/>
    <w:rsid w:val="00A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1D6"/>
  <w15:chartTrackingRefBased/>
  <w15:docId w15:val="{823DCF6D-535B-4BB0-9652-83186346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B3D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E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8E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8E0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8E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E0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E0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8E0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8E0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8E0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8E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0B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0B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0B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0B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0B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0B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0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0B3D"/>
    <w:rPr>
      <w:i/>
      <w:iCs/>
      <w:color w:val="404040" w:themeColor="text1" w:themeTint="BF"/>
    </w:rPr>
  </w:style>
  <w:style w:type="paragraph" w:styleId="Odstavecseseznamem">
    <w:name w:val="List Paragraph"/>
    <w:aliases w:val="odrážka_1st"/>
    <w:basedOn w:val="Normln"/>
    <w:link w:val="OdstavecseseznamemChar"/>
    <w:uiPriority w:val="34"/>
    <w:qFormat/>
    <w:rsid w:val="008E0B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0B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0B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0B3D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rsid w:val="008E0B3D"/>
    <w:pPr>
      <w:spacing w:befor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E0B3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OdstavecseseznamemChar">
    <w:name w:val="Odstavec se seznamem Char"/>
    <w:aliases w:val="odrážka_1st Char"/>
    <w:basedOn w:val="Standardnpsmoodstavce"/>
    <w:link w:val="Odstavecseseznamem"/>
    <w:uiPriority w:val="34"/>
    <w:rsid w:val="008E0B3D"/>
  </w:style>
  <w:style w:type="paragraph" w:customStyle="1" w:styleId="Stdtxt">
    <w:name w:val="Std_txt"/>
    <w:basedOn w:val="Normln"/>
    <w:link w:val="StdtxtChar"/>
    <w:qFormat/>
    <w:rsid w:val="008E0B3D"/>
    <w:pPr>
      <w:spacing w:before="0" w:after="60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StdtxtChar">
    <w:name w:val="Std_txt Char"/>
    <w:basedOn w:val="Standardnpsmoodstavce"/>
    <w:link w:val="Stdtxt"/>
    <w:rsid w:val="008E0B3D"/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Fuxová Johana</dc:creator>
  <cp:keywords/>
  <dc:description/>
  <cp:lastModifiedBy>Fuxová Johana</cp:lastModifiedBy>
  <cp:revision>2</cp:revision>
  <dcterms:created xsi:type="dcterms:W3CDTF">2025-10-13T12:08:00Z</dcterms:created>
  <dcterms:modified xsi:type="dcterms:W3CDTF">2025-10-13T12:08:00Z</dcterms:modified>
</cp:coreProperties>
</file>