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1C1" w:rsidRPr="006E0E12" w:rsidRDefault="003A41C1" w:rsidP="00E0557D">
      <w:pPr>
        <w:spacing w:line="360" w:lineRule="auto"/>
        <w:ind w:firstLine="708"/>
        <w:jc w:val="center"/>
        <w:rPr>
          <w:rFonts w:asciiTheme="minorHAnsi" w:hAnsiTheme="minorHAnsi"/>
          <w:b/>
          <w:sz w:val="24"/>
          <w:szCs w:val="24"/>
        </w:rPr>
      </w:pPr>
      <w:r w:rsidRPr="006E0E12">
        <w:rPr>
          <w:rFonts w:asciiTheme="minorHAnsi" w:hAnsiTheme="minorHAnsi"/>
          <w:b/>
          <w:sz w:val="24"/>
          <w:szCs w:val="24"/>
        </w:rPr>
        <w:t>Důvodová zpráva</w:t>
      </w:r>
    </w:p>
    <w:p w:rsidR="00E0557D" w:rsidRPr="00D76F45" w:rsidRDefault="00E0557D" w:rsidP="00E0557D">
      <w:pPr>
        <w:spacing w:line="360" w:lineRule="auto"/>
        <w:ind w:firstLine="708"/>
        <w:jc w:val="center"/>
        <w:rPr>
          <w:rFonts w:asciiTheme="minorHAnsi" w:hAnsiTheme="minorHAnsi"/>
          <w:b/>
          <w:sz w:val="16"/>
          <w:szCs w:val="16"/>
          <w:u w:val="single"/>
        </w:rPr>
      </w:pPr>
    </w:p>
    <w:p w:rsidR="003A41C1" w:rsidRPr="00D31403" w:rsidRDefault="003A41C1" w:rsidP="007B29E9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D31403">
        <w:rPr>
          <w:rFonts w:asciiTheme="minorHAnsi" w:hAnsiTheme="minorHAnsi"/>
          <w:sz w:val="24"/>
          <w:szCs w:val="24"/>
        </w:rPr>
        <w:t xml:space="preserve">Na území města České Budějovice je osobní asistence poskytována </w:t>
      </w:r>
      <w:r w:rsidR="00E0557D" w:rsidRPr="00D31403">
        <w:rPr>
          <w:rFonts w:asciiTheme="minorHAnsi" w:hAnsiTheme="minorHAnsi"/>
          <w:sz w:val="24"/>
          <w:szCs w:val="24"/>
        </w:rPr>
        <w:t>třemi registrovanými poskytovateli sociálních služeb dle zákona č. 108/2006 Sb., o sociálních službách</w:t>
      </w:r>
      <w:r w:rsidRPr="00D31403">
        <w:rPr>
          <w:rFonts w:asciiTheme="minorHAnsi" w:hAnsiTheme="minorHAnsi"/>
          <w:sz w:val="24"/>
          <w:szCs w:val="24"/>
        </w:rPr>
        <w:t>. Osobní asistence a další formy terénních služeb pro seniory a zdravotně postižené jim umožňují setrvávat co nejdéle ve svém přirozeném prostředí a oddálit nebo nahradit pobyt v rezidenčním zařízení.</w:t>
      </w:r>
    </w:p>
    <w:p w:rsidR="003E428A" w:rsidRPr="00D31403" w:rsidRDefault="003A41C1" w:rsidP="007B29E9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D31403">
        <w:rPr>
          <w:rFonts w:asciiTheme="minorHAnsi" w:hAnsiTheme="minorHAnsi"/>
          <w:sz w:val="24"/>
          <w:szCs w:val="24"/>
        </w:rPr>
        <w:t>Celková alokovaná částka v rozpočtu odboru sociálních věcí na poskytování této služby je 1 000 tis.</w:t>
      </w:r>
      <w:r w:rsidR="003D3AEF" w:rsidRPr="00D31403">
        <w:rPr>
          <w:rFonts w:asciiTheme="minorHAnsi" w:hAnsiTheme="minorHAnsi"/>
          <w:sz w:val="24"/>
          <w:szCs w:val="24"/>
        </w:rPr>
        <w:t xml:space="preserve"> Kč pro rok 201</w:t>
      </w:r>
      <w:r w:rsidR="003F4F5F">
        <w:rPr>
          <w:rFonts w:asciiTheme="minorHAnsi" w:hAnsiTheme="minorHAnsi"/>
          <w:sz w:val="24"/>
          <w:szCs w:val="24"/>
        </w:rPr>
        <w:t>5</w:t>
      </w:r>
      <w:r w:rsidR="003D3AEF" w:rsidRPr="00D31403">
        <w:rPr>
          <w:rFonts w:asciiTheme="minorHAnsi" w:hAnsiTheme="minorHAnsi"/>
          <w:sz w:val="24"/>
          <w:szCs w:val="24"/>
        </w:rPr>
        <w:t>. (</w:t>
      </w:r>
      <w:r w:rsidRPr="00D31403">
        <w:rPr>
          <w:rFonts w:asciiTheme="minorHAnsi" w:hAnsiTheme="minorHAnsi"/>
          <w:sz w:val="24"/>
          <w:szCs w:val="24"/>
        </w:rPr>
        <w:t xml:space="preserve">odpovědné místo 106, akce 3338, položka 5901, § 4351). </w:t>
      </w:r>
    </w:p>
    <w:p w:rsidR="00D76F45" w:rsidRDefault="003E428A" w:rsidP="007B29E9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D31403">
        <w:rPr>
          <w:rFonts w:asciiTheme="minorHAnsi" w:hAnsiTheme="minorHAnsi"/>
          <w:sz w:val="24"/>
          <w:szCs w:val="24"/>
        </w:rPr>
        <w:t>Pro rok 201</w:t>
      </w:r>
      <w:r w:rsidR="003F4F5F">
        <w:rPr>
          <w:rFonts w:asciiTheme="minorHAnsi" w:hAnsiTheme="minorHAnsi"/>
          <w:sz w:val="24"/>
          <w:szCs w:val="24"/>
        </w:rPr>
        <w:t>5</w:t>
      </w:r>
      <w:r w:rsidRPr="00D31403">
        <w:rPr>
          <w:rFonts w:asciiTheme="minorHAnsi" w:hAnsiTheme="minorHAnsi"/>
          <w:sz w:val="24"/>
          <w:szCs w:val="24"/>
        </w:rPr>
        <w:t xml:space="preserve"> se k rozdělení alokované částky na dané pololetí </w:t>
      </w:r>
      <w:r w:rsidR="003F4F5F">
        <w:rPr>
          <w:rFonts w:asciiTheme="minorHAnsi" w:hAnsiTheme="minorHAnsi"/>
          <w:sz w:val="24"/>
          <w:szCs w:val="24"/>
        </w:rPr>
        <w:t>opět</w:t>
      </w:r>
      <w:r w:rsidR="006E0E12">
        <w:rPr>
          <w:rFonts w:asciiTheme="minorHAnsi" w:hAnsiTheme="minorHAnsi"/>
          <w:sz w:val="24"/>
          <w:szCs w:val="24"/>
        </w:rPr>
        <w:t xml:space="preserve"> použije stejně</w:t>
      </w:r>
      <w:r w:rsidR="003F4F5F">
        <w:rPr>
          <w:rFonts w:asciiTheme="minorHAnsi" w:hAnsiTheme="minorHAnsi"/>
          <w:sz w:val="24"/>
          <w:szCs w:val="24"/>
        </w:rPr>
        <w:t xml:space="preserve"> jako v roce 2014 </w:t>
      </w:r>
      <w:r w:rsidRPr="00D31403">
        <w:rPr>
          <w:rFonts w:asciiTheme="minorHAnsi" w:hAnsiTheme="minorHAnsi"/>
          <w:sz w:val="24"/>
          <w:szCs w:val="24"/>
        </w:rPr>
        <w:t xml:space="preserve">ukazatel tzv. </w:t>
      </w:r>
      <w:r w:rsidRPr="006E0E12">
        <w:rPr>
          <w:rFonts w:asciiTheme="minorHAnsi" w:hAnsiTheme="minorHAnsi"/>
          <w:b/>
          <w:i/>
          <w:sz w:val="24"/>
          <w:szCs w:val="24"/>
        </w:rPr>
        <w:t>aktivního uživatele</w:t>
      </w:r>
      <w:r w:rsidRPr="00D31403">
        <w:rPr>
          <w:rFonts w:asciiTheme="minorHAnsi" w:hAnsiTheme="minorHAnsi"/>
          <w:sz w:val="24"/>
          <w:szCs w:val="24"/>
        </w:rPr>
        <w:t xml:space="preserve"> (= uživatel, který v daném měsíci čerpal úkony osobní asistence) za sledované období (následně kumulativně sečteno za dané měsíce). Na z</w:t>
      </w:r>
      <w:r w:rsidR="00553F9E" w:rsidRPr="00D31403">
        <w:rPr>
          <w:rFonts w:asciiTheme="minorHAnsi" w:hAnsiTheme="minorHAnsi"/>
          <w:sz w:val="24"/>
          <w:szCs w:val="24"/>
        </w:rPr>
        <w:t xml:space="preserve">ákladě provedeného propočtu </w:t>
      </w:r>
      <w:r w:rsidR="003F4F5F">
        <w:rPr>
          <w:rFonts w:asciiTheme="minorHAnsi" w:hAnsiTheme="minorHAnsi"/>
          <w:sz w:val="24"/>
          <w:szCs w:val="24"/>
        </w:rPr>
        <w:t>je</w:t>
      </w:r>
      <w:r w:rsidR="00553F9E" w:rsidRPr="00D31403">
        <w:rPr>
          <w:rFonts w:asciiTheme="minorHAnsi" w:hAnsiTheme="minorHAnsi"/>
          <w:sz w:val="24"/>
          <w:szCs w:val="24"/>
        </w:rPr>
        <w:t xml:space="preserve"> stanovena výše příspěvku na dané pololetí. </w:t>
      </w:r>
      <w:r w:rsidR="00D76F45">
        <w:rPr>
          <w:rFonts w:asciiTheme="minorHAnsi" w:hAnsiTheme="minorHAnsi"/>
          <w:sz w:val="24"/>
          <w:szCs w:val="24"/>
        </w:rPr>
        <w:t xml:space="preserve"> Na I. pololetí 201</w:t>
      </w:r>
      <w:r w:rsidR="00B34906">
        <w:rPr>
          <w:rFonts w:asciiTheme="minorHAnsi" w:hAnsiTheme="minorHAnsi"/>
          <w:sz w:val="24"/>
          <w:szCs w:val="24"/>
        </w:rPr>
        <w:t>5</w:t>
      </w:r>
      <w:r w:rsidR="00D76F45">
        <w:rPr>
          <w:rFonts w:asciiTheme="minorHAnsi" w:hAnsiTheme="minorHAnsi"/>
          <w:sz w:val="24"/>
          <w:szCs w:val="24"/>
        </w:rPr>
        <w:t xml:space="preserve"> byl stanoven příspěvek na jednoho uživatele ve výši 1.150 Kč/uživatel/měsíc.</w:t>
      </w:r>
    </w:p>
    <w:p w:rsidR="00553F9E" w:rsidRPr="00D31403" w:rsidRDefault="003E428A" w:rsidP="007B29E9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D31403">
        <w:rPr>
          <w:rFonts w:asciiTheme="minorHAnsi" w:hAnsiTheme="minorHAnsi"/>
          <w:sz w:val="24"/>
          <w:szCs w:val="24"/>
        </w:rPr>
        <w:t xml:space="preserve">Dotace </w:t>
      </w:r>
      <w:r w:rsidR="00553F9E" w:rsidRPr="00D31403">
        <w:rPr>
          <w:rFonts w:asciiTheme="minorHAnsi" w:hAnsiTheme="minorHAnsi"/>
          <w:sz w:val="24"/>
          <w:szCs w:val="24"/>
        </w:rPr>
        <w:t>se následně poskytuje</w:t>
      </w:r>
      <w:r w:rsidRPr="00D31403">
        <w:rPr>
          <w:rFonts w:asciiTheme="minorHAnsi" w:hAnsiTheme="minorHAnsi"/>
          <w:sz w:val="24"/>
          <w:szCs w:val="24"/>
        </w:rPr>
        <w:t xml:space="preserve"> ve dvou </w:t>
      </w:r>
      <w:r w:rsidR="00B63B4B" w:rsidRPr="00D31403">
        <w:rPr>
          <w:rFonts w:asciiTheme="minorHAnsi" w:hAnsiTheme="minorHAnsi"/>
          <w:sz w:val="24"/>
          <w:szCs w:val="24"/>
        </w:rPr>
        <w:t>částech</w:t>
      </w:r>
      <w:r w:rsidRPr="00D31403">
        <w:rPr>
          <w:rFonts w:asciiTheme="minorHAnsi" w:hAnsiTheme="minorHAnsi"/>
          <w:sz w:val="24"/>
          <w:szCs w:val="24"/>
        </w:rPr>
        <w:t xml:space="preserve">. První </w:t>
      </w:r>
      <w:r w:rsidR="00B63B4B" w:rsidRPr="00D31403">
        <w:rPr>
          <w:rFonts w:asciiTheme="minorHAnsi" w:hAnsiTheme="minorHAnsi"/>
          <w:sz w:val="24"/>
          <w:szCs w:val="24"/>
        </w:rPr>
        <w:t xml:space="preserve">část dotace </w:t>
      </w:r>
      <w:r w:rsidR="00553F9E" w:rsidRPr="00D31403">
        <w:rPr>
          <w:rFonts w:asciiTheme="minorHAnsi" w:hAnsiTheme="minorHAnsi"/>
          <w:sz w:val="24"/>
          <w:szCs w:val="24"/>
        </w:rPr>
        <w:t>je</w:t>
      </w:r>
      <w:r w:rsidRPr="00D31403">
        <w:rPr>
          <w:rFonts w:asciiTheme="minorHAnsi" w:hAnsiTheme="minorHAnsi"/>
          <w:sz w:val="24"/>
          <w:szCs w:val="24"/>
        </w:rPr>
        <w:t xml:space="preserve"> poskytnuta jako tzv. </w:t>
      </w:r>
      <w:r w:rsidR="00B63B4B" w:rsidRPr="00D31403">
        <w:rPr>
          <w:rFonts w:asciiTheme="minorHAnsi" w:hAnsiTheme="minorHAnsi"/>
          <w:sz w:val="24"/>
          <w:szCs w:val="24"/>
        </w:rPr>
        <w:t>„</w:t>
      </w:r>
      <w:r w:rsidRPr="00D31403">
        <w:rPr>
          <w:rFonts w:asciiTheme="minorHAnsi" w:hAnsiTheme="minorHAnsi"/>
          <w:sz w:val="24"/>
          <w:szCs w:val="24"/>
        </w:rPr>
        <w:t>záloha</w:t>
      </w:r>
      <w:r w:rsidR="00B63B4B" w:rsidRPr="00D31403">
        <w:rPr>
          <w:rFonts w:asciiTheme="minorHAnsi" w:hAnsiTheme="minorHAnsi"/>
          <w:b/>
          <w:i/>
          <w:sz w:val="24"/>
          <w:szCs w:val="24"/>
        </w:rPr>
        <w:t>“</w:t>
      </w:r>
      <w:r w:rsidRPr="00D31403">
        <w:rPr>
          <w:rFonts w:asciiTheme="minorHAnsi" w:hAnsiTheme="minorHAnsi"/>
          <w:sz w:val="24"/>
          <w:szCs w:val="24"/>
        </w:rPr>
        <w:t xml:space="preserve">. Po uplynutí daného období </w:t>
      </w:r>
      <w:r w:rsidR="00553F9E" w:rsidRPr="00D31403">
        <w:rPr>
          <w:rFonts w:asciiTheme="minorHAnsi" w:hAnsiTheme="minorHAnsi"/>
          <w:sz w:val="24"/>
          <w:szCs w:val="24"/>
        </w:rPr>
        <w:t>jsou</w:t>
      </w:r>
      <w:r w:rsidRPr="00D31403">
        <w:rPr>
          <w:rFonts w:asciiTheme="minorHAnsi" w:hAnsiTheme="minorHAnsi"/>
          <w:sz w:val="24"/>
          <w:szCs w:val="24"/>
        </w:rPr>
        <w:t xml:space="preserve"> poskytovateli </w:t>
      </w:r>
      <w:r w:rsidR="003142A2">
        <w:rPr>
          <w:rFonts w:asciiTheme="minorHAnsi" w:hAnsiTheme="minorHAnsi"/>
          <w:sz w:val="24"/>
          <w:szCs w:val="24"/>
        </w:rPr>
        <w:t>osobní asistence</w:t>
      </w:r>
      <w:r w:rsidRPr="00D31403">
        <w:rPr>
          <w:rFonts w:asciiTheme="minorHAnsi" w:hAnsiTheme="minorHAnsi"/>
          <w:sz w:val="24"/>
          <w:szCs w:val="24"/>
        </w:rPr>
        <w:t xml:space="preserve"> doloženy skutečné ukazatele, dle kterých </w:t>
      </w:r>
      <w:r w:rsidR="00553F9E" w:rsidRPr="00D31403">
        <w:rPr>
          <w:rFonts w:asciiTheme="minorHAnsi" w:hAnsiTheme="minorHAnsi"/>
          <w:sz w:val="24"/>
          <w:szCs w:val="24"/>
        </w:rPr>
        <w:t xml:space="preserve">se </w:t>
      </w:r>
      <w:r w:rsidRPr="00D31403">
        <w:rPr>
          <w:rFonts w:asciiTheme="minorHAnsi" w:hAnsiTheme="minorHAnsi"/>
          <w:sz w:val="24"/>
          <w:szCs w:val="24"/>
        </w:rPr>
        <w:t xml:space="preserve">výše dotace </w:t>
      </w:r>
      <w:r w:rsidR="00553F9E" w:rsidRPr="00D31403">
        <w:rPr>
          <w:rFonts w:asciiTheme="minorHAnsi" w:hAnsiTheme="minorHAnsi"/>
          <w:sz w:val="24"/>
          <w:szCs w:val="24"/>
        </w:rPr>
        <w:t>přepočítává</w:t>
      </w:r>
      <w:r w:rsidRPr="00D31403">
        <w:rPr>
          <w:rFonts w:asciiTheme="minorHAnsi" w:hAnsiTheme="minorHAnsi"/>
          <w:sz w:val="24"/>
          <w:szCs w:val="24"/>
        </w:rPr>
        <w:t xml:space="preserve"> a</w:t>
      </w:r>
      <w:r w:rsidR="00B63B4B" w:rsidRPr="00D31403">
        <w:rPr>
          <w:rFonts w:asciiTheme="minorHAnsi" w:hAnsiTheme="minorHAnsi"/>
          <w:sz w:val="24"/>
          <w:szCs w:val="24"/>
        </w:rPr>
        <w:t xml:space="preserve"> případně </w:t>
      </w:r>
      <w:r w:rsidRPr="00D31403">
        <w:rPr>
          <w:rFonts w:asciiTheme="minorHAnsi" w:hAnsiTheme="minorHAnsi"/>
          <w:sz w:val="24"/>
          <w:szCs w:val="24"/>
        </w:rPr>
        <w:t xml:space="preserve">formou druhé </w:t>
      </w:r>
      <w:r w:rsidR="00B63B4B" w:rsidRPr="00D31403">
        <w:rPr>
          <w:rFonts w:asciiTheme="minorHAnsi" w:hAnsiTheme="minorHAnsi"/>
          <w:sz w:val="24"/>
          <w:szCs w:val="24"/>
        </w:rPr>
        <w:t>části</w:t>
      </w:r>
      <w:r w:rsidRPr="00D31403">
        <w:rPr>
          <w:rFonts w:asciiTheme="minorHAnsi" w:hAnsiTheme="minorHAnsi"/>
          <w:sz w:val="24"/>
          <w:szCs w:val="24"/>
        </w:rPr>
        <w:t xml:space="preserve"> </w:t>
      </w:r>
      <w:r w:rsidR="00B63B4B" w:rsidRPr="00D31403">
        <w:rPr>
          <w:rFonts w:asciiTheme="minorHAnsi" w:hAnsiTheme="minorHAnsi"/>
          <w:sz w:val="24"/>
          <w:szCs w:val="24"/>
        </w:rPr>
        <w:t>dotace dorovná</w:t>
      </w:r>
      <w:r w:rsidR="00553F9E" w:rsidRPr="00D31403">
        <w:rPr>
          <w:rFonts w:asciiTheme="minorHAnsi" w:hAnsiTheme="minorHAnsi"/>
          <w:sz w:val="24"/>
          <w:szCs w:val="24"/>
        </w:rPr>
        <w:t>vá</w:t>
      </w:r>
      <w:r w:rsidRPr="00D31403">
        <w:rPr>
          <w:rFonts w:asciiTheme="minorHAnsi" w:hAnsiTheme="minorHAnsi"/>
          <w:sz w:val="24"/>
          <w:szCs w:val="24"/>
        </w:rPr>
        <w:t>.</w:t>
      </w:r>
      <w:r w:rsidR="00B63B4B" w:rsidRPr="00D31403">
        <w:rPr>
          <w:rFonts w:asciiTheme="minorHAnsi" w:hAnsiTheme="minorHAnsi"/>
          <w:sz w:val="24"/>
          <w:szCs w:val="24"/>
        </w:rPr>
        <w:t xml:space="preserve"> </w:t>
      </w:r>
    </w:p>
    <w:p w:rsidR="003E428A" w:rsidRDefault="00B63B4B" w:rsidP="007B29E9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D31403">
        <w:rPr>
          <w:rFonts w:asciiTheme="minorHAnsi" w:hAnsiTheme="minorHAnsi"/>
          <w:sz w:val="24"/>
          <w:szCs w:val="24"/>
        </w:rPr>
        <w:t>V </w:t>
      </w:r>
      <w:r w:rsidR="00553F9E" w:rsidRPr="00D31403">
        <w:rPr>
          <w:rFonts w:asciiTheme="minorHAnsi" w:hAnsiTheme="minorHAnsi"/>
          <w:sz w:val="24"/>
          <w:szCs w:val="24"/>
        </w:rPr>
        <w:t>uvedené</w:t>
      </w:r>
      <w:r w:rsidRPr="00D31403">
        <w:rPr>
          <w:rFonts w:asciiTheme="minorHAnsi" w:hAnsiTheme="minorHAnsi"/>
          <w:sz w:val="24"/>
          <w:szCs w:val="24"/>
        </w:rPr>
        <w:t xml:space="preserve"> tabulce je přehled ukazatelů (poč</w:t>
      </w:r>
      <w:r w:rsidR="006E0E12">
        <w:rPr>
          <w:rFonts w:asciiTheme="minorHAnsi" w:hAnsiTheme="minorHAnsi"/>
          <w:sz w:val="24"/>
          <w:szCs w:val="24"/>
        </w:rPr>
        <w:t>et smluv a aktivních uživatelů n</w:t>
      </w:r>
      <w:r w:rsidRPr="00D31403">
        <w:rPr>
          <w:rFonts w:asciiTheme="minorHAnsi" w:hAnsiTheme="minorHAnsi"/>
          <w:sz w:val="24"/>
          <w:szCs w:val="24"/>
        </w:rPr>
        <w:t xml:space="preserve">a dané období) a návrh </w:t>
      </w:r>
      <w:r w:rsidR="003F4F5F">
        <w:rPr>
          <w:rFonts w:asciiTheme="minorHAnsi" w:hAnsiTheme="minorHAnsi"/>
          <w:sz w:val="24"/>
          <w:szCs w:val="24"/>
        </w:rPr>
        <w:t>1</w:t>
      </w:r>
      <w:r w:rsidR="00553F9E" w:rsidRPr="00D31403">
        <w:rPr>
          <w:rFonts w:asciiTheme="minorHAnsi" w:hAnsiTheme="minorHAnsi"/>
          <w:sz w:val="24"/>
          <w:szCs w:val="24"/>
        </w:rPr>
        <w:t>. části dotace</w:t>
      </w:r>
      <w:r w:rsidR="00D76F45">
        <w:rPr>
          <w:rFonts w:asciiTheme="minorHAnsi" w:hAnsiTheme="minorHAnsi"/>
          <w:sz w:val="24"/>
          <w:szCs w:val="24"/>
        </w:rPr>
        <w:t xml:space="preserve"> (zálohy)</w:t>
      </w:r>
      <w:r w:rsidR="00553F9E" w:rsidRPr="00D31403">
        <w:rPr>
          <w:rFonts w:asciiTheme="minorHAnsi" w:hAnsiTheme="minorHAnsi"/>
          <w:sz w:val="24"/>
          <w:szCs w:val="24"/>
        </w:rPr>
        <w:t xml:space="preserve">, vypočtené dle </w:t>
      </w:r>
      <w:r w:rsidR="003F4F5F">
        <w:rPr>
          <w:rFonts w:asciiTheme="minorHAnsi" w:hAnsiTheme="minorHAnsi"/>
          <w:sz w:val="24"/>
          <w:szCs w:val="24"/>
        </w:rPr>
        <w:t>přepokládaných počtů ukazatelů.</w:t>
      </w:r>
    </w:p>
    <w:p w:rsidR="00D76F45" w:rsidRDefault="00D76F45" w:rsidP="006E0E12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559"/>
        <w:gridCol w:w="1701"/>
        <w:gridCol w:w="1560"/>
        <w:gridCol w:w="1559"/>
        <w:gridCol w:w="1417"/>
      </w:tblGrid>
      <w:tr w:rsidR="00D76F45" w:rsidRPr="00D76F45" w:rsidTr="00D76F45">
        <w:trPr>
          <w:trHeight w:val="7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poskytovatel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D76F45">
              <w:rPr>
                <w:rFonts w:asciiTheme="minorHAnsi" w:hAnsiTheme="minorHAnsi" w:cs="Arial"/>
                <w:sz w:val="18"/>
                <w:szCs w:val="18"/>
              </w:rPr>
              <w:t>předpokládaný počet uživatelů na I. pololetí 2015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D76F45">
              <w:rPr>
                <w:rFonts w:asciiTheme="minorHAnsi" w:hAnsiTheme="minorHAnsi" w:cs="Arial"/>
                <w:sz w:val="18"/>
                <w:szCs w:val="18"/>
              </w:rPr>
              <w:t>předpokládaný počet aktivních uživatelů v I. pololetí 2015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D76F45">
              <w:rPr>
                <w:rFonts w:asciiTheme="minorHAnsi" w:hAnsiTheme="minorHAnsi" w:cs="Arial"/>
                <w:sz w:val="18"/>
                <w:szCs w:val="18"/>
              </w:rPr>
              <w:t>požadavek poskytovatelů na I. pololetí 2015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D76F45">
              <w:rPr>
                <w:rFonts w:asciiTheme="minorHAnsi" w:hAnsiTheme="minorHAnsi" w:cs="Arial"/>
                <w:sz w:val="18"/>
                <w:szCs w:val="18"/>
              </w:rPr>
              <w:t>návrh dotace na I. pololetí 2015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záloha</w:t>
            </w:r>
          </w:p>
        </w:tc>
      </w:tr>
      <w:tr w:rsidR="00D76F45" w:rsidRPr="00D76F45" w:rsidTr="00D76F45">
        <w:trPr>
          <w:trHeight w:val="57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Městská charita;         IČ 60072709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45" w:rsidRPr="00D76F45" w:rsidRDefault="00D76F45" w:rsidP="00D76F4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jc w:val="center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163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  350 000 Kč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>187 450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b/>
                <w:bCs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b/>
                <w:bCs/>
                <w:color w:val="333333"/>
                <w:sz w:val="22"/>
                <w:szCs w:val="22"/>
              </w:rPr>
              <w:t>150 000 Kč</w:t>
            </w:r>
          </w:p>
        </w:tc>
      </w:tr>
      <w:tr w:rsidR="00D76F45" w:rsidRPr="00D76F45" w:rsidTr="00D76F45">
        <w:trPr>
          <w:trHeight w:val="57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Ledax, o.p.s.;                          IČ 28068955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45" w:rsidRPr="00D76F45" w:rsidRDefault="00D76F45" w:rsidP="00D76F4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jc w:val="center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225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  350 000 Kč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>258 750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b/>
                <w:bCs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b/>
                <w:bCs/>
                <w:color w:val="333333"/>
                <w:sz w:val="22"/>
                <w:szCs w:val="22"/>
              </w:rPr>
              <w:t>207 000 Kč</w:t>
            </w:r>
          </w:p>
        </w:tc>
      </w:tr>
      <w:tr w:rsidR="00D76F45" w:rsidRPr="00D76F45" w:rsidTr="00D76F45">
        <w:trPr>
          <w:trHeight w:val="840"/>
        </w:trPr>
        <w:tc>
          <w:tcPr>
            <w:tcW w:w="1843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Jihočeská sociální pomoc o.p.s.;                   IČ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26034948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45" w:rsidRPr="00D76F45" w:rsidRDefault="00D76F45" w:rsidP="00D76F4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jc w:val="center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45 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  50 000 Kč 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jc w:val="both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>51 750 Kč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b/>
                <w:bCs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b/>
                <w:bCs/>
                <w:color w:val="333333"/>
                <w:sz w:val="22"/>
                <w:szCs w:val="22"/>
              </w:rPr>
              <w:t>42 000 Kč</w:t>
            </w:r>
          </w:p>
        </w:tc>
      </w:tr>
      <w:tr w:rsidR="00D76F45" w:rsidRPr="00D76F45" w:rsidTr="00D76F45">
        <w:trPr>
          <w:trHeight w:val="45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Celkem: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45" w:rsidRPr="00D76F45" w:rsidRDefault="00D76F45" w:rsidP="00D76F4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172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F45" w:rsidRPr="00D76F45" w:rsidRDefault="00D76F45" w:rsidP="00D76F4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sz w:val="22"/>
                <w:szCs w:val="22"/>
              </w:rPr>
              <w:t>433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  750 000 Kč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497 950 Kč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F45" w:rsidRPr="00D76F45" w:rsidRDefault="00D76F45" w:rsidP="00D76F45">
            <w:pPr>
              <w:rPr>
                <w:rFonts w:asciiTheme="minorHAnsi" w:hAnsiTheme="minorHAnsi" w:cs="Arial"/>
                <w:b/>
                <w:bCs/>
                <w:color w:val="333333"/>
                <w:sz w:val="22"/>
                <w:szCs w:val="22"/>
              </w:rPr>
            </w:pPr>
            <w:r w:rsidRPr="00D76F45">
              <w:rPr>
                <w:rFonts w:asciiTheme="minorHAnsi" w:hAnsiTheme="minorHAnsi" w:cs="Arial"/>
                <w:b/>
                <w:bCs/>
                <w:color w:val="333333"/>
                <w:sz w:val="22"/>
                <w:szCs w:val="22"/>
              </w:rPr>
              <w:t xml:space="preserve">399 000 Kč </w:t>
            </w:r>
          </w:p>
        </w:tc>
      </w:tr>
    </w:tbl>
    <w:p w:rsidR="00D31403" w:rsidRPr="00D31403" w:rsidRDefault="00D31403" w:rsidP="003E428A">
      <w:pPr>
        <w:spacing w:line="360" w:lineRule="auto"/>
        <w:ind w:firstLine="708"/>
        <w:jc w:val="both"/>
        <w:rPr>
          <w:rFonts w:asciiTheme="minorHAnsi" w:hAnsiTheme="minorHAnsi"/>
          <w:sz w:val="24"/>
          <w:szCs w:val="24"/>
        </w:rPr>
      </w:pPr>
    </w:p>
    <w:p w:rsidR="007B29E9" w:rsidRPr="005514E5" w:rsidRDefault="007B29E9" w:rsidP="007B29E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14E5">
        <w:rPr>
          <w:rFonts w:asciiTheme="minorHAnsi" w:hAnsiTheme="minorHAnsi" w:cstheme="minorHAnsi"/>
          <w:sz w:val="24"/>
          <w:szCs w:val="24"/>
        </w:rPr>
        <w:t xml:space="preserve">Předložený návrh byl projednán dne </w:t>
      </w:r>
      <w:r>
        <w:rPr>
          <w:rFonts w:asciiTheme="minorHAnsi" w:hAnsiTheme="minorHAnsi" w:cstheme="minorHAnsi"/>
          <w:sz w:val="24"/>
          <w:szCs w:val="24"/>
        </w:rPr>
        <w:t>28. ledna 2015</w:t>
      </w:r>
      <w:r w:rsidRPr="005514E5">
        <w:rPr>
          <w:rFonts w:asciiTheme="minorHAnsi" w:hAnsiTheme="minorHAnsi" w:cstheme="minorHAnsi"/>
          <w:sz w:val="24"/>
          <w:szCs w:val="24"/>
        </w:rPr>
        <w:t xml:space="preserve"> v radě města, která svým usnesením č</w:t>
      </w:r>
      <w:r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117</w:t>
      </w:r>
      <w:r w:rsidRPr="005514E5">
        <w:rPr>
          <w:rFonts w:asciiTheme="minorHAnsi" w:hAnsiTheme="minorHAnsi" w:cstheme="minorHAnsi"/>
          <w:sz w:val="24"/>
          <w:szCs w:val="24"/>
        </w:rPr>
        <w:t>/201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5514E5">
        <w:rPr>
          <w:rFonts w:asciiTheme="minorHAnsi" w:hAnsiTheme="minorHAnsi" w:cstheme="minorHAnsi"/>
          <w:sz w:val="24"/>
          <w:szCs w:val="24"/>
        </w:rPr>
        <w:t xml:space="preserve"> doporučuje zastupitelstvu města navrženou částku schválit.</w:t>
      </w:r>
    </w:p>
    <w:p w:rsidR="007B29E9" w:rsidRPr="005514E5" w:rsidRDefault="007B29E9" w:rsidP="007B29E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14E5">
        <w:rPr>
          <w:rFonts w:asciiTheme="minorHAnsi" w:hAnsiTheme="minorHAnsi" w:cstheme="minorHAnsi"/>
          <w:sz w:val="24"/>
          <w:szCs w:val="24"/>
        </w:rPr>
        <w:t xml:space="preserve">Vzhledem k tomu, že poskytnutím dotace na zajištění </w:t>
      </w:r>
      <w:r>
        <w:rPr>
          <w:rFonts w:asciiTheme="minorHAnsi" w:hAnsiTheme="minorHAnsi" w:cstheme="minorHAnsi"/>
          <w:sz w:val="24"/>
          <w:szCs w:val="24"/>
        </w:rPr>
        <w:t>osobní asistence</w:t>
      </w:r>
      <w:r w:rsidRPr="005514E5">
        <w:rPr>
          <w:rFonts w:asciiTheme="minorHAnsi" w:hAnsiTheme="minorHAnsi" w:cstheme="minorHAnsi"/>
          <w:sz w:val="24"/>
          <w:szCs w:val="24"/>
        </w:rPr>
        <w:t xml:space="preserve"> by mohlo dojít k veřejné podpoře těchto organizací, rada města ve svém usnesení zároveň žádající organizaci pověřila poskytováním služeb obecně hospodářského zájmu především z důvodů navýšení celkového limitu na 500 tis. EUR pro příjem dotací.</w:t>
      </w:r>
    </w:p>
    <w:p w:rsidR="00157E44" w:rsidRPr="00D76F45" w:rsidRDefault="00157E44" w:rsidP="007B29E9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  <w:bookmarkStart w:id="0" w:name="_GoBack"/>
      <w:bookmarkEnd w:id="0"/>
    </w:p>
    <w:sectPr w:rsidR="00157E44" w:rsidRPr="00D76F45" w:rsidSect="00E0557D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234"/>
    <w:rsid w:val="000C74A2"/>
    <w:rsid w:val="00157E44"/>
    <w:rsid w:val="002901C2"/>
    <w:rsid w:val="00290BB4"/>
    <w:rsid w:val="002A10F6"/>
    <w:rsid w:val="003142A2"/>
    <w:rsid w:val="003A41C1"/>
    <w:rsid w:val="003D3AEF"/>
    <w:rsid w:val="003E428A"/>
    <w:rsid w:val="003F4F5F"/>
    <w:rsid w:val="00553F9E"/>
    <w:rsid w:val="005F5171"/>
    <w:rsid w:val="00661F17"/>
    <w:rsid w:val="006E0E12"/>
    <w:rsid w:val="007B29E9"/>
    <w:rsid w:val="008B0461"/>
    <w:rsid w:val="008D29B6"/>
    <w:rsid w:val="009312D9"/>
    <w:rsid w:val="00A43234"/>
    <w:rsid w:val="00AE460D"/>
    <w:rsid w:val="00AF6E53"/>
    <w:rsid w:val="00B34906"/>
    <w:rsid w:val="00B63B4B"/>
    <w:rsid w:val="00CD2B5F"/>
    <w:rsid w:val="00D31403"/>
    <w:rsid w:val="00D76F45"/>
    <w:rsid w:val="00DF66F6"/>
    <w:rsid w:val="00E0557D"/>
    <w:rsid w:val="00E57BF0"/>
    <w:rsid w:val="00FA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8579B-5E94-45C0-B463-68627E2C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4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42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28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České Budějovice</Company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cp:lastPrinted>2014-12-04T07:31:00Z</cp:lastPrinted>
  <dcterms:created xsi:type="dcterms:W3CDTF">2015-01-29T07:11:00Z</dcterms:created>
  <dcterms:modified xsi:type="dcterms:W3CDTF">2015-01-29T07:13:00Z</dcterms:modified>
</cp:coreProperties>
</file>