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D6" w:rsidRDefault="00507BD6" w:rsidP="00507BD6">
      <w:pPr>
        <w:pStyle w:val="Nzev"/>
        <w:rPr>
          <w:sz w:val="36"/>
        </w:rPr>
      </w:pPr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507BD6" w:rsidRPr="00507BD6" w:rsidRDefault="00507BD6" w:rsidP="00CF2D90">
      <w:pPr>
        <w:pStyle w:val="Prosttext"/>
        <w:tabs>
          <w:tab w:val="left" w:pos="851"/>
        </w:tabs>
        <w:spacing w:after="12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7E5289" w:rsidRPr="007E5289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7E5289">
        <w:rPr>
          <w:rFonts w:ascii="Times New Roman" w:hAnsi="Times New Roman"/>
          <w:b/>
          <w:sz w:val="36"/>
        </w:rPr>
        <w:t>6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:rsidR="00507BD6" w:rsidRPr="00507BD6" w:rsidRDefault="00507BD6" w:rsidP="00507BD6">
      <w:pPr>
        <w:pStyle w:val="Zkladntext"/>
        <w:jc w:val="center"/>
        <w:rPr>
          <w:b/>
          <w:sz w:val="32"/>
        </w:rPr>
      </w:pPr>
      <w:r w:rsidRPr="00507BD6">
        <w:rPr>
          <w:b/>
          <w:sz w:val="32"/>
        </w:rPr>
        <w:t xml:space="preserve">o </w:t>
      </w:r>
      <w:r w:rsidR="007E5289">
        <w:rPr>
          <w:b/>
          <w:sz w:val="32"/>
        </w:rPr>
        <w:t>zákazu provozování některých hazardních her</w:t>
      </w:r>
    </w:p>
    <w:p w:rsidR="00507BD6" w:rsidRPr="00507BD6" w:rsidRDefault="00507BD6" w:rsidP="00507BD6">
      <w:pPr>
        <w:spacing w:before="200" w:after="20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="007E5289" w:rsidRPr="007E5289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 xml:space="preserve">. </w:t>
      </w:r>
      <w:r w:rsidR="007E5289" w:rsidRPr="007E5289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>. 201</w:t>
      </w:r>
      <w:r w:rsidR="007E5289">
        <w:rPr>
          <w:rFonts w:ascii="Times New Roman" w:hAnsi="Times New Roman" w:cs="Times New Roman"/>
          <w:sz w:val="24"/>
          <w:szCs w:val="24"/>
        </w:rPr>
        <w:t>6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7E5289">
        <w:rPr>
          <w:rFonts w:ascii="Times New Roman" w:hAnsi="Times New Roman" w:cs="Times New Roman"/>
          <w:b/>
          <w:sz w:val="24"/>
          <w:szCs w:val="24"/>
        </w:rPr>
        <w:t>1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E5289">
        <w:rPr>
          <w:rFonts w:ascii="Times New Roman" w:hAnsi="Times New Roman" w:cs="Times New Roman"/>
          <w:b/>
          <w:sz w:val="24"/>
          <w:szCs w:val="24"/>
        </w:rPr>
        <w:t>1</w:t>
      </w:r>
      <w:r w:rsidR="003C442B">
        <w:rPr>
          <w:rFonts w:ascii="Times New Roman" w:hAnsi="Times New Roman" w:cs="Times New Roman"/>
          <w:b/>
          <w:sz w:val="24"/>
          <w:szCs w:val="24"/>
        </w:rPr>
        <w:t>. 201</w:t>
      </w:r>
      <w:r w:rsidR="007E5289">
        <w:rPr>
          <w:rFonts w:ascii="Times New Roman" w:hAnsi="Times New Roman" w:cs="Times New Roman"/>
          <w:b/>
          <w:sz w:val="24"/>
          <w:szCs w:val="24"/>
        </w:rPr>
        <w:t>7</w:t>
      </w:r>
      <w:r w:rsidR="00472F5D">
        <w:rPr>
          <w:rFonts w:ascii="Times New Roman" w:hAnsi="Times New Roman" w:cs="Times New Roman"/>
          <w:b/>
          <w:sz w:val="24"/>
          <w:szCs w:val="24"/>
        </w:rPr>
        <w:br/>
      </w:r>
      <w:r w:rsidR="00472F5D">
        <w:rPr>
          <w:rFonts w:ascii="Times New Roman" w:hAnsi="Times New Roman" w:cs="Times New Roman"/>
          <w:sz w:val="24"/>
          <w:szCs w:val="24"/>
        </w:rPr>
        <w:t>(některá ustanovení ode dne 1. 1. 20</w:t>
      </w:r>
      <w:r w:rsidR="007E5289">
        <w:rPr>
          <w:rFonts w:ascii="Times New Roman" w:hAnsi="Times New Roman" w:cs="Times New Roman"/>
          <w:sz w:val="24"/>
          <w:szCs w:val="24"/>
        </w:rPr>
        <w:t>20</w:t>
      </w:r>
      <w:r w:rsidR="00472F5D">
        <w:rPr>
          <w:rFonts w:ascii="Times New Roman" w:hAnsi="Times New Roman" w:cs="Times New Roman"/>
          <w:sz w:val="24"/>
          <w:szCs w:val="24"/>
        </w:rPr>
        <w:t>)</w:t>
      </w:r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7E5289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7E5289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16</w:t>
      </w:r>
    </w:p>
    <w:p w:rsidR="009A2763" w:rsidRPr="008E573C" w:rsidRDefault="009A2763" w:rsidP="00CF2D90">
      <w:pPr>
        <w:pStyle w:val="Souhrnntextnvrhu"/>
        <w:spacing w:after="40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  <w:t xml:space="preserve">o </w:t>
      </w:r>
      <w:r w:rsidR="007E5289">
        <w:rPr>
          <w:b/>
          <w:sz w:val="24"/>
        </w:rPr>
        <w:t>zákazu provozování některých hazardních her</w:t>
      </w:r>
    </w:p>
    <w:p w:rsidR="009A2763" w:rsidRPr="008E573C" w:rsidRDefault="009A2763" w:rsidP="00CF2D90">
      <w:pPr>
        <w:pStyle w:val="Souhrnntextnvrhu"/>
        <w:spacing w:after="40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7E5289" w:rsidRPr="007E5289">
        <w:rPr>
          <w:sz w:val="24"/>
          <w:highlight w:val="green"/>
        </w:rPr>
        <w:t>x</w:t>
      </w:r>
      <w:r w:rsidR="003C442B">
        <w:rPr>
          <w:sz w:val="24"/>
        </w:rPr>
        <w:t xml:space="preserve">. </w:t>
      </w:r>
      <w:r w:rsidR="007E5289" w:rsidRPr="007E5289">
        <w:rPr>
          <w:sz w:val="24"/>
          <w:highlight w:val="green"/>
        </w:rPr>
        <w:t>x</w:t>
      </w:r>
      <w:r w:rsidR="003C442B">
        <w:rPr>
          <w:sz w:val="24"/>
        </w:rPr>
        <w:t>. 201</w:t>
      </w:r>
      <w:r w:rsidR="007E5289">
        <w:rPr>
          <w:sz w:val="24"/>
        </w:rPr>
        <w:t>6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7E5289" w:rsidRPr="007E5289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7E5289">
        <w:rPr>
          <w:sz w:val="24"/>
        </w:rPr>
        <w:t>6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>na základě § </w:t>
      </w:r>
      <w:r w:rsidR="007E5289">
        <w:rPr>
          <w:sz w:val="24"/>
        </w:rPr>
        <w:t>12</w:t>
      </w:r>
      <w:r w:rsidR="00070F53" w:rsidRPr="008E573C">
        <w:rPr>
          <w:sz w:val="24"/>
        </w:rPr>
        <w:t xml:space="preserve"> odst. </w:t>
      </w:r>
      <w:r w:rsidR="007E5289">
        <w:rPr>
          <w:sz w:val="24"/>
        </w:rPr>
        <w:t>1</w:t>
      </w:r>
      <w:r w:rsidR="00070F53" w:rsidRPr="008E573C">
        <w:rPr>
          <w:sz w:val="24"/>
        </w:rPr>
        <w:t xml:space="preserve"> zákona č. </w:t>
      </w:r>
      <w:r w:rsidR="007E5289" w:rsidRPr="007E5289">
        <w:rPr>
          <w:sz w:val="24"/>
        </w:rPr>
        <w:t>186/2016 Sb.</w:t>
      </w:r>
      <w:r w:rsidR="00070F53" w:rsidRPr="008E573C">
        <w:rPr>
          <w:sz w:val="24"/>
        </w:rPr>
        <w:t xml:space="preserve">, </w:t>
      </w:r>
      <w:r w:rsidR="007E5289" w:rsidRPr="007E5289">
        <w:rPr>
          <w:sz w:val="24"/>
        </w:rPr>
        <w:t>o hazardních hrách</w:t>
      </w:r>
      <w:r w:rsidR="007E5289">
        <w:rPr>
          <w:sz w:val="24"/>
        </w:rPr>
        <w:t xml:space="preserve"> (dále jen „zákon o hazardních hrách“)</w:t>
      </w:r>
      <w:r w:rsidR="00190FB1" w:rsidRPr="008E573C">
        <w:rPr>
          <w:sz w:val="24"/>
        </w:rPr>
        <w:t>, a</w:t>
      </w:r>
      <w:r w:rsidR="00070F53" w:rsidRPr="008E573C">
        <w:rPr>
          <w:sz w:val="24"/>
        </w:rPr>
        <w:t xml:space="preserve"> </w:t>
      </w:r>
      <w:r w:rsidRPr="008E573C">
        <w:rPr>
          <w:sz w:val="24"/>
        </w:rPr>
        <w:t xml:space="preserve">§ 10 písm. </w:t>
      </w:r>
      <w:r w:rsidR="00070F53" w:rsidRPr="008E573C">
        <w:rPr>
          <w:sz w:val="24"/>
        </w:rPr>
        <w:t>d)</w:t>
      </w:r>
      <w:r w:rsidRPr="008E573C">
        <w:rPr>
          <w:sz w:val="24"/>
        </w:rPr>
        <w:t xml:space="preserve">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 obcích (obecní zřízení), ve znění pozdějších předpisů (dále jen „zákon o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 xml:space="preserve">obcích“), a </w:t>
      </w:r>
      <w:r w:rsidRPr="008E573C">
        <w:rPr>
          <w:sz w:val="24"/>
        </w:rPr>
        <w:t xml:space="preserve">v souladu s 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CF2D90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Čl. 1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7E5289">
        <w:rPr>
          <w:rFonts w:ascii="Times New Roman" w:hAnsi="Times New Roman" w:cs="Times New Roman"/>
          <w:b/>
          <w:sz w:val="24"/>
          <w:szCs w:val="18"/>
        </w:rPr>
        <w:t>Zákaz provozování některých hazardních her</w:t>
      </w:r>
    </w:p>
    <w:p w:rsidR="00CF2D90" w:rsidRPr="00CF2D90" w:rsidRDefault="00CF2D90" w:rsidP="00CF2D90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CF2D90">
        <w:rPr>
          <w:rFonts w:ascii="Times New Roman" w:hAnsi="Times New Roman" w:cs="Times New Roman"/>
          <w:sz w:val="24"/>
          <w:szCs w:val="18"/>
        </w:rPr>
        <w:t>Na celém území statutárního města České Budějovice se zakazuje provozování:</w:t>
      </w:r>
    </w:p>
    <w:p w:rsidR="009A2763" w:rsidRDefault="00CF2D90" w:rsidP="00884002">
      <w:pPr>
        <w:pStyle w:val="Odstavecseseznamem"/>
        <w:numPr>
          <w:ilvl w:val="0"/>
          <w:numId w:val="32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binga [hazardních her dle § 3 odst. 2 písm. d) zákona o hazardních hrách],</w:t>
      </w:r>
    </w:p>
    <w:p w:rsidR="00CF2D90" w:rsidRDefault="00CF2D90" w:rsidP="00884002">
      <w:pPr>
        <w:pStyle w:val="Odstavecseseznamem"/>
        <w:numPr>
          <w:ilvl w:val="0"/>
          <w:numId w:val="32"/>
        </w:numPr>
        <w:tabs>
          <w:tab w:val="left" w:pos="567"/>
        </w:tabs>
        <w:spacing w:after="60"/>
        <w:ind w:hanging="1290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technických her [hazardních her dle § 3 odst. 2 písm. e) zákona o hazardních hrách],</w:t>
      </w:r>
    </w:p>
    <w:p w:rsidR="00CF2D90" w:rsidRDefault="00CF2D90" w:rsidP="00884002">
      <w:pPr>
        <w:pStyle w:val="Odstavecseseznamem"/>
        <w:numPr>
          <w:ilvl w:val="0"/>
          <w:numId w:val="32"/>
        </w:numPr>
        <w:tabs>
          <w:tab w:val="left" w:pos="567"/>
        </w:tabs>
        <w:spacing w:after="60"/>
        <w:ind w:hanging="1290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živých her [hazardních her dle § 3 odst. 2 písm. f) zákona o hazardních hrách].</w:t>
      </w:r>
    </w:p>
    <w:p w:rsidR="00CF2D90" w:rsidRPr="00CF2D90" w:rsidRDefault="00884002" w:rsidP="00884002">
      <w:pPr>
        <w:pStyle w:val="Odstavecseseznamem"/>
        <w:numPr>
          <w:ilvl w:val="0"/>
          <w:numId w:val="31"/>
        </w:numPr>
        <w:tabs>
          <w:tab w:val="left" w:pos="993"/>
        </w:tabs>
        <w:spacing w:after="3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Zákaz podle předchozího odstavce se nevztahuje na provozování turnajů malého rozsahu dle § 3 odst. 2 písm. h) zákona o hazardních hrách.</w:t>
      </w:r>
    </w:p>
    <w:p w:rsidR="009A2763" w:rsidRPr="008E573C" w:rsidRDefault="009A2763" w:rsidP="00884002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Čl. 2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84002">
        <w:rPr>
          <w:rFonts w:ascii="Times New Roman" w:hAnsi="Times New Roman" w:cs="Times New Roman"/>
          <w:b/>
          <w:sz w:val="24"/>
          <w:szCs w:val="18"/>
        </w:rPr>
        <w:t xml:space="preserve">Zrušovací </w:t>
      </w:r>
      <w:r w:rsidR="00C027B3">
        <w:rPr>
          <w:rFonts w:ascii="Times New Roman" w:hAnsi="Times New Roman" w:cs="Times New Roman"/>
          <w:b/>
          <w:sz w:val="24"/>
          <w:szCs w:val="18"/>
        </w:rPr>
        <w:t xml:space="preserve">a přechodná </w:t>
      </w:r>
      <w:r w:rsidR="00884002">
        <w:rPr>
          <w:rFonts w:ascii="Times New Roman" w:hAnsi="Times New Roman" w:cs="Times New Roman"/>
          <w:b/>
          <w:sz w:val="24"/>
          <w:szCs w:val="18"/>
        </w:rPr>
        <w:t>ustanovení</w:t>
      </w:r>
    </w:p>
    <w:p w:rsidR="009A2763" w:rsidRPr="00C027B3" w:rsidRDefault="00884002" w:rsidP="00C027B3">
      <w:pPr>
        <w:pStyle w:val="Odstavecseseznamem"/>
        <w:numPr>
          <w:ilvl w:val="0"/>
          <w:numId w:val="33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C027B3">
        <w:rPr>
          <w:rFonts w:ascii="Times New Roman" w:hAnsi="Times New Roman" w:cs="Times New Roman"/>
          <w:sz w:val="24"/>
          <w:szCs w:val="18"/>
        </w:rPr>
        <w:t>Zrušují se:</w:t>
      </w:r>
    </w:p>
    <w:p w:rsidR="009A2763" w:rsidRDefault="007E5AE6" w:rsidP="00C027B3">
      <w:pPr>
        <w:pStyle w:val="Odstavecseseznamem"/>
        <w:numPr>
          <w:ilvl w:val="0"/>
          <w:numId w:val="34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obecně závazná vyhláška statutárního města České Budějovice č. 4/2011</w:t>
      </w:r>
      <w:r w:rsidR="009A2763" w:rsidRPr="008E573C">
        <w:rPr>
          <w:rFonts w:ascii="Times New Roman" w:hAnsi="Times New Roman" w:cs="Times New Roman"/>
          <w:sz w:val="24"/>
          <w:szCs w:val="18"/>
        </w:rPr>
        <w:t>,</w:t>
      </w:r>
      <w:r>
        <w:rPr>
          <w:rFonts w:ascii="Times New Roman" w:hAnsi="Times New Roman" w:cs="Times New Roman"/>
          <w:sz w:val="24"/>
          <w:szCs w:val="18"/>
        </w:rPr>
        <w:t xml:space="preserve"> o zákazu provozování některých sázkových her, loterií a jiných podobných her, ze dne 15. 12. 2011,</w:t>
      </w:r>
    </w:p>
    <w:p w:rsidR="007E5AE6" w:rsidRDefault="007E5AE6" w:rsidP="00C027B3">
      <w:pPr>
        <w:pStyle w:val="Odstavecseseznamem"/>
        <w:numPr>
          <w:ilvl w:val="0"/>
          <w:numId w:val="34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</w:t>
      </w:r>
      <w:r>
        <w:rPr>
          <w:rFonts w:ascii="Times New Roman" w:hAnsi="Times New Roman" w:cs="Times New Roman"/>
          <w:sz w:val="24"/>
          <w:szCs w:val="18"/>
        </w:rPr>
        <w:t xml:space="preserve">statutárního města České Budějovice č. </w:t>
      </w:r>
      <w:r>
        <w:rPr>
          <w:rFonts w:ascii="Times New Roman" w:hAnsi="Times New Roman" w:cs="Times New Roman"/>
          <w:sz w:val="24"/>
          <w:szCs w:val="18"/>
        </w:rPr>
        <w:t>5</w:t>
      </w:r>
      <w:r>
        <w:rPr>
          <w:rFonts w:ascii="Times New Roman" w:hAnsi="Times New Roman" w:cs="Times New Roman"/>
          <w:sz w:val="24"/>
          <w:szCs w:val="18"/>
        </w:rPr>
        <w:t>/2011</w:t>
      </w:r>
      <w:r>
        <w:rPr>
          <w:rFonts w:ascii="Times New Roman" w:hAnsi="Times New Roman" w:cs="Times New Roman"/>
          <w:sz w:val="24"/>
          <w:szCs w:val="18"/>
        </w:rPr>
        <w:t>, o omezení provozní doby některých sázkových her, loterií a jiných podobných her a o dalších souvisejících opatřeních, ze dne 15. 12. 2011,</w:t>
      </w:r>
    </w:p>
    <w:p w:rsidR="009A2763" w:rsidRDefault="007E5AE6" w:rsidP="00C027B3">
      <w:pPr>
        <w:pStyle w:val="Odstavecseseznamem"/>
        <w:numPr>
          <w:ilvl w:val="0"/>
          <w:numId w:val="34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statutárního města České Budějovice č. </w:t>
      </w:r>
      <w:r>
        <w:rPr>
          <w:rFonts w:ascii="Times New Roman" w:hAnsi="Times New Roman" w:cs="Times New Roman"/>
          <w:sz w:val="24"/>
          <w:szCs w:val="18"/>
        </w:rPr>
        <w:t>6</w:t>
      </w:r>
      <w:r>
        <w:rPr>
          <w:rFonts w:ascii="Times New Roman" w:hAnsi="Times New Roman" w:cs="Times New Roman"/>
          <w:sz w:val="24"/>
          <w:szCs w:val="18"/>
        </w:rPr>
        <w:t>/2011</w:t>
      </w:r>
      <w:r>
        <w:rPr>
          <w:rFonts w:ascii="Times New Roman" w:hAnsi="Times New Roman" w:cs="Times New Roman"/>
          <w:sz w:val="24"/>
          <w:szCs w:val="18"/>
        </w:rPr>
        <w:t>, o místním poplatku za provozovaný výherní hrací přístroj, koncový interaktivní videoloterní terminál a herní místo lokálního herního systému, ze dne 15. 12. 2011.</w:t>
      </w:r>
    </w:p>
    <w:p w:rsidR="00C027B3" w:rsidRPr="007E5AE6" w:rsidRDefault="00C027B3" w:rsidP="00C027B3">
      <w:pPr>
        <w:pStyle w:val="Odstavecseseznamem"/>
        <w:numPr>
          <w:ilvl w:val="0"/>
          <w:numId w:val="33"/>
        </w:numPr>
        <w:tabs>
          <w:tab w:val="left" w:pos="993"/>
        </w:tabs>
        <w:spacing w:after="320"/>
        <w:ind w:left="142" w:firstLine="425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Poplatková povinnost vzniklá podle dosavadních právních předpisů přede dnem účinnosti této obecně závazné vyhlášky není ustanovením odst. 1 písm. c)</w:t>
      </w:r>
      <w:r w:rsidR="00575D04">
        <w:rPr>
          <w:rFonts w:ascii="Times New Roman" w:hAnsi="Times New Roman" w:cs="Times New Roman"/>
          <w:sz w:val="24"/>
          <w:szCs w:val="18"/>
        </w:rPr>
        <w:t xml:space="preserve"> nijak dotčena.</w:t>
      </w:r>
      <w:bookmarkStart w:id="0" w:name="_GoBack"/>
      <w:bookmarkEnd w:id="0"/>
    </w:p>
    <w:p w:rsidR="009A2763" w:rsidRPr="00022A69" w:rsidRDefault="009A2763" w:rsidP="007E5AE6">
      <w:pPr>
        <w:tabs>
          <w:tab w:val="left" w:pos="567"/>
        </w:tabs>
        <w:spacing w:after="160"/>
        <w:jc w:val="center"/>
        <w:rPr>
          <w:rFonts w:ascii="Times New Roman" w:hAnsi="Times New Roman" w:cs="Times New Roman"/>
          <w:sz w:val="24"/>
          <w:szCs w:val="18"/>
        </w:rPr>
      </w:pPr>
      <w:r w:rsidRPr="00022A69">
        <w:rPr>
          <w:rFonts w:ascii="Times New Roman" w:hAnsi="Times New Roman" w:cs="Times New Roman"/>
          <w:b/>
          <w:sz w:val="24"/>
          <w:szCs w:val="18"/>
        </w:rPr>
        <w:t>Čl. 3</w:t>
      </w:r>
      <w:r w:rsidRPr="00022A69">
        <w:rPr>
          <w:rFonts w:ascii="Times New Roman" w:hAnsi="Times New Roman" w:cs="Times New Roman"/>
          <w:b/>
          <w:sz w:val="24"/>
          <w:szCs w:val="18"/>
        </w:rPr>
        <w:br/>
      </w:r>
      <w:r w:rsidR="007E5AE6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7E5AE6" w:rsidRDefault="007E5AE6" w:rsidP="007E5AE6">
      <w:pPr>
        <w:spacing w:after="60"/>
        <w:ind w:firstLine="567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Tato obecně závazná vyhláška nabývá účinnosti dnem 1. 1. 2017, s výjimkou ustanovení čl. 2 </w:t>
      </w:r>
      <w:r w:rsidR="00C027B3">
        <w:rPr>
          <w:rFonts w:ascii="Times New Roman" w:hAnsi="Times New Roman" w:cs="Times New Roman"/>
          <w:sz w:val="24"/>
          <w:szCs w:val="18"/>
        </w:rPr>
        <w:t xml:space="preserve">odst. 1 </w:t>
      </w:r>
      <w:r>
        <w:rPr>
          <w:rFonts w:ascii="Times New Roman" w:hAnsi="Times New Roman" w:cs="Times New Roman"/>
          <w:sz w:val="24"/>
          <w:szCs w:val="18"/>
        </w:rPr>
        <w:t>písm. b), které nabývá účinnosti dnem 1. 1. 2020.</w:t>
      </w:r>
    </w:p>
    <w:p w:rsidR="007101A0" w:rsidRPr="008E573C" w:rsidRDefault="007101A0" w:rsidP="00EE1F6C">
      <w:pPr>
        <w:pStyle w:val="Odstavecseseznamem"/>
        <w:spacing w:after="72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7E5AE6">
        <w:rPr>
          <w:rFonts w:ascii="Times New Roman" w:hAnsi="Times New Roman" w:cs="Times New Roman"/>
          <w:sz w:val="24"/>
          <w:szCs w:val="18"/>
        </w:rPr>
        <w:t>Ing. Jiří Svoboda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  <w:r w:rsidRPr="008E573C">
        <w:rPr>
          <w:rFonts w:ascii="Times New Roman" w:hAnsi="Times New Roman" w:cs="Times New Roman"/>
          <w:sz w:val="24"/>
          <w:szCs w:val="18"/>
        </w:rPr>
        <w:tab/>
      </w:r>
      <w:r w:rsidR="007E5AE6">
        <w:rPr>
          <w:rFonts w:ascii="Times New Roman" w:hAnsi="Times New Roman" w:cs="Times New Roman"/>
          <w:sz w:val="24"/>
          <w:szCs w:val="18"/>
        </w:rPr>
        <w:t>Mgr. Petr Podhola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8E573C">
        <w:rPr>
          <w:rFonts w:ascii="Times New Roman" w:hAnsi="Times New Roman" w:cs="Times New Roman"/>
          <w:sz w:val="20"/>
          <w:szCs w:val="18"/>
        </w:rPr>
        <w:tab/>
        <w:t>primátor města</w:t>
      </w:r>
      <w:r w:rsidRPr="008E573C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sectPr w:rsidR="007101A0" w:rsidRPr="008E573C" w:rsidSect="009A2763">
      <w:footerReference w:type="default" r:id="rId9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783" w:rsidRDefault="00865783" w:rsidP="009A2763">
      <w:pPr>
        <w:spacing w:after="0"/>
      </w:pPr>
      <w:r>
        <w:separator/>
      </w:r>
    </w:p>
  </w:endnote>
  <w:endnote w:type="continuationSeparator" w:id="0">
    <w:p w:rsidR="00865783" w:rsidRDefault="00865783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E5C53" w:rsidRPr="007215D8" w:rsidRDefault="005A7871">
        <w:pPr>
          <w:pStyle w:val="Zpat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575D04">
          <w:rPr>
            <w:rFonts w:ascii="Times New Roman" w:hAnsi="Times New Roman" w:cs="Times New Roman"/>
            <w:noProof/>
          </w:rPr>
          <w:t>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  <w:p w:rsidR="00CE5C53" w:rsidRDefault="008657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783" w:rsidRDefault="00865783" w:rsidP="009A2763">
      <w:pPr>
        <w:spacing w:after="0"/>
      </w:pPr>
      <w:r>
        <w:separator/>
      </w:r>
    </w:p>
  </w:footnote>
  <w:footnote w:type="continuationSeparator" w:id="0">
    <w:p w:rsidR="00865783" w:rsidRDefault="00865783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37B57"/>
    <w:multiLevelType w:val="hybridMultilevel"/>
    <w:tmpl w:val="72E4FCCE"/>
    <w:lvl w:ilvl="0" w:tplc="944A65B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6" w15:restartNumberingAfterBreak="0">
    <w:nsid w:val="4BB94730"/>
    <w:multiLevelType w:val="hybridMultilevel"/>
    <w:tmpl w:val="5ACCC690"/>
    <w:lvl w:ilvl="0" w:tplc="04050017">
      <w:start w:val="1"/>
      <w:numFmt w:val="lowerLetter"/>
      <w:lvlText w:val="%1)"/>
      <w:lvlJc w:val="left"/>
      <w:pPr>
        <w:ind w:left="1574" w:hanging="360"/>
      </w:pPr>
    </w:lvl>
    <w:lvl w:ilvl="1" w:tplc="04050019" w:tentative="1">
      <w:start w:val="1"/>
      <w:numFmt w:val="lowerLetter"/>
      <w:lvlText w:val="%2."/>
      <w:lvlJc w:val="left"/>
      <w:pPr>
        <w:ind w:left="2294" w:hanging="360"/>
      </w:pPr>
    </w:lvl>
    <w:lvl w:ilvl="2" w:tplc="0405001B" w:tentative="1">
      <w:start w:val="1"/>
      <w:numFmt w:val="lowerRoman"/>
      <w:lvlText w:val="%3."/>
      <w:lvlJc w:val="right"/>
      <w:pPr>
        <w:ind w:left="3014" w:hanging="180"/>
      </w:pPr>
    </w:lvl>
    <w:lvl w:ilvl="3" w:tplc="0405000F" w:tentative="1">
      <w:start w:val="1"/>
      <w:numFmt w:val="decimal"/>
      <w:lvlText w:val="%4."/>
      <w:lvlJc w:val="left"/>
      <w:pPr>
        <w:ind w:left="3734" w:hanging="360"/>
      </w:pPr>
    </w:lvl>
    <w:lvl w:ilvl="4" w:tplc="04050019" w:tentative="1">
      <w:start w:val="1"/>
      <w:numFmt w:val="lowerLetter"/>
      <w:lvlText w:val="%5."/>
      <w:lvlJc w:val="left"/>
      <w:pPr>
        <w:ind w:left="4454" w:hanging="360"/>
      </w:pPr>
    </w:lvl>
    <w:lvl w:ilvl="5" w:tplc="0405001B" w:tentative="1">
      <w:start w:val="1"/>
      <w:numFmt w:val="lowerRoman"/>
      <w:lvlText w:val="%6."/>
      <w:lvlJc w:val="right"/>
      <w:pPr>
        <w:ind w:left="5174" w:hanging="180"/>
      </w:pPr>
    </w:lvl>
    <w:lvl w:ilvl="6" w:tplc="0405000F" w:tentative="1">
      <w:start w:val="1"/>
      <w:numFmt w:val="decimal"/>
      <w:lvlText w:val="%7."/>
      <w:lvlJc w:val="left"/>
      <w:pPr>
        <w:ind w:left="5894" w:hanging="360"/>
      </w:pPr>
    </w:lvl>
    <w:lvl w:ilvl="7" w:tplc="04050019" w:tentative="1">
      <w:start w:val="1"/>
      <w:numFmt w:val="lowerLetter"/>
      <w:lvlText w:val="%8."/>
      <w:lvlJc w:val="left"/>
      <w:pPr>
        <w:ind w:left="6614" w:hanging="360"/>
      </w:pPr>
    </w:lvl>
    <w:lvl w:ilvl="8" w:tplc="040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7" w15:restartNumberingAfterBreak="0">
    <w:nsid w:val="4FEC52A5"/>
    <w:multiLevelType w:val="hybridMultilevel"/>
    <w:tmpl w:val="8760F17C"/>
    <w:lvl w:ilvl="0" w:tplc="04050017">
      <w:start w:val="1"/>
      <w:numFmt w:val="lowerLetter"/>
      <w:lvlText w:val="%1)"/>
      <w:lvlJc w:val="left"/>
      <w:pPr>
        <w:ind w:left="2274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9" w:hanging="360"/>
      </w:pPr>
    </w:lvl>
    <w:lvl w:ilvl="2" w:tplc="0405001B" w:tentative="1">
      <w:start w:val="1"/>
      <w:numFmt w:val="lowerRoman"/>
      <w:lvlText w:val="%3."/>
      <w:lvlJc w:val="right"/>
      <w:pPr>
        <w:ind w:left="3219" w:hanging="180"/>
      </w:pPr>
    </w:lvl>
    <w:lvl w:ilvl="3" w:tplc="0405000F" w:tentative="1">
      <w:start w:val="1"/>
      <w:numFmt w:val="decimal"/>
      <w:lvlText w:val="%4."/>
      <w:lvlJc w:val="left"/>
      <w:pPr>
        <w:ind w:left="3939" w:hanging="360"/>
      </w:pPr>
    </w:lvl>
    <w:lvl w:ilvl="4" w:tplc="04050019" w:tentative="1">
      <w:start w:val="1"/>
      <w:numFmt w:val="lowerLetter"/>
      <w:lvlText w:val="%5."/>
      <w:lvlJc w:val="left"/>
      <w:pPr>
        <w:ind w:left="4659" w:hanging="360"/>
      </w:pPr>
    </w:lvl>
    <w:lvl w:ilvl="5" w:tplc="0405001B" w:tentative="1">
      <w:start w:val="1"/>
      <w:numFmt w:val="lowerRoman"/>
      <w:lvlText w:val="%6."/>
      <w:lvlJc w:val="right"/>
      <w:pPr>
        <w:ind w:left="5379" w:hanging="180"/>
      </w:pPr>
    </w:lvl>
    <w:lvl w:ilvl="6" w:tplc="0405000F" w:tentative="1">
      <w:start w:val="1"/>
      <w:numFmt w:val="decimal"/>
      <w:lvlText w:val="%7."/>
      <w:lvlJc w:val="left"/>
      <w:pPr>
        <w:ind w:left="6099" w:hanging="360"/>
      </w:pPr>
    </w:lvl>
    <w:lvl w:ilvl="7" w:tplc="04050019" w:tentative="1">
      <w:start w:val="1"/>
      <w:numFmt w:val="lowerLetter"/>
      <w:lvlText w:val="%8."/>
      <w:lvlJc w:val="left"/>
      <w:pPr>
        <w:ind w:left="6819" w:hanging="360"/>
      </w:pPr>
    </w:lvl>
    <w:lvl w:ilvl="8" w:tplc="040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8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CC6B9A"/>
    <w:multiLevelType w:val="hybridMultilevel"/>
    <w:tmpl w:val="09625EE8"/>
    <w:lvl w:ilvl="0" w:tplc="944A65B6">
      <w:start w:val="1"/>
      <w:numFmt w:val="decimal"/>
      <w:lvlText w:val="(%1)"/>
      <w:lvlJc w:val="left"/>
      <w:pPr>
        <w:ind w:left="2274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9" w:hanging="360"/>
      </w:pPr>
    </w:lvl>
    <w:lvl w:ilvl="2" w:tplc="0405001B" w:tentative="1">
      <w:start w:val="1"/>
      <w:numFmt w:val="lowerRoman"/>
      <w:lvlText w:val="%3."/>
      <w:lvlJc w:val="right"/>
      <w:pPr>
        <w:ind w:left="3219" w:hanging="180"/>
      </w:pPr>
    </w:lvl>
    <w:lvl w:ilvl="3" w:tplc="0405000F" w:tentative="1">
      <w:start w:val="1"/>
      <w:numFmt w:val="decimal"/>
      <w:lvlText w:val="%4."/>
      <w:lvlJc w:val="left"/>
      <w:pPr>
        <w:ind w:left="3939" w:hanging="360"/>
      </w:pPr>
    </w:lvl>
    <w:lvl w:ilvl="4" w:tplc="04050019" w:tentative="1">
      <w:start w:val="1"/>
      <w:numFmt w:val="lowerLetter"/>
      <w:lvlText w:val="%5."/>
      <w:lvlJc w:val="left"/>
      <w:pPr>
        <w:ind w:left="4659" w:hanging="360"/>
      </w:pPr>
    </w:lvl>
    <w:lvl w:ilvl="5" w:tplc="0405001B" w:tentative="1">
      <w:start w:val="1"/>
      <w:numFmt w:val="lowerRoman"/>
      <w:lvlText w:val="%6."/>
      <w:lvlJc w:val="right"/>
      <w:pPr>
        <w:ind w:left="5379" w:hanging="180"/>
      </w:pPr>
    </w:lvl>
    <w:lvl w:ilvl="6" w:tplc="0405000F" w:tentative="1">
      <w:start w:val="1"/>
      <w:numFmt w:val="decimal"/>
      <w:lvlText w:val="%7."/>
      <w:lvlJc w:val="left"/>
      <w:pPr>
        <w:ind w:left="6099" w:hanging="360"/>
      </w:pPr>
    </w:lvl>
    <w:lvl w:ilvl="7" w:tplc="04050019" w:tentative="1">
      <w:start w:val="1"/>
      <w:numFmt w:val="lowerLetter"/>
      <w:lvlText w:val="%8."/>
      <w:lvlJc w:val="left"/>
      <w:pPr>
        <w:ind w:left="6819" w:hanging="360"/>
      </w:pPr>
    </w:lvl>
    <w:lvl w:ilvl="8" w:tplc="040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 w15:restartNumberingAfterBreak="0">
    <w:nsid w:val="562508E0"/>
    <w:multiLevelType w:val="hybridMultilevel"/>
    <w:tmpl w:val="EA2882C0"/>
    <w:lvl w:ilvl="0" w:tplc="944A65B6">
      <w:start w:val="1"/>
      <w:numFmt w:val="decimal"/>
      <w:lvlText w:val="(%1)"/>
      <w:lvlJc w:val="left"/>
      <w:pPr>
        <w:ind w:left="12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1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5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9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1F760EE"/>
    <w:multiLevelType w:val="hybridMultilevel"/>
    <w:tmpl w:val="DDF45CB6"/>
    <w:lvl w:ilvl="0" w:tplc="944A65B6">
      <w:start w:val="1"/>
      <w:numFmt w:val="decimal"/>
      <w:lvlText w:val="(%1)"/>
      <w:lvlJc w:val="left"/>
      <w:pPr>
        <w:ind w:left="12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25"/>
  </w:num>
  <w:num w:numId="2">
    <w:abstractNumId w:val="19"/>
  </w:num>
  <w:num w:numId="3">
    <w:abstractNumId w:val="2"/>
  </w:num>
  <w:num w:numId="4">
    <w:abstractNumId w:val="5"/>
  </w:num>
  <w:num w:numId="5">
    <w:abstractNumId w:val="11"/>
  </w:num>
  <w:num w:numId="6">
    <w:abstractNumId w:val="27"/>
  </w:num>
  <w:num w:numId="7">
    <w:abstractNumId w:val="30"/>
  </w:num>
  <w:num w:numId="8">
    <w:abstractNumId w:val="31"/>
  </w:num>
  <w:num w:numId="9">
    <w:abstractNumId w:val="7"/>
  </w:num>
  <w:num w:numId="10">
    <w:abstractNumId w:val="29"/>
  </w:num>
  <w:num w:numId="11">
    <w:abstractNumId w:val="6"/>
  </w:num>
  <w:num w:numId="12">
    <w:abstractNumId w:val="12"/>
  </w:num>
  <w:num w:numId="13">
    <w:abstractNumId w:val="23"/>
  </w:num>
  <w:num w:numId="14">
    <w:abstractNumId w:val="22"/>
  </w:num>
  <w:num w:numId="15">
    <w:abstractNumId w:val="18"/>
  </w:num>
  <w:num w:numId="16">
    <w:abstractNumId w:val="1"/>
  </w:num>
  <w:num w:numId="17">
    <w:abstractNumId w:val="14"/>
  </w:num>
  <w:num w:numId="18">
    <w:abstractNumId w:val="3"/>
  </w:num>
  <w:num w:numId="19">
    <w:abstractNumId w:val="21"/>
  </w:num>
  <w:num w:numId="20">
    <w:abstractNumId w:val="13"/>
  </w:num>
  <w:num w:numId="21">
    <w:abstractNumId w:val="28"/>
  </w:num>
  <w:num w:numId="22">
    <w:abstractNumId w:val="8"/>
  </w:num>
  <w:num w:numId="23">
    <w:abstractNumId w:val="4"/>
  </w:num>
  <w:num w:numId="24">
    <w:abstractNumId w:val="26"/>
  </w:num>
  <w:num w:numId="25">
    <w:abstractNumId w:val="32"/>
  </w:num>
  <w:num w:numId="26">
    <w:abstractNumId w:val="9"/>
  </w:num>
  <w:num w:numId="27">
    <w:abstractNumId w:val="10"/>
  </w:num>
  <w:num w:numId="28">
    <w:abstractNumId w:val="24"/>
  </w:num>
  <w:num w:numId="29">
    <w:abstractNumId w:val="15"/>
  </w:num>
  <w:num w:numId="30">
    <w:abstractNumId w:val="0"/>
  </w:num>
  <w:num w:numId="31">
    <w:abstractNumId w:val="20"/>
  </w:num>
  <w:num w:numId="32">
    <w:abstractNumId w:val="16"/>
  </w:num>
  <w:num w:numId="33">
    <w:abstractNumId w:val="33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63"/>
    <w:rsid w:val="00022A69"/>
    <w:rsid w:val="0006322B"/>
    <w:rsid w:val="00070734"/>
    <w:rsid w:val="00070F53"/>
    <w:rsid w:val="000A3F5D"/>
    <w:rsid w:val="000A7BEC"/>
    <w:rsid w:val="0013605B"/>
    <w:rsid w:val="00156C9F"/>
    <w:rsid w:val="00166C2B"/>
    <w:rsid w:val="00190FB1"/>
    <w:rsid w:val="001C577A"/>
    <w:rsid w:val="001D58A6"/>
    <w:rsid w:val="001E78D7"/>
    <w:rsid w:val="00203CB8"/>
    <w:rsid w:val="002678DF"/>
    <w:rsid w:val="002D2162"/>
    <w:rsid w:val="002F5AB4"/>
    <w:rsid w:val="00320590"/>
    <w:rsid w:val="003A7B06"/>
    <w:rsid w:val="003C442B"/>
    <w:rsid w:val="003F4773"/>
    <w:rsid w:val="0040100E"/>
    <w:rsid w:val="00427D82"/>
    <w:rsid w:val="00472F5D"/>
    <w:rsid w:val="0047783A"/>
    <w:rsid w:val="0049683E"/>
    <w:rsid w:val="004B64F5"/>
    <w:rsid w:val="00507BD6"/>
    <w:rsid w:val="00530CF9"/>
    <w:rsid w:val="005408C1"/>
    <w:rsid w:val="00561D62"/>
    <w:rsid w:val="00575D04"/>
    <w:rsid w:val="005A7871"/>
    <w:rsid w:val="005B20CD"/>
    <w:rsid w:val="005D7619"/>
    <w:rsid w:val="006A2C8E"/>
    <w:rsid w:val="006D14C0"/>
    <w:rsid w:val="007101A0"/>
    <w:rsid w:val="007120A1"/>
    <w:rsid w:val="007215D8"/>
    <w:rsid w:val="00726F65"/>
    <w:rsid w:val="007412F9"/>
    <w:rsid w:val="00744C45"/>
    <w:rsid w:val="00794145"/>
    <w:rsid w:val="007E5289"/>
    <w:rsid w:val="007E5AE6"/>
    <w:rsid w:val="0083380E"/>
    <w:rsid w:val="00865783"/>
    <w:rsid w:val="00871E18"/>
    <w:rsid w:val="00884002"/>
    <w:rsid w:val="00887439"/>
    <w:rsid w:val="008974FE"/>
    <w:rsid w:val="008B7A7F"/>
    <w:rsid w:val="008E573C"/>
    <w:rsid w:val="00904055"/>
    <w:rsid w:val="00911FF0"/>
    <w:rsid w:val="00923CC8"/>
    <w:rsid w:val="00957093"/>
    <w:rsid w:val="00981468"/>
    <w:rsid w:val="00982A6F"/>
    <w:rsid w:val="009A1CF8"/>
    <w:rsid w:val="009A2763"/>
    <w:rsid w:val="009B0AD1"/>
    <w:rsid w:val="009D0DE7"/>
    <w:rsid w:val="009F5975"/>
    <w:rsid w:val="00A12A15"/>
    <w:rsid w:val="00A22DB6"/>
    <w:rsid w:val="00A6507B"/>
    <w:rsid w:val="00A74989"/>
    <w:rsid w:val="00AD6F13"/>
    <w:rsid w:val="00B875FE"/>
    <w:rsid w:val="00BA1B8E"/>
    <w:rsid w:val="00BB4C50"/>
    <w:rsid w:val="00BC18F9"/>
    <w:rsid w:val="00C027B3"/>
    <w:rsid w:val="00C17B8C"/>
    <w:rsid w:val="00C27C41"/>
    <w:rsid w:val="00C31135"/>
    <w:rsid w:val="00CF2D90"/>
    <w:rsid w:val="00D115E9"/>
    <w:rsid w:val="00D608DE"/>
    <w:rsid w:val="00DA696D"/>
    <w:rsid w:val="00DC3058"/>
    <w:rsid w:val="00DC3D85"/>
    <w:rsid w:val="00DD372A"/>
    <w:rsid w:val="00DD58BD"/>
    <w:rsid w:val="00DF1FD9"/>
    <w:rsid w:val="00E00F79"/>
    <w:rsid w:val="00E06F5A"/>
    <w:rsid w:val="00E07E6C"/>
    <w:rsid w:val="00E35AA5"/>
    <w:rsid w:val="00E47D65"/>
    <w:rsid w:val="00E47FC2"/>
    <w:rsid w:val="00EA6617"/>
    <w:rsid w:val="00ED66F7"/>
    <w:rsid w:val="00EE1F6C"/>
    <w:rsid w:val="00EE6D94"/>
    <w:rsid w:val="00F05B08"/>
    <w:rsid w:val="00F200F2"/>
    <w:rsid w:val="00F20CDB"/>
    <w:rsid w:val="00F45651"/>
    <w:rsid w:val="00F47B91"/>
    <w:rsid w:val="00F6091C"/>
    <w:rsid w:val="00F61F14"/>
    <w:rsid w:val="00F71ECE"/>
    <w:rsid w:val="00FC4904"/>
    <w:rsid w:val="00FD79F3"/>
    <w:rsid w:val="00F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3D04"/>
  <w15:docId w15:val="{BCA5B12C-0BBC-46C2-80F6-D64E35AB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0EACC-7A50-44ED-8178-716815C38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Veselský Martin</cp:lastModifiedBy>
  <cp:revision>5</cp:revision>
  <cp:lastPrinted>2016-11-02T07:49:00Z</cp:lastPrinted>
  <dcterms:created xsi:type="dcterms:W3CDTF">2016-11-02T07:08:00Z</dcterms:created>
  <dcterms:modified xsi:type="dcterms:W3CDTF">2016-11-02T10:00:00Z</dcterms:modified>
</cp:coreProperties>
</file>