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7AFE" w:rsidRDefault="002F7AFE" w:rsidP="002F7AFE">
      <w:pPr>
        <w:tabs>
          <w:tab w:val="left" w:pos="993"/>
        </w:tabs>
        <w:ind w:left="993" w:hanging="993"/>
        <w:rPr>
          <w:b/>
          <w:sz w:val="22"/>
          <w:szCs w:val="22"/>
        </w:rPr>
      </w:pPr>
      <w:bookmarkStart w:id="0" w:name="_GoBack"/>
      <w:bookmarkEnd w:id="0"/>
    </w:p>
    <w:p w:rsidR="002F7AFE" w:rsidRDefault="002F7AFE" w:rsidP="002F7AFE">
      <w:pPr>
        <w:tabs>
          <w:tab w:val="left" w:pos="993"/>
        </w:tabs>
        <w:ind w:left="993" w:hanging="993"/>
        <w:rPr>
          <w:b/>
          <w:sz w:val="22"/>
          <w:szCs w:val="22"/>
        </w:rPr>
      </w:pPr>
    </w:p>
    <w:p w:rsidR="002F7AFE" w:rsidRPr="002F7AFE" w:rsidRDefault="002F7AFE" w:rsidP="002F7AFE">
      <w:pPr>
        <w:tabs>
          <w:tab w:val="left" w:pos="993"/>
        </w:tabs>
        <w:ind w:left="993" w:hanging="993"/>
        <w:rPr>
          <w:b/>
          <w:sz w:val="22"/>
          <w:szCs w:val="22"/>
        </w:rPr>
      </w:pPr>
      <w:r w:rsidRPr="002F7AFE">
        <w:rPr>
          <w:b/>
          <w:sz w:val="22"/>
          <w:szCs w:val="22"/>
        </w:rPr>
        <w:t>Důvodová zpráva</w:t>
      </w:r>
    </w:p>
    <w:p w:rsidR="002F7AFE" w:rsidRPr="002F7AFE" w:rsidRDefault="002F7AFE" w:rsidP="002F7AFE">
      <w:pPr>
        <w:tabs>
          <w:tab w:val="left" w:pos="900"/>
        </w:tabs>
        <w:rPr>
          <w:b/>
          <w:sz w:val="22"/>
          <w:szCs w:val="22"/>
        </w:rPr>
      </w:pPr>
    </w:p>
    <w:p w:rsidR="002F7AFE" w:rsidRPr="002F7AFE" w:rsidRDefault="002F7AFE" w:rsidP="002F7AFE">
      <w:pPr>
        <w:tabs>
          <w:tab w:val="left" w:pos="900"/>
        </w:tabs>
        <w:jc w:val="both"/>
        <w:rPr>
          <w:sz w:val="22"/>
          <w:szCs w:val="22"/>
        </w:rPr>
      </w:pPr>
      <w:r w:rsidRPr="002F7AFE">
        <w:rPr>
          <w:sz w:val="22"/>
          <w:szCs w:val="22"/>
        </w:rPr>
        <w:t>Statutární město České Budějovice obdrželo dne 23. 10. 2017 návrh představenstva společnosti Teplárna České Budějovice, a.s., na přijetí nové dlouhodobé koncepce podnikatelské činnosti společnosti.</w:t>
      </w:r>
    </w:p>
    <w:p w:rsidR="002F7AFE" w:rsidRPr="002F7AFE" w:rsidRDefault="002F7AFE" w:rsidP="002F7AFE">
      <w:pPr>
        <w:tabs>
          <w:tab w:val="left" w:pos="900"/>
        </w:tabs>
        <w:jc w:val="both"/>
        <w:rPr>
          <w:sz w:val="22"/>
          <w:szCs w:val="22"/>
        </w:rPr>
      </w:pPr>
    </w:p>
    <w:p w:rsidR="002F7AFE" w:rsidRPr="002F7AFE" w:rsidRDefault="002F7AFE" w:rsidP="002F7AFE">
      <w:pPr>
        <w:tabs>
          <w:tab w:val="left" w:pos="900"/>
        </w:tabs>
        <w:jc w:val="both"/>
        <w:rPr>
          <w:sz w:val="22"/>
          <w:szCs w:val="22"/>
        </w:rPr>
      </w:pPr>
      <w:r w:rsidRPr="002F7AFE">
        <w:rPr>
          <w:sz w:val="22"/>
          <w:szCs w:val="22"/>
        </w:rPr>
        <w:t>Její schválení náleží valné hromadě jakožto nejvyššímu orgánu společnosti. S ohledem na skutečnost, že město je jediným akcionářem společnosti Teplárna České Budějovice, a.s., vykonává působnost valné hromady sám akcionář svým rozhodováním, přičemž toto rozhodování činí za město dle zákona o obcích rada města.</w:t>
      </w:r>
    </w:p>
    <w:p w:rsidR="002F7AFE" w:rsidRPr="002F7AFE" w:rsidRDefault="002F7AFE" w:rsidP="002F7AFE">
      <w:pPr>
        <w:tabs>
          <w:tab w:val="left" w:pos="900"/>
        </w:tabs>
        <w:jc w:val="both"/>
        <w:rPr>
          <w:sz w:val="22"/>
          <w:szCs w:val="22"/>
        </w:rPr>
      </w:pPr>
    </w:p>
    <w:p w:rsidR="002F7AFE" w:rsidRPr="002F7AFE" w:rsidRDefault="002F7AFE" w:rsidP="002F7AFE">
      <w:pPr>
        <w:tabs>
          <w:tab w:val="left" w:pos="900"/>
        </w:tabs>
        <w:jc w:val="both"/>
        <w:rPr>
          <w:sz w:val="22"/>
          <w:szCs w:val="22"/>
        </w:rPr>
      </w:pPr>
      <w:r w:rsidRPr="002F7AFE">
        <w:rPr>
          <w:sz w:val="22"/>
          <w:szCs w:val="22"/>
        </w:rPr>
        <w:t>Ještě než bude shora uvedený návrh předložen radě města v režimu výkonu působnosti valné hromady, je předkládán zastupitelstvu města k projednání.</w:t>
      </w:r>
    </w:p>
    <w:p w:rsidR="002F7AFE" w:rsidRPr="002F7AFE" w:rsidRDefault="002F7AFE" w:rsidP="002F7AFE">
      <w:pPr>
        <w:tabs>
          <w:tab w:val="left" w:pos="900"/>
        </w:tabs>
        <w:jc w:val="both"/>
        <w:rPr>
          <w:sz w:val="22"/>
          <w:szCs w:val="22"/>
        </w:rPr>
      </w:pPr>
    </w:p>
    <w:p w:rsidR="002F7AFE" w:rsidRPr="002F7AFE" w:rsidRDefault="002F7AFE" w:rsidP="002F7AFE">
      <w:pPr>
        <w:tabs>
          <w:tab w:val="left" w:pos="900"/>
        </w:tabs>
        <w:jc w:val="both"/>
        <w:rPr>
          <w:sz w:val="22"/>
          <w:szCs w:val="22"/>
        </w:rPr>
      </w:pPr>
      <w:r w:rsidRPr="002F7AFE">
        <w:rPr>
          <w:sz w:val="22"/>
          <w:szCs w:val="22"/>
        </w:rPr>
        <w:t>Zastupitelstvo města není orgánem příslušným ke schválení uvedené koncepce a nemůže si tuto pravomoc ani vyhradit, neboť rozhodování ve věcech města jakožto jediného akcionáře společnosti je vyhrazenou pravomocí rady města. Nicméně s ohledem na koncepční a dlouhodobý charakter předkládaného návrhu a jeho zásadní význam pro podnikatelskou činnost společnosti v budoucím období je tento předkládán zastupitelstvu města k projednání i nad rámec zákona. V rámci předkládaného materiálu tudíž není navrhováno „schválení“ návrhu koncepce, které by dle shora uvedeného náleželo až radě města (v režimu výkonu působnosti valné hromady společnosti na schůzi plánované po projednání v zastupitelstvu města), nýbrž pouze vyjádření věcného „souhlasu“ s případným budoucím schválením ze strany rady města.</w:t>
      </w:r>
    </w:p>
    <w:p w:rsidR="002F7AFE" w:rsidRPr="002F7AFE" w:rsidRDefault="002F7AFE" w:rsidP="002F7AFE">
      <w:pPr>
        <w:tabs>
          <w:tab w:val="left" w:pos="900"/>
        </w:tabs>
        <w:jc w:val="both"/>
        <w:rPr>
          <w:sz w:val="22"/>
          <w:szCs w:val="22"/>
        </w:rPr>
      </w:pPr>
    </w:p>
    <w:p w:rsidR="002F7AFE" w:rsidRPr="002F7AFE" w:rsidRDefault="002F7AFE" w:rsidP="002F7AFE">
      <w:pPr>
        <w:tabs>
          <w:tab w:val="left" w:pos="900"/>
        </w:tabs>
        <w:jc w:val="both"/>
        <w:rPr>
          <w:sz w:val="22"/>
          <w:szCs w:val="22"/>
        </w:rPr>
      </w:pPr>
      <w:r w:rsidRPr="002F7AFE">
        <w:rPr>
          <w:sz w:val="22"/>
          <w:szCs w:val="22"/>
        </w:rPr>
        <w:t xml:space="preserve">Návrhy představenstva byly předloženy k projednání též dozorčí radě společnosti, která se jimi zabývala na svém zasedání dne 27. 10. 2017. Dozorčí rada návrhy představenstva schválila a doporučuje Radě města České Budějovice svým usnesením návrhy přijmout.   </w:t>
      </w:r>
    </w:p>
    <w:p w:rsidR="002F7AFE" w:rsidRPr="002F7AFE" w:rsidRDefault="002F7AFE" w:rsidP="002F7AFE">
      <w:pPr>
        <w:tabs>
          <w:tab w:val="left" w:pos="900"/>
        </w:tabs>
        <w:jc w:val="both"/>
        <w:rPr>
          <w:sz w:val="22"/>
          <w:szCs w:val="22"/>
        </w:rPr>
      </w:pPr>
    </w:p>
    <w:p w:rsidR="002F7AFE" w:rsidRPr="002F7AFE" w:rsidRDefault="002F7AFE" w:rsidP="002F7AFE">
      <w:pPr>
        <w:tabs>
          <w:tab w:val="left" w:pos="900"/>
        </w:tabs>
        <w:jc w:val="both"/>
        <w:rPr>
          <w:sz w:val="22"/>
          <w:szCs w:val="22"/>
          <w:u w:val="single"/>
        </w:rPr>
      </w:pPr>
      <w:r w:rsidRPr="002F7AFE">
        <w:rPr>
          <w:sz w:val="22"/>
          <w:szCs w:val="22"/>
          <w:u w:val="single"/>
        </w:rPr>
        <w:t>Návrh představenstva na přijetí dlouhodobé koncepce podnikatelské činnosti a jeho odůvodnění</w:t>
      </w:r>
    </w:p>
    <w:p w:rsidR="002F7AFE" w:rsidRPr="002F7AFE" w:rsidRDefault="002F7AFE" w:rsidP="002F7AFE">
      <w:pPr>
        <w:tabs>
          <w:tab w:val="left" w:pos="900"/>
        </w:tabs>
        <w:jc w:val="both"/>
        <w:rPr>
          <w:sz w:val="22"/>
          <w:szCs w:val="22"/>
        </w:rPr>
      </w:pPr>
    </w:p>
    <w:p w:rsidR="002F7AFE" w:rsidRPr="002F7AFE" w:rsidRDefault="002F7AFE" w:rsidP="002F7AFE">
      <w:pPr>
        <w:tabs>
          <w:tab w:val="left" w:pos="900"/>
        </w:tabs>
        <w:jc w:val="both"/>
        <w:rPr>
          <w:sz w:val="22"/>
          <w:szCs w:val="22"/>
        </w:rPr>
      </w:pPr>
      <w:r w:rsidRPr="002F7AFE">
        <w:rPr>
          <w:sz w:val="22"/>
          <w:szCs w:val="22"/>
        </w:rPr>
        <w:t>Představenstvo společnosti navrhlo jedinému akcionáři společnosti, statutárnímu městu České Budějovice, aby Rada města České Budějovice při výkonu působnosti valné hromady společnosti přijala mj. rozhodnutí o schválení dlouhodobé koncepce podnikatelské činnosti společnosti, jejíž návrh předložila.</w:t>
      </w:r>
    </w:p>
    <w:p w:rsidR="002F7AFE" w:rsidRPr="002F7AFE" w:rsidRDefault="002F7AFE" w:rsidP="002F7AFE">
      <w:pPr>
        <w:tabs>
          <w:tab w:val="left" w:pos="900"/>
        </w:tabs>
        <w:jc w:val="both"/>
        <w:rPr>
          <w:sz w:val="22"/>
          <w:szCs w:val="22"/>
        </w:rPr>
      </w:pPr>
    </w:p>
    <w:p w:rsidR="002F7AFE" w:rsidRPr="002F7AFE" w:rsidRDefault="002F7AFE" w:rsidP="002F7AFE">
      <w:pPr>
        <w:pStyle w:val="Styl1Nadpis"/>
        <w:numPr>
          <w:ilvl w:val="0"/>
          <w:numId w:val="0"/>
        </w:numPr>
        <w:spacing w:before="0"/>
        <w:ind w:left="567" w:hanging="567"/>
        <w:jc w:val="both"/>
        <w:rPr>
          <w:rFonts w:ascii="Times New Roman" w:hAnsi="Times New Roman" w:cs="Times New Roman"/>
          <w:b w:val="0"/>
        </w:rPr>
      </w:pPr>
      <w:r w:rsidRPr="002F7AFE">
        <w:rPr>
          <w:rFonts w:ascii="Times New Roman" w:hAnsi="Times New Roman" w:cs="Times New Roman"/>
          <w:b w:val="0"/>
        </w:rPr>
        <w:t>Odůvodnění představenstva k návrhu:</w:t>
      </w:r>
    </w:p>
    <w:p w:rsidR="002F7AFE" w:rsidRPr="002F7AFE" w:rsidRDefault="002F7AFE" w:rsidP="002F7AFE">
      <w:pPr>
        <w:pStyle w:val="Styl1Nadpis"/>
        <w:numPr>
          <w:ilvl w:val="0"/>
          <w:numId w:val="0"/>
        </w:numPr>
        <w:spacing w:before="0"/>
        <w:ind w:left="567" w:hanging="567"/>
        <w:jc w:val="both"/>
        <w:rPr>
          <w:rFonts w:ascii="Times New Roman" w:hAnsi="Times New Roman" w:cs="Times New Roman"/>
        </w:rPr>
      </w:pPr>
    </w:p>
    <w:p w:rsidR="002F7AFE" w:rsidRPr="002F7AFE" w:rsidRDefault="002F7AFE" w:rsidP="002F7AFE">
      <w:pPr>
        <w:widowControl w:val="0"/>
        <w:jc w:val="both"/>
        <w:rPr>
          <w:bCs/>
          <w:sz w:val="22"/>
          <w:szCs w:val="22"/>
        </w:rPr>
      </w:pPr>
      <w:r w:rsidRPr="002F7AFE">
        <w:rPr>
          <w:bCs/>
          <w:sz w:val="22"/>
          <w:szCs w:val="22"/>
        </w:rPr>
        <w:t>Rozhodování o dlouhodobé koncepci podnikatelské činnosti společnosti je stanovami společnosti určeno do působnosti valné hromady společnosti. Koncepce činnosti, schválená valnou hromadou, resp. jediným akcionářem, je závazným podkladem pro další činnost představenstva a dozorčí rady při obchodním vedení společnosti. Valná hromada společnosti se naposled dlouhodobou koncepcí zabývala 22. 6. 2016. Dosavadní usnesení valných hromad v těchto koncepčních otázkách mělo charakter dílčích operativních úkolů, zejména v oblastech přípravy dodávek tepla z Jaderné elektrárny Temelín a projektu na energetické využití směsného komunálního odpadu města České Budějovice prostřednictvím výroby a spalování tuhých alternativních paliv (TAP). Představenstvo společnosti v rámci plnění těchto úkolů předkládá jedinému akcionáři ucelený komplexní dokument, který určí další podnikatelské směřování společnosti v dlouhodobém horizontu, a to včetně hlavních cílů, provozních opatření, zásad a dlouhodobých investic. Takovým zásadním dlouhodobým podkladem podnikatelské činnosti společnosti je předkládaná Strategie 2040 - Dlouhodobá koncepce podnikatelské činnosti Teplárny České Budějovice, a.s. v letech 2018 – 2045 (dále jen „Strategie 2040“).</w:t>
      </w:r>
    </w:p>
    <w:p w:rsidR="002F7AFE" w:rsidRPr="002F7AFE" w:rsidRDefault="002F7AFE" w:rsidP="002F7AFE">
      <w:pPr>
        <w:widowControl w:val="0"/>
        <w:jc w:val="both"/>
        <w:rPr>
          <w:bCs/>
          <w:sz w:val="22"/>
          <w:szCs w:val="22"/>
        </w:rPr>
      </w:pPr>
    </w:p>
    <w:p w:rsidR="002F7AFE" w:rsidRPr="002F7AFE" w:rsidRDefault="002F7AFE" w:rsidP="002F7AFE">
      <w:pPr>
        <w:widowControl w:val="0"/>
        <w:jc w:val="both"/>
        <w:rPr>
          <w:bCs/>
          <w:sz w:val="22"/>
          <w:szCs w:val="22"/>
        </w:rPr>
      </w:pPr>
      <w:r w:rsidRPr="002F7AFE">
        <w:rPr>
          <w:bCs/>
          <w:sz w:val="22"/>
          <w:szCs w:val="22"/>
        </w:rPr>
        <w:t xml:space="preserve">Strategii 2040 připravilo představenstvo společnosti v rámci projektového týmu ve spolupráci se svými odbornými, ekonomickými, daňovými a právními poradci, jak je zřejmé z přiložených dokumentů. Na podobu Strategie 2040 měly určující vliv také výsledky obchodních jednání, které představenstvo vedlo v letech 2016 a 2017 s ČEZ, a.s. (nabídka budoucí dodávky tepla horkovodním přivaděčem), s FCC České Budějovice, s.r.o. a městem České Budějovice (likvidace směsného </w:t>
      </w:r>
      <w:r w:rsidRPr="002F7AFE">
        <w:rPr>
          <w:bCs/>
          <w:sz w:val="22"/>
          <w:szCs w:val="22"/>
        </w:rPr>
        <w:lastRenderedPageBreak/>
        <w:t xml:space="preserve">komunálního odpadu prostřednictvím spalování TAP). Jednání s ČEZ, a.s. vyústila v nabídku Smlouvy o uzavření budoucí smlouvy o dodávce tepelné energie ze dne 18. 9. 2017. Se společností FCC České Budějovice, s.r.o. a městem České Budějovice byla uzavřena Dohoda o základních podmínkách realizace společného záměru a o vedení tržních konzultací podle </w:t>
      </w:r>
      <w:proofErr w:type="spellStart"/>
      <w:r w:rsidRPr="002F7AFE">
        <w:rPr>
          <w:bCs/>
          <w:sz w:val="22"/>
          <w:szCs w:val="22"/>
        </w:rPr>
        <w:t>ust</w:t>
      </w:r>
      <w:proofErr w:type="spellEnd"/>
      <w:r w:rsidRPr="002F7AFE">
        <w:rPr>
          <w:bCs/>
          <w:sz w:val="22"/>
          <w:szCs w:val="22"/>
        </w:rPr>
        <w:t>. § 33 zákona o zadávání veřejných zakázek ze dne 28. 7. 2017.</w:t>
      </w:r>
    </w:p>
    <w:p w:rsidR="002F7AFE" w:rsidRPr="002F7AFE" w:rsidRDefault="002F7AFE" w:rsidP="002F7AFE">
      <w:pPr>
        <w:widowControl w:val="0"/>
        <w:jc w:val="both"/>
        <w:rPr>
          <w:bCs/>
          <w:sz w:val="22"/>
          <w:szCs w:val="22"/>
        </w:rPr>
      </w:pPr>
    </w:p>
    <w:p w:rsidR="002F7AFE" w:rsidRPr="002F7AFE" w:rsidRDefault="002F7AFE" w:rsidP="002F7AFE">
      <w:pPr>
        <w:widowControl w:val="0"/>
        <w:jc w:val="both"/>
        <w:rPr>
          <w:bCs/>
          <w:sz w:val="22"/>
          <w:szCs w:val="22"/>
        </w:rPr>
      </w:pPr>
      <w:r w:rsidRPr="002F7AFE">
        <w:rPr>
          <w:bCs/>
          <w:sz w:val="22"/>
          <w:szCs w:val="22"/>
        </w:rPr>
        <w:t xml:space="preserve">Schválí-li Rada města České Budějovice předloženou Strategii 2040, představenstvo společnosti pro její naplnění přijme nabídku společnosti ČEZ, a. s. a uzavře Smlouvu o uzavření budoucí smlouvy o dodávce tepelné energie prostřednictvím horkovodního tepelného napaječe, provede </w:t>
      </w:r>
      <w:proofErr w:type="spellStart"/>
      <w:r w:rsidRPr="002F7AFE">
        <w:rPr>
          <w:bCs/>
          <w:sz w:val="22"/>
          <w:szCs w:val="22"/>
        </w:rPr>
        <w:t>retrofit</w:t>
      </w:r>
      <w:proofErr w:type="spellEnd"/>
      <w:r w:rsidRPr="002F7AFE">
        <w:rPr>
          <w:bCs/>
          <w:sz w:val="22"/>
          <w:szCs w:val="22"/>
        </w:rPr>
        <w:t xml:space="preserve"> kotle K12 na spalování hnědého uhlí s optimalizovanou výrobní kapacitou pro situaci po připojení tepelného napaječe z jaderné elektrárny Temelín, zrealizuje popsané projekty konverze stávajících parovodních částí distribuční sítě na systémy horkovodní, bude uvedeným způsobem pokračovat v přípravě spalování TAP a ve své další činnosti bude postupovat podle předpokladů a záměrů uvedených v této dlouhodobé koncepci.</w:t>
      </w:r>
    </w:p>
    <w:p w:rsidR="002F7AFE" w:rsidRPr="002F7AFE" w:rsidRDefault="002F7AFE" w:rsidP="002F7AFE">
      <w:pPr>
        <w:jc w:val="both"/>
        <w:rPr>
          <w:bCs/>
          <w:sz w:val="22"/>
          <w:szCs w:val="22"/>
        </w:rPr>
      </w:pPr>
    </w:p>
    <w:p w:rsidR="002F7AFE" w:rsidRPr="002F7AFE" w:rsidRDefault="002F7AFE" w:rsidP="002F7AFE">
      <w:pPr>
        <w:jc w:val="both"/>
        <w:rPr>
          <w:bCs/>
          <w:sz w:val="22"/>
          <w:szCs w:val="22"/>
        </w:rPr>
      </w:pPr>
      <w:r w:rsidRPr="002F7AFE">
        <w:rPr>
          <w:bCs/>
          <w:sz w:val="22"/>
          <w:szCs w:val="22"/>
        </w:rPr>
        <w:t xml:space="preserve">O všech přípravných činnostech vedoucích ke zpracování Strategie 2040 byla průběžně informována dozorčí rada společnosti. </w:t>
      </w:r>
    </w:p>
    <w:p w:rsidR="002F7AFE" w:rsidRPr="002F7AFE" w:rsidRDefault="002F7AFE" w:rsidP="002F7AFE">
      <w:pPr>
        <w:jc w:val="both"/>
        <w:rPr>
          <w:bCs/>
          <w:sz w:val="22"/>
          <w:szCs w:val="22"/>
        </w:rPr>
      </w:pPr>
    </w:p>
    <w:p w:rsidR="002F7AFE" w:rsidRPr="002F7AFE" w:rsidRDefault="002F7AFE" w:rsidP="002F7AFE">
      <w:pPr>
        <w:jc w:val="both"/>
        <w:rPr>
          <w:rFonts w:eastAsia="Calibri"/>
          <w:sz w:val="22"/>
          <w:szCs w:val="22"/>
        </w:rPr>
      </w:pPr>
      <w:r w:rsidRPr="002F7AFE">
        <w:rPr>
          <w:bCs/>
          <w:sz w:val="22"/>
          <w:szCs w:val="22"/>
        </w:rPr>
        <w:t>Strategie 2040 byla schválena představenstvem společnosti dne 12. 10. 2017 a byla předložena k projednání dozorčí radě pro její zasedání svolané na 27. 10. 2017.</w:t>
      </w:r>
      <w:r w:rsidRPr="002F7AFE">
        <w:rPr>
          <w:rFonts w:eastAsia="Calibri"/>
          <w:sz w:val="22"/>
          <w:szCs w:val="22"/>
        </w:rPr>
        <w:t xml:space="preserve"> </w:t>
      </w:r>
    </w:p>
    <w:p w:rsidR="002966D6" w:rsidRPr="002F7AFE" w:rsidRDefault="002966D6">
      <w:pPr>
        <w:rPr>
          <w:sz w:val="22"/>
          <w:szCs w:val="22"/>
        </w:rPr>
      </w:pPr>
    </w:p>
    <w:sectPr w:rsidR="002966D6" w:rsidRPr="002F7AFE" w:rsidSect="002F7AFE">
      <w:footerReference w:type="default" r:id="rId8"/>
      <w:pgSz w:w="11906" w:h="16838"/>
      <w:pgMar w:top="851" w:right="1418" w:bottom="851" w:left="1418" w:header="708" w:footer="567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7AFE" w:rsidRDefault="002F7AFE" w:rsidP="002F7AFE">
      <w:r>
        <w:separator/>
      </w:r>
    </w:p>
  </w:endnote>
  <w:endnote w:type="continuationSeparator" w:id="0">
    <w:p w:rsidR="002F7AFE" w:rsidRDefault="002F7AFE" w:rsidP="002F7A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48883109"/>
      <w:docPartObj>
        <w:docPartGallery w:val="Page Numbers (Bottom of Page)"/>
        <w:docPartUnique/>
      </w:docPartObj>
    </w:sdtPr>
    <w:sdtContent>
      <w:p w:rsidR="002F7AFE" w:rsidRDefault="002F7AFE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2F7AFE" w:rsidRDefault="002F7AF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7AFE" w:rsidRDefault="002F7AFE" w:rsidP="002F7AFE">
      <w:r>
        <w:separator/>
      </w:r>
    </w:p>
  </w:footnote>
  <w:footnote w:type="continuationSeparator" w:id="0">
    <w:p w:rsidR="002F7AFE" w:rsidRDefault="002F7AFE" w:rsidP="002F7A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1153BF"/>
    <w:multiLevelType w:val="hybridMultilevel"/>
    <w:tmpl w:val="96305284"/>
    <w:lvl w:ilvl="0" w:tplc="0D18A696">
      <w:start w:val="1"/>
      <w:numFmt w:val="decimal"/>
      <w:pStyle w:val="Styl1Nadpis"/>
      <w:lvlText w:val="%1.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7AFE"/>
    <w:rsid w:val="002966D6"/>
    <w:rsid w:val="002F7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F7A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Styl1NadpisChar">
    <w:name w:val="Styl1Nadpis Char"/>
    <w:link w:val="Styl1Nadpis"/>
    <w:uiPriority w:val="99"/>
    <w:locked/>
    <w:rsid w:val="002F7AFE"/>
    <w:rPr>
      <w:rFonts w:ascii="Arial" w:hAnsi="Arial" w:cs="Arial"/>
      <w:b/>
    </w:rPr>
  </w:style>
  <w:style w:type="paragraph" w:customStyle="1" w:styleId="Styl1Nadpis">
    <w:name w:val="Styl1Nadpis"/>
    <w:basedOn w:val="Normln"/>
    <w:link w:val="Styl1NadpisChar"/>
    <w:uiPriority w:val="99"/>
    <w:rsid w:val="002F7AFE"/>
    <w:pPr>
      <w:numPr>
        <w:numId w:val="1"/>
      </w:numPr>
      <w:suppressAutoHyphens/>
      <w:spacing w:before="40"/>
    </w:pPr>
    <w:rPr>
      <w:rFonts w:ascii="Arial" w:eastAsiaTheme="minorHAnsi" w:hAnsi="Arial" w:cs="Arial"/>
      <w:b/>
      <w:sz w:val="22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2F7AF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F7AF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2F7AF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F7AFE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F7A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Styl1NadpisChar">
    <w:name w:val="Styl1Nadpis Char"/>
    <w:link w:val="Styl1Nadpis"/>
    <w:uiPriority w:val="99"/>
    <w:locked/>
    <w:rsid w:val="002F7AFE"/>
    <w:rPr>
      <w:rFonts w:ascii="Arial" w:hAnsi="Arial" w:cs="Arial"/>
      <w:b/>
    </w:rPr>
  </w:style>
  <w:style w:type="paragraph" w:customStyle="1" w:styleId="Styl1Nadpis">
    <w:name w:val="Styl1Nadpis"/>
    <w:basedOn w:val="Normln"/>
    <w:link w:val="Styl1NadpisChar"/>
    <w:uiPriority w:val="99"/>
    <w:rsid w:val="002F7AFE"/>
    <w:pPr>
      <w:numPr>
        <w:numId w:val="1"/>
      </w:numPr>
      <w:suppressAutoHyphens/>
      <w:spacing w:before="40"/>
    </w:pPr>
    <w:rPr>
      <w:rFonts w:ascii="Arial" w:eastAsiaTheme="minorHAnsi" w:hAnsi="Arial" w:cs="Arial"/>
      <w:b/>
      <w:sz w:val="22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2F7AF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F7AF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2F7AF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F7AFE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764</Words>
  <Characters>4512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Bayerová Monika</dc:creator>
  <cp:lastModifiedBy>Bayerová Monika</cp:lastModifiedBy>
  <cp:revision>1</cp:revision>
  <dcterms:created xsi:type="dcterms:W3CDTF">2017-10-27T11:54:00Z</dcterms:created>
  <dcterms:modified xsi:type="dcterms:W3CDTF">2017-10-27T11:57:00Z</dcterms:modified>
</cp:coreProperties>
</file>