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9BF" w:rsidRDefault="009E59BF" w:rsidP="009E59BF">
      <w:pPr>
        <w:spacing w:before="100" w:after="100"/>
        <w:jc w:val="both"/>
        <w:rPr>
          <w:rFonts w:cs="Arial"/>
          <w:b/>
          <w:sz w:val="24"/>
          <w:szCs w:val="24"/>
        </w:rPr>
      </w:pPr>
      <w:r w:rsidRPr="00E16D31">
        <w:rPr>
          <w:rFonts w:cs="Arial"/>
          <w:b/>
          <w:sz w:val="24"/>
          <w:szCs w:val="24"/>
        </w:rPr>
        <w:t>Důvodová zpráva</w:t>
      </w:r>
    </w:p>
    <w:p w:rsidR="009E59BF" w:rsidRPr="00E16D31" w:rsidRDefault="009E59BF" w:rsidP="009E59BF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iCs/>
        </w:rPr>
      </w:pPr>
      <w:r w:rsidRPr="00E16D31">
        <w:rPr>
          <w:rFonts w:cs="Arial"/>
          <w:iCs/>
        </w:rPr>
        <w:t>Statutární město České Budějovice na základě zákona o hospodaření energií č. 406/2000 Sb. ve znění pozdějších předpisů a v souladu s prováděcím předpisem zadalo zpracování Územní energetické koncepce statutárního města České Budějovice (dále ÚEK ČB). Na základě výběrového řízení byl vybrán zpracovatel ÚEK ČB – firma CEFA s.r.o. se sídlem Podle Náhonu 59, Praha (smlouva o dílo č. 2015000936 ze dne 20.</w:t>
      </w:r>
      <w:r w:rsidR="00027E56">
        <w:rPr>
          <w:rFonts w:cs="Arial"/>
          <w:iCs/>
        </w:rPr>
        <w:t xml:space="preserve"> </w:t>
      </w:r>
      <w:r w:rsidRPr="00E16D31">
        <w:rPr>
          <w:rFonts w:cs="Arial"/>
          <w:iCs/>
        </w:rPr>
        <w:t>4.</w:t>
      </w:r>
      <w:r w:rsidR="00027E56">
        <w:rPr>
          <w:rFonts w:cs="Arial"/>
          <w:iCs/>
        </w:rPr>
        <w:t xml:space="preserve"> </w:t>
      </w:r>
      <w:r w:rsidRPr="00E16D31">
        <w:rPr>
          <w:rFonts w:cs="Arial"/>
          <w:iCs/>
        </w:rPr>
        <w:t>2015).</w:t>
      </w:r>
      <w:r>
        <w:rPr>
          <w:rFonts w:cs="Arial"/>
          <w:iCs/>
        </w:rPr>
        <w:t xml:space="preserve"> Územní energetická koncepce se zpracovává na období 25 let a vychází ze státní energetické koncepce.</w:t>
      </w:r>
    </w:p>
    <w:p w:rsidR="009E59BF" w:rsidRDefault="009E59BF" w:rsidP="009E59BF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iCs/>
        </w:rPr>
      </w:pPr>
      <w:r w:rsidRPr="00E16D31">
        <w:rPr>
          <w:rFonts w:cs="Arial"/>
          <w:iCs/>
        </w:rPr>
        <w:t xml:space="preserve">Cílem Územní energetické koncepce statutárního města České Budějovice bylo shrnutí stávajícího stavu energetického hospodářství města a návrh souboru opatření investičního i neinvestičního charakteru vedoucích ke snížení spotřeby energie v objektech a zařízeních </w:t>
      </w:r>
      <w:r>
        <w:rPr>
          <w:rFonts w:cs="Arial"/>
          <w:iCs/>
        </w:rPr>
        <w:t xml:space="preserve">města </w:t>
      </w:r>
      <w:r w:rsidRPr="00E16D31">
        <w:rPr>
          <w:rFonts w:cs="Arial"/>
          <w:iCs/>
        </w:rPr>
        <w:t xml:space="preserve">současně s možností využití moderních technologií a obnovitelných zdrojů energie. ÚEK ČB se věnuje bytovému fondu města, sektoru školství, zdravotnictví, sociálních zařízení, staveb pro kulturu, sport a rekreaci a správních a administrativních budov převážně v majetku města a veřejnému osvětlení. Další důležitou kapitolou je zásobování energiemi, kde zejména část týkající se systému CZT (centrální zásobování teplem) města uvádí jeho stávající stav a budoucí rozvoj. Nedílnou součástí ÚEK ČB je i rozbor decentrálních zdrojů tepla, které se podílejí na celkovém emisním zatížení města. V ÚEK ČB je rovněž zpracován přehled platných legislativních požadavků v oblasti energetické náročnosti budov a energetických zdrojů a dotačních titulů, které je možné využít na realizaci energeticky úsporných opatření či na </w:t>
      </w:r>
      <w:r>
        <w:rPr>
          <w:rFonts w:cs="Arial"/>
          <w:iCs/>
        </w:rPr>
        <w:t>snížen</w:t>
      </w:r>
      <w:r w:rsidRPr="00E16D31">
        <w:rPr>
          <w:rFonts w:cs="Arial"/>
          <w:iCs/>
        </w:rPr>
        <w:t xml:space="preserve">í emisního zatížení města. </w:t>
      </w:r>
    </w:p>
    <w:p w:rsidR="009E59BF" w:rsidRDefault="009E59BF" w:rsidP="009E59BF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iCs/>
        </w:rPr>
      </w:pPr>
      <w:r>
        <w:rPr>
          <w:rFonts w:cs="Arial"/>
          <w:iCs/>
        </w:rPr>
        <w:t>ÚEK ČB byla předložena zastupitelstvu města a následně schválena dne 12. 12. 2016 usnesením č.</w:t>
      </w:r>
      <w:r w:rsidR="00F94F56">
        <w:rPr>
          <w:rFonts w:cs="Arial"/>
          <w:iCs/>
        </w:rPr>
        <w:t> </w:t>
      </w:r>
      <w:r>
        <w:rPr>
          <w:rFonts w:cs="Arial"/>
          <w:iCs/>
        </w:rPr>
        <w:t>274/2016.</w:t>
      </w:r>
    </w:p>
    <w:p w:rsidR="009E59BF" w:rsidRDefault="009E59BF" w:rsidP="009E59BF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iCs/>
        </w:rPr>
      </w:pPr>
      <w:r>
        <w:rPr>
          <w:rFonts w:cs="Arial"/>
          <w:iCs/>
        </w:rPr>
        <w:t>V</w:t>
      </w:r>
      <w:r w:rsidR="00F94F56">
        <w:rPr>
          <w:rFonts w:cs="Arial"/>
          <w:iCs/>
        </w:rPr>
        <w:t xml:space="preserve"> únoru </w:t>
      </w:r>
      <w:r>
        <w:rPr>
          <w:rFonts w:cs="Arial"/>
          <w:iCs/>
        </w:rPr>
        <w:t>2016 byla podána žádost na Ministerstvo průmyslu a obchodu (dále MPO) o poskytnutí dotace z</w:t>
      </w:r>
      <w:r w:rsidR="009138B4">
        <w:rPr>
          <w:rFonts w:cs="Arial"/>
          <w:iCs/>
        </w:rPr>
        <w:t>e</w:t>
      </w:r>
      <w:r>
        <w:rPr>
          <w:rFonts w:cs="Arial"/>
          <w:iCs/>
        </w:rPr>
        <w:t> </w:t>
      </w:r>
      <w:r w:rsidR="009138B4">
        <w:rPr>
          <w:rFonts w:cs="Arial"/>
          <w:iCs/>
        </w:rPr>
        <w:t xml:space="preserve">státního </w:t>
      </w:r>
      <w:r>
        <w:rPr>
          <w:rFonts w:cs="Arial"/>
          <w:iCs/>
        </w:rPr>
        <w:t xml:space="preserve">programu </w:t>
      </w:r>
      <w:r w:rsidR="009138B4">
        <w:rPr>
          <w:rFonts w:cs="Arial"/>
          <w:iCs/>
        </w:rPr>
        <w:t xml:space="preserve">na podporu úspor energie a využití obnovitelných a druhotných zdrojů energie – </w:t>
      </w:r>
      <w:r>
        <w:rPr>
          <w:rFonts w:cs="Arial"/>
          <w:iCs/>
        </w:rPr>
        <w:t>EFEKT</w:t>
      </w:r>
      <w:r w:rsidR="00425FA3">
        <w:rPr>
          <w:rFonts w:cs="Arial"/>
          <w:iCs/>
        </w:rPr>
        <w:t xml:space="preserve"> (oblast dotace – Energetický management, aktivita E. 3 – Zpracování územní energetické dotace).</w:t>
      </w:r>
    </w:p>
    <w:p w:rsidR="009138B4" w:rsidRDefault="009138B4" w:rsidP="009E59BF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iCs/>
        </w:rPr>
      </w:pPr>
      <w:r>
        <w:rPr>
          <w:rFonts w:cs="Arial"/>
          <w:iCs/>
        </w:rPr>
        <w:t>Progra</w:t>
      </w:r>
      <w:r w:rsidR="00F94F56">
        <w:rPr>
          <w:rFonts w:cs="Arial"/>
          <w:iCs/>
        </w:rPr>
        <w:t>m</w:t>
      </w:r>
      <w:r>
        <w:rPr>
          <w:rFonts w:cs="Arial"/>
          <w:iCs/>
        </w:rPr>
        <w:t xml:space="preserve"> EFEKT je vyhlašován MPO k naplňování Státní energetické koncepce schválené vládou České republiky v souladu s </w:t>
      </w:r>
      <w:r w:rsidR="00F94F56">
        <w:rPr>
          <w:rFonts w:cs="Arial"/>
          <w:iCs/>
        </w:rPr>
        <w:t>§ 5 zákona č. 406/2000 Sb., o hospodaření energií, ve znění pozdějších předpisů.</w:t>
      </w:r>
    </w:p>
    <w:p w:rsidR="009E59BF" w:rsidRDefault="006F7D48" w:rsidP="009E59BF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iCs/>
        </w:rPr>
      </w:pPr>
      <w:r>
        <w:rPr>
          <w:rFonts w:cs="Arial"/>
          <w:iCs/>
        </w:rPr>
        <w:t>Dotace byla přiznána v květnu 2016 částkou 177.150 Kč, přidělené číslo dotace je 122D142006805.</w:t>
      </w:r>
    </w:p>
    <w:p w:rsidR="009E59BF" w:rsidRDefault="006F7D48" w:rsidP="009E59BF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iCs/>
        </w:rPr>
      </w:pPr>
      <w:r>
        <w:rPr>
          <w:rFonts w:cs="Arial"/>
          <w:iCs/>
        </w:rPr>
        <w:t xml:space="preserve">Po dokončení a schválení v zastupitelstvu města </w:t>
      </w:r>
      <w:r w:rsidR="0085497F">
        <w:rPr>
          <w:rFonts w:cs="Arial"/>
          <w:iCs/>
        </w:rPr>
        <w:t xml:space="preserve">v prosinci 2016 </w:t>
      </w:r>
      <w:r>
        <w:rPr>
          <w:rFonts w:cs="Arial"/>
          <w:iCs/>
        </w:rPr>
        <w:t>byla</w:t>
      </w:r>
      <w:r w:rsidRPr="006F7D48">
        <w:rPr>
          <w:rFonts w:cs="Arial"/>
          <w:iCs/>
        </w:rPr>
        <w:t xml:space="preserve"> </w:t>
      </w:r>
      <w:r>
        <w:rPr>
          <w:rFonts w:cs="Arial"/>
          <w:iCs/>
        </w:rPr>
        <w:t>ÚEK ČB zaslána k posouzení na MPO.</w:t>
      </w:r>
    </w:p>
    <w:p w:rsidR="006F7D48" w:rsidRDefault="006F7D48" w:rsidP="009E59BF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iCs/>
        </w:rPr>
      </w:pPr>
      <w:r>
        <w:rPr>
          <w:rFonts w:cs="Arial"/>
          <w:iCs/>
        </w:rPr>
        <w:t xml:space="preserve">MPO zaslalo </w:t>
      </w:r>
      <w:r w:rsidR="00027E56">
        <w:rPr>
          <w:rFonts w:cs="Arial"/>
          <w:iCs/>
        </w:rPr>
        <w:t xml:space="preserve">dne </w:t>
      </w:r>
      <w:r w:rsidR="0085497F">
        <w:rPr>
          <w:rFonts w:cs="Arial"/>
          <w:iCs/>
        </w:rPr>
        <w:t>20. 4. 2017 vyjádření</w:t>
      </w:r>
      <w:r>
        <w:rPr>
          <w:rFonts w:cs="Arial"/>
          <w:iCs/>
        </w:rPr>
        <w:t xml:space="preserve">, ve kterém požadovalo doplnit ÚEK ČB o pasáže vyplývají ze změny nařízení vlády č. </w:t>
      </w:r>
      <w:r w:rsidR="002B6460">
        <w:rPr>
          <w:rFonts w:cs="Arial"/>
          <w:iCs/>
        </w:rPr>
        <w:t>232/2015 Sb. o státní energetické koncepc</w:t>
      </w:r>
      <w:r w:rsidR="00027E56">
        <w:rPr>
          <w:rFonts w:cs="Arial"/>
          <w:iCs/>
        </w:rPr>
        <w:t xml:space="preserve">i a územní energetické koncepci </w:t>
      </w:r>
      <w:r w:rsidR="0085497F">
        <w:t>tak, aby splňovala podmínky dotace, která byla přidělena,</w:t>
      </w:r>
      <w:r w:rsidR="0085497F">
        <w:rPr>
          <w:rFonts w:cs="Arial"/>
          <w:iCs/>
        </w:rPr>
        <w:t xml:space="preserve"> </w:t>
      </w:r>
      <w:r w:rsidR="00027E56">
        <w:rPr>
          <w:rFonts w:cs="Arial"/>
          <w:iCs/>
        </w:rPr>
        <w:t>a dále byly vzneseny připomínky k technickému řešení některých kapitol.</w:t>
      </w:r>
    </w:p>
    <w:p w:rsidR="00027E56" w:rsidRDefault="00027E56" w:rsidP="009E59BF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iCs/>
        </w:rPr>
      </w:pPr>
      <w:r>
        <w:rPr>
          <w:rFonts w:cs="Arial"/>
          <w:iCs/>
        </w:rPr>
        <w:t>V květnu 2017 proběhlo jednání se zástupci MPO</w:t>
      </w:r>
      <w:r w:rsidR="00422E2F">
        <w:rPr>
          <w:rFonts w:cs="Arial"/>
          <w:iCs/>
        </w:rPr>
        <w:t>.</w:t>
      </w:r>
      <w:r>
        <w:rPr>
          <w:rFonts w:cs="Arial"/>
          <w:iCs/>
        </w:rPr>
        <w:t xml:space="preserve"> Zde bylo </w:t>
      </w:r>
      <w:r w:rsidR="00422E2F">
        <w:rPr>
          <w:rFonts w:cs="Arial"/>
          <w:iCs/>
        </w:rPr>
        <w:t>dohodnuto</w:t>
      </w:r>
      <w:r>
        <w:rPr>
          <w:rFonts w:cs="Arial"/>
          <w:iCs/>
        </w:rPr>
        <w:t xml:space="preserve">, že </w:t>
      </w:r>
      <w:r>
        <w:t xml:space="preserve">ÚEK ČB jako taková obsahově splnila očekávání MPO, </w:t>
      </w:r>
      <w:r w:rsidR="0085497F">
        <w:t xml:space="preserve">vznesené </w:t>
      </w:r>
      <w:r>
        <w:t xml:space="preserve">připomínky </w:t>
      </w:r>
      <w:r w:rsidR="0085497F">
        <w:t xml:space="preserve">jsou </w:t>
      </w:r>
      <w:r>
        <w:t>technické</w:t>
      </w:r>
      <w:r w:rsidR="0085497F">
        <w:t>ho rázu, nicméně je potřeba ÚEK ČB upravit.</w:t>
      </w:r>
    </w:p>
    <w:p w:rsidR="00027E56" w:rsidRDefault="00027E56" w:rsidP="009E59BF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iCs/>
        </w:rPr>
      </w:pPr>
      <w:r>
        <w:rPr>
          <w:rFonts w:cs="Arial"/>
          <w:iCs/>
        </w:rPr>
        <w:t xml:space="preserve">Na základě tohoto jednání zpracovatel ÚEK ČB zapracoval změny a následně byla koncepce odeslána na MPO (20. 7. 2017). Dne 10. 8. 2017 bylo zasláno kladné </w:t>
      </w:r>
      <w:r w:rsidR="0085497F">
        <w:rPr>
          <w:rFonts w:cs="Arial"/>
          <w:iCs/>
        </w:rPr>
        <w:t>vyjádření MPO</w:t>
      </w:r>
      <w:r>
        <w:rPr>
          <w:rFonts w:cs="Arial"/>
          <w:iCs/>
        </w:rPr>
        <w:t xml:space="preserve"> k ÚEK České Budějovice.</w:t>
      </w:r>
    </w:p>
    <w:p w:rsidR="00E13162" w:rsidRDefault="00E13162" w:rsidP="00E13162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iCs/>
        </w:rPr>
      </w:pPr>
      <w:r w:rsidRPr="00704534">
        <w:rPr>
          <w:rFonts w:cs="Arial"/>
          <w:iCs/>
        </w:rPr>
        <w:t>Změna územní energetické koncepce byla schválena radou města dne 23. 10. 2017 usnesením č.</w:t>
      </w:r>
      <w:r w:rsidR="00704534" w:rsidRPr="00704534">
        <w:rPr>
          <w:rFonts w:cs="Arial"/>
          <w:iCs/>
        </w:rPr>
        <w:t> 1425</w:t>
      </w:r>
      <w:r w:rsidRPr="00704534">
        <w:rPr>
          <w:rFonts w:cs="Arial"/>
          <w:iCs/>
        </w:rPr>
        <w:t>/2017.</w:t>
      </w:r>
    </w:p>
    <w:p w:rsidR="005601AE" w:rsidRPr="005601AE" w:rsidRDefault="005601AE" w:rsidP="00E13162">
      <w:pPr>
        <w:autoSpaceDE w:val="0"/>
        <w:autoSpaceDN w:val="0"/>
        <w:adjustRightInd w:val="0"/>
        <w:spacing w:before="100" w:after="100" w:line="240" w:lineRule="auto"/>
        <w:jc w:val="both"/>
        <w:rPr>
          <w:rFonts w:cs="Arial"/>
          <w:b/>
          <w:iCs/>
        </w:rPr>
      </w:pPr>
      <w:r w:rsidRPr="005601AE">
        <w:rPr>
          <w:rFonts w:cs="Arial"/>
          <w:b/>
          <w:iCs/>
        </w:rPr>
        <w:t xml:space="preserve">Změny, které byly provedeny dle požadavků MPO, jsou </w:t>
      </w:r>
      <w:r w:rsidR="00A70333">
        <w:rPr>
          <w:rFonts w:cs="Arial"/>
          <w:b/>
          <w:iCs/>
        </w:rPr>
        <w:t xml:space="preserve">v textu </w:t>
      </w:r>
      <w:r w:rsidRPr="005601AE">
        <w:rPr>
          <w:rFonts w:cs="Arial"/>
          <w:b/>
          <w:iCs/>
        </w:rPr>
        <w:t xml:space="preserve">závěrečné </w:t>
      </w:r>
      <w:r>
        <w:rPr>
          <w:rFonts w:cs="Arial"/>
          <w:b/>
          <w:iCs/>
        </w:rPr>
        <w:t>zpráv</w:t>
      </w:r>
      <w:r w:rsidR="00A70333">
        <w:rPr>
          <w:rFonts w:cs="Arial"/>
          <w:b/>
          <w:iCs/>
        </w:rPr>
        <w:t>y</w:t>
      </w:r>
      <w:r>
        <w:rPr>
          <w:rFonts w:cs="Arial"/>
          <w:b/>
          <w:iCs/>
        </w:rPr>
        <w:t xml:space="preserve"> ÚEK ČB modře podbarvené.</w:t>
      </w:r>
      <w:bookmarkStart w:id="0" w:name="_GoBack"/>
      <w:bookmarkEnd w:id="0"/>
    </w:p>
    <w:p w:rsidR="00DB1FA2" w:rsidRDefault="00DB1FA2">
      <w:r>
        <w:br w:type="page"/>
      </w:r>
    </w:p>
    <w:p w:rsidR="00DB1FA2" w:rsidRDefault="005601AE" w:rsidP="00E36ED5">
      <w:pPr>
        <w:spacing w:before="120" w:after="120"/>
        <w:jc w:val="both"/>
        <w:rPr>
          <w:b/>
        </w:rPr>
      </w:pPr>
      <w:r>
        <w:rPr>
          <w:b/>
        </w:rPr>
        <w:lastRenderedPageBreak/>
        <w:t>Přehled z</w:t>
      </w:r>
      <w:r w:rsidR="00DB1FA2" w:rsidRPr="00DB1FA2">
        <w:rPr>
          <w:b/>
        </w:rPr>
        <w:t>měn dle požadavků MPO oproti zprávě schválené zastupitelstvem 12. 12. 2016, č. usnesení 274/2016:</w:t>
      </w:r>
    </w:p>
    <w:p w:rsidR="00422E2F" w:rsidRPr="00422E2F" w:rsidRDefault="00422E2F" w:rsidP="00E36ED5">
      <w:pPr>
        <w:pStyle w:val="Odstavecseseznamem"/>
        <w:numPr>
          <w:ilvl w:val="0"/>
          <w:numId w:val="6"/>
        </w:numPr>
        <w:spacing w:before="120" w:after="120"/>
        <w:contextualSpacing w:val="0"/>
        <w:jc w:val="both"/>
      </w:pPr>
      <w:r w:rsidRPr="00422E2F">
        <w:t>Kapitola 1 – 4 zůstávají beze změn</w:t>
      </w:r>
    </w:p>
    <w:p w:rsidR="009E59BF" w:rsidRDefault="009E59BF" w:rsidP="00E36ED5">
      <w:pPr>
        <w:pStyle w:val="Odstavecseseznamem"/>
        <w:numPr>
          <w:ilvl w:val="0"/>
          <w:numId w:val="6"/>
        </w:numPr>
        <w:spacing w:before="120" w:after="120"/>
        <w:contextualSpacing w:val="0"/>
        <w:jc w:val="both"/>
      </w:pPr>
      <w:r>
        <w:t xml:space="preserve">Nově </w:t>
      </w:r>
      <w:r w:rsidR="00422E2F">
        <w:t xml:space="preserve">vložena </w:t>
      </w:r>
      <w:r>
        <w:t>Kapitola 5 – Základní cíle ÚEK a nástroje k jejich dosažení (str. 11 – 16)</w:t>
      </w:r>
    </w:p>
    <w:p w:rsidR="009E59BF" w:rsidRDefault="009E59BF" w:rsidP="00E36ED5">
      <w:pPr>
        <w:pStyle w:val="Odstavecseseznamem"/>
        <w:numPr>
          <w:ilvl w:val="0"/>
          <w:numId w:val="2"/>
        </w:numPr>
        <w:spacing w:before="120" w:after="120"/>
        <w:ind w:left="1134" w:hanging="425"/>
        <w:contextualSpacing w:val="0"/>
        <w:jc w:val="both"/>
      </w:pPr>
      <w:r>
        <w:t xml:space="preserve">stanovení strategických a operativních cílů v souladu se Státní energetickou koncepcí a s prováděcí </w:t>
      </w:r>
      <w:r w:rsidR="00567DEC">
        <w:t>legislativou – obecné formulace</w:t>
      </w:r>
    </w:p>
    <w:p w:rsidR="009E59BF" w:rsidRDefault="009E59BF" w:rsidP="00E36ED5">
      <w:pPr>
        <w:pStyle w:val="Odstavecseseznamem"/>
        <w:numPr>
          <w:ilvl w:val="0"/>
          <w:numId w:val="2"/>
        </w:numPr>
        <w:spacing w:before="120" w:after="120"/>
        <w:ind w:left="1134" w:hanging="425"/>
        <w:contextualSpacing w:val="0"/>
        <w:jc w:val="both"/>
      </w:pPr>
      <w:r>
        <w:t>stanovení operativních cílů ÚEK pro město České Budějovice – rozčlenění do devíti oblastí</w:t>
      </w:r>
    </w:p>
    <w:p w:rsidR="00422E2F" w:rsidRDefault="00422E2F" w:rsidP="00E36ED5">
      <w:pPr>
        <w:pStyle w:val="Odstavecseseznamem"/>
        <w:numPr>
          <w:ilvl w:val="0"/>
          <w:numId w:val="6"/>
        </w:numPr>
        <w:spacing w:before="120" w:after="120"/>
        <w:contextualSpacing w:val="0"/>
        <w:jc w:val="both"/>
      </w:pPr>
      <w:r>
        <w:t>Kapitola 5 - Legislativa - přečíslována na 6</w:t>
      </w:r>
    </w:p>
    <w:p w:rsidR="00422E2F" w:rsidRDefault="00422E2F" w:rsidP="00E36ED5">
      <w:pPr>
        <w:pStyle w:val="Odstavecseseznamem"/>
        <w:numPr>
          <w:ilvl w:val="0"/>
          <w:numId w:val="6"/>
        </w:numPr>
        <w:spacing w:before="120" w:after="120"/>
        <w:contextualSpacing w:val="0"/>
        <w:jc w:val="both"/>
      </w:pPr>
      <w:r>
        <w:t>Kapitola 6 – Vymezení území - přečíslována na 7</w:t>
      </w:r>
    </w:p>
    <w:p w:rsidR="00422E2F" w:rsidRDefault="00422E2F" w:rsidP="00E36ED5">
      <w:pPr>
        <w:pStyle w:val="Odstavecseseznamem"/>
        <w:numPr>
          <w:ilvl w:val="0"/>
          <w:numId w:val="6"/>
        </w:numPr>
        <w:spacing w:before="120" w:after="120"/>
        <w:contextualSpacing w:val="0"/>
        <w:jc w:val="both"/>
      </w:pPr>
      <w:r>
        <w:t>Kapitola 7 – rozbor trendů vývoje poptávek po energii - přečíslována na 8</w:t>
      </w:r>
    </w:p>
    <w:p w:rsidR="009E59BF" w:rsidRDefault="009E59BF" w:rsidP="00E36ED5">
      <w:pPr>
        <w:pStyle w:val="Odstavecseseznamem"/>
        <w:numPr>
          <w:ilvl w:val="0"/>
          <w:numId w:val="6"/>
        </w:numPr>
        <w:spacing w:before="120" w:after="120"/>
        <w:contextualSpacing w:val="0"/>
        <w:jc w:val="both"/>
      </w:pPr>
      <w:r>
        <w:t xml:space="preserve">Kapitola </w:t>
      </w:r>
      <w:r w:rsidR="00422E2F">
        <w:t>8</w:t>
      </w:r>
      <w:r>
        <w:t xml:space="preserve"> - Zásobování energií</w:t>
      </w:r>
      <w:r w:rsidR="00422E2F">
        <w:t xml:space="preserve"> – přečíslována na 9, současně:</w:t>
      </w:r>
    </w:p>
    <w:p w:rsidR="009E59BF" w:rsidRDefault="009E59BF" w:rsidP="00E36ED5">
      <w:pPr>
        <w:pStyle w:val="Odstavecseseznamem"/>
        <w:numPr>
          <w:ilvl w:val="0"/>
          <w:numId w:val="2"/>
        </w:numPr>
        <w:spacing w:before="120" w:after="120"/>
        <w:ind w:left="1134" w:hanging="425"/>
        <w:contextualSpacing w:val="0"/>
        <w:jc w:val="both"/>
      </w:pPr>
      <w:r>
        <w:t>doplněna závěrečná shrnutí u jednotlivých podkapitol</w:t>
      </w:r>
      <w:r w:rsidR="00E36ED5">
        <w:t xml:space="preserve"> a grafy spotřeb energie</w:t>
      </w:r>
    </w:p>
    <w:p w:rsidR="009E59BF" w:rsidRDefault="001E3FFC" w:rsidP="00E36ED5">
      <w:pPr>
        <w:pStyle w:val="Odstavecseseznamem"/>
        <w:numPr>
          <w:ilvl w:val="0"/>
          <w:numId w:val="2"/>
        </w:numPr>
        <w:spacing w:before="120" w:after="120"/>
        <w:ind w:left="1134" w:hanging="425"/>
        <w:contextualSpacing w:val="0"/>
        <w:jc w:val="both"/>
      </w:pPr>
      <w:r>
        <w:t xml:space="preserve">vložena </w:t>
      </w:r>
      <w:r w:rsidR="009E59BF">
        <w:t>kapitol</w:t>
      </w:r>
      <w:r>
        <w:t>a 9.</w:t>
      </w:r>
      <w:r w:rsidR="001D2E66">
        <w:t>4</w:t>
      </w:r>
      <w:r w:rsidR="009E59BF">
        <w:t xml:space="preserve"> –</w:t>
      </w:r>
      <w:r>
        <w:t xml:space="preserve"> </w:t>
      </w:r>
      <w:r w:rsidR="009E59BF">
        <w:t xml:space="preserve">Technické řešení rozvoje </w:t>
      </w:r>
      <w:r>
        <w:t xml:space="preserve">Centrálního zdroje </w:t>
      </w:r>
      <w:r w:rsidR="009E59BF">
        <w:t>CZT</w:t>
      </w:r>
      <w:r>
        <w:t xml:space="preserve"> a 9.5 - </w:t>
      </w:r>
      <w:r w:rsidR="009E59BF">
        <w:t>Legislativní souvislosti s odpojováním od systému CZT, které byly původně v kapitole 11 – Řešení e</w:t>
      </w:r>
      <w:r w:rsidR="00567DEC">
        <w:t>nergetického hospodářství území</w:t>
      </w:r>
    </w:p>
    <w:p w:rsidR="001E3FFC" w:rsidRDefault="001E3FFC" w:rsidP="00E36ED5">
      <w:pPr>
        <w:pStyle w:val="Odstavecseseznamem"/>
        <w:numPr>
          <w:ilvl w:val="0"/>
          <w:numId w:val="2"/>
        </w:numPr>
        <w:spacing w:before="120" w:after="120"/>
        <w:ind w:left="1134" w:hanging="425"/>
        <w:contextualSpacing w:val="0"/>
        <w:jc w:val="both"/>
      </w:pPr>
      <w:r>
        <w:t xml:space="preserve">ostatní kapitoly </w:t>
      </w:r>
      <w:r w:rsidR="00567DEC">
        <w:t xml:space="preserve">- </w:t>
      </w:r>
      <w:r>
        <w:t>původně 8.4 – 8.8 přečíslovány na 9.6 – 9.9</w:t>
      </w:r>
    </w:p>
    <w:p w:rsidR="009E59BF" w:rsidRDefault="009E59BF" w:rsidP="00E36ED5">
      <w:pPr>
        <w:pStyle w:val="Odstavecseseznamem"/>
        <w:numPr>
          <w:ilvl w:val="0"/>
          <w:numId w:val="2"/>
        </w:numPr>
        <w:spacing w:before="120" w:after="120"/>
        <w:ind w:left="1134" w:hanging="425"/>
        <w:contextualSpacing w:val="0"/>
        <w:jc w:val="both"/>
      </w:pPr>
      <w:r>
        <w:t xml:space="preserve">v kapitole 9.6 </w:t>
      </w:r>
      <w:r w:rsidR="00E36ED5">
        <w:t xml:space="preserve">- </w:t>
      </w:r>
      <w:r>
        <w:t xml:space="preserve">Decentrální zásobování teplem </w:t>
      </w:r>
      <w:r w:rsidR="00E36ED5">
        <w:t xml:space="preserve">- </w:t>
      </w:r>
      <w:r>
        <w:t>byly upraveny tabulky REZZO 1 a 2 (je v n</w:t>
      </w:r>
      <w:r w:rsidR="00567DEC">
        <w:t>ich zahrnuto pouze území města)</w:t>
      </w:r>
    </w:p>
    <w:p w:rsidR="00E36ED5" w:rsidRDefault="00E36ED5" w:rsidP="00E36ED5">
      <w:pPr>
        <w:pStyle w:val="Odstavecseseznamem"/>
        <w:numPr>
          <w:ilvl w:val="0"/>
          <w:numId w:val="2"/>
        </w:numPr>
        <w:spacing w:before="120" w:after="120"/>
        <w:ind w:left="1134" w:hanging="425"/>
        <w:contextualSpacing w:val="0"/>
        <w:jc w:val="both"/>
      </w:pPr>
      <w:r>
        <w:t>v kapitole 9.8 – Obnovitelné zdroje energie – doplněno shrnutí jednotlivých podkapitol</w:t>
      </w:r>
    </w:p>
    <w:p w:rsidR="00422E2F" w:rsidRDefault="00422E2F" w:rsidP="00E36ED5">
      <w:pPr>
        <w:pStyle w:val="Odstavecseseznamem"/>
        <w:numPr>
          <w:ilvl w:val="0"/>
          <w:numId w:val="6"/>
        </w:numPr>
        <w:spacing w:before="120" w:after="120"/>
        <w:contextualSpacing w:val="0"/>
        <w:jc w:val="both"/>
      </w:pPr>
      <w:r>
        <w:t>Kapitola 9 – Energetický management města – přečíslována na 10</w:t>
      </w:r>
    </w:p>
    <w:p w:rsidR="00422E2F" w:rsidRDefault="00422E2F" w:rsidP="00E36ED5">
      <w:pPr>
        <w:pStyle w:val="Odstavecseseznamem"/>
        <w:numPr>
          <w:ilvl w:val="0"/>
          <w:numId w:val="6"/>
        </w:numPr>
        <w:spacing w:before="120" w:after="120"/>
        <w:contextualSpacing w:val="0"/>
        <w:jc w:val="both"/>
      </w:pPr>
      <w:r>
        <w:t>Kapitola 10 – Energetická bilance – přečíslována na 11 a současně:</w:t>
      </w:r>
    </w:p>
    <w:p w:rsidR="00422E2F" w:rsidRDefault="0057078B" w:rsidP="00E36ED5">
      <w:pPr>
        <w:pStyle w:val="Odstavecseseznamem"/>
        <w:numPr>
          <w:ilvl w:val="0"/>
          <w:numId w:val="2"/>
        </w:numPr>
        <w:spacing w:before="120" w:after="120"/>
        <w:ind w:left="1134" w:hanging="425"/>
        <w:contextualSpacing w:val="0"/>
        <w:jc w:val="both"/>
      </w:pPr>
      <w:r>
        <w:t>r</w:t>
      </w:r>
      <w:r w:rsidR="00422E2F">
        <w:t>ozdělení původního textu na dvě podkapitoly</w:t>
      </w:r>
      <w:r>
        <w:t xml:space="preserve"> 11.1 – Energetická bilance města a 11.2 – Energetická bilance objektů v majetku statutárního města</w:t>
      </w:r>
    </w:p>
    <w:p w:rsidR="009E59BF" w:rsidRDefault="009E59BF" w:rsidP="00E36ED5">
      <w:pPr>
        <w:pStyle w:val="Odstavecseseznamem"/>
        <w:numPr>
          <w:ilvl w:val="0"/>
          <w:numId w:val="2"/>
        </w:numPr>
        <w:spacing w:before="120" w:after="120"/>
        <w:ind w:left="1134" w:hanging="425"/>
        <w:contextualSpacing w:val="0"/>
        <w:jc w:val="both"/>
      </w:pPr>
      <w:r>
        <w:t>doplněny grafy pro</w:t>
      </w:r>
      <w:r w:rsidR="00567DEC">
        <w:t xml:space="preserve"> lepší orientaci v problematice</w:t>
      </w:r>
    </w:p>
    <w:p w:rsidR="0057078B" w:rsidRDefault="0057078B" w:rsidP="00E36ED5">
      <w:pPr>
        <w:pStyle w:val="Odstavecseseznamem"/>
        <w:numPr>
          <w:ilvl w:val="0"/>
          <w:numId w:val="6"/>
        </w:numPr>
        <w:spacing w:before="120" w:after="120"/>
        <w:contextualSpacing w:val="0"/>
        <w:jc w:val="both"/>
      </w:pPr>
      <w:r>
        <w:t>Kapitola 11 – Řešení energetického hospodářst</w:t>
      </w:r>
      <w:r w:rsidR="00EE6F21">
        <w:t>ví území – přesunuta do kapitol</w:t>
      </w:r>
      <w:r>
        <w:t xml:space="preserve"> 9.</w:t>
      </w:r>
      <w:r w:rsidR="00EE6F21">
        <w:t>4</w:t>
      </w:r>
      <w:r>
        <w:t xml:space="preserve"> </w:t>
      </w:r>
      <w:r w:rsidR="00EE6F21">
        <w:t xml:space="preserve">a 9.5 </w:t>
      </w:r>
      <w:r>
        <w:t>– viz.</w:t>
      </w:r>
      <w:r w:rsidR="00112255">
        <w:t> </w:t>
      </w:r>
      <w:proofErr w:type="gramStart"/>
      <w:r>
        <w:t>bod</w:t>
      </w:r>
      <w:proofErr w:type="gramEnd"/>
      <w:r w:rsidR="00112255">
        <w:t> </w:t>
      </w:r>
      <w:r>
        <w:t>6</w:t>
      </w:r>
    </w:p>
    <w:p w:rsidR="009E59BF" w:rsidRDefault="009E59BF" w:rsidP="00E36ED5">
      <w:pPr>
        <w:pStyle w:val="Odstavecseseznamem"/>
        <w:numPr>
          <w:ilvl w:val="0"/>
          <w:numId w:val="6"/>
        </w:numPr>
        <w:spacing w:before="120" w:after="120"/>
        <w:contextualSpacing w:val="0"/>
        <w:jc w:val="both"/>
      </w:pPr>
      <w:r>
        <w:t xml:space="preserve">Nově </w:t>
      </w:r>
      <w:r w:rsidR="00112255">
        <w:t xml:space="preserve">vložena </w:t>
      </w:r>
      <w:r>
        <w:t>Kapitola 12 – Hodnocení technicky a ekonomicky dosažitelných úspor a potenciál využití OZE</w:t>
      </w:r>
      <w:r w:rsidR="0057078B">
        <w:t xml:space="preserve"> (str. </w:t>
      </w:r>
      <w:r w:rsidR="00112255">
        <w:t>171 – 172)</w:t>
      </w:r>
    </w:p>
    <w:p w:rsidR="0057078B" w:rsidRDefault="0057078B" w:rsidP="00E36ED5">
      <w:pPr>
        <w:pStyle w:val="Odstavecseseznamem"/>
        <w:numPr>
          <w:ilvl w:val="0"/>
          <w:numId w:val="2"/>
        </w:numPr>
        <w:spacing w:before="120" w:after="120"/>
        <w:ind w:left="1134" w:hanging="425"/>
        <w:contextualSpacing w:val="0"/>
        <w:jc w:val="both"/>
      </w:pPr>
      <w:r>
        <w:t>vložena mezi kapitoly Energetická bilance a Návrh energeticky úsporných opatření</w:t>
      </w:r>
    </w:p>
    <w:p w:rsidR="009E59BF" w:rsidRDefault="009E59BF" w:rsidP="00E36ED5">
      <w:pPr>
        <w:pStyle w:val="Odstavecseseznamem"/>
        <w:numPr>
          <w:ilvl w:val="0"/>
          <w:numId w:val="2"/>
        </w:numPr>
        <w:spacing w:before="120" w:after="120"/>
        <w:ind w:left="1134" w:hanging="425"/>
        <w:contextualSpacing w:val="0"/>
        <w:jc w:val="both"/>
      </w:pPr>
      <w:r>
        <w:t>obecné formulace, vyčíslení možných úspor v jednotlivých sektorech (bydlení, veřejný sektor, podnikatelský sektor, výroba a rozvod energie)</w:t>
      </w:r>
    </w:p>
    <w:p w:rsidR="0057078B" w:rsidRDefault="0057078B" w:rsidP="00E36ED5">
      <w:pPr>
        <w:pStyle w:val="Odstavecseseznamem"/>
        <w:numPr>
          <w:ilvl w:val="0"/>
          <w:numId w:val="6"/>
        </w:numPr>
        <w:spacing w:before="120" w:after="120"/>
        <w:contextualSpacing w:val="0"/>
        <w:jc w:val="both"/>
      </w:pPr>
      <w:r>
        <w:t>Kapitola 12 – Návrh energeticky úsporných opatření – přečíslována na 13</w:t>
      </w:r>
    </w:p>
    <w:p w:rsidR="0057078B" w:rsidRDefault="0057078B" w:rsidP="00E36ED5">
      <w:pPr>
        <w:pStyle w:val="Odstavecseseznamem"/>
        <w:numPr>
          <w:ilvl w:val="0"/>
          <w:numId w:val="6"/>
        </w:numPr>
        <w:spacing w:before="120" w:after="120"/>
        <w:contextualSpacing w:val="0"/>
        <w:jc w:val="both"/>
      </w:pPr>
      <w:r>
        <w:t>Kapitola 13 – Financování energetických úspor – přečíslována na 14</w:t>
      </w:r>
    </w:p>
    <w:p w:rsidR="009E59BF" w:rsidRDefault="009E59BF" w:rsidP="00E36ED5">
      <w:pPr>
        <w:pStyle w:val="Odstavecseseznamem"/>
        <w:numPr>
          <w:ilvl w:val="0"/>
          <w:numId w:val="6"/>
        </w:numPr>
        <w:spacing w:before="120" w:after="120"/>
        <w:contextualSpacing w:val="0"/>
        <w:jc w:val="both"/>
      </w:pPr>
      <w:r>
        <w:t>Kapitola 1</w:t>
      </w:r>
      <w:r w:rsidR="0057078B">
        <w:t>4</w:t>
      </w:r>
      <w:r>
        <w:t xml:space="preserve"> – Závěrečná doporučení</w:t>
      </w:r>
      <w:r w:rsidR="0057078B">
        <w:t xml:space="preserve"> – přečíslována na 15 a současně:</w:t>
      </w:r>
    </w:p>
    <w:p w:rsidR="009E59BF" w:rsidRDefault="009E59BF" w:rsidP="00E36ED5">
      <w:pPr>
        <w:pStyle w:val="Odstavecseseznamem"/>
        <w:numPr>
          <w:ilvl w:val="0"/>
          <w:numId w:val="2"/>
        </w:numPr>
        <w:spacing w:before="120" w:after="120"/>
        <w:ind w:left="1134" w:hanging="425"/>
        <w:contextualSpacing w:val="0"/>
        <w:jc w:val="both"/>
      </w:pPr>
      <w:r>
        <w:t>kapitola byla přeformulována tak, aby odpovídala oblastem operativních cílů stanovených v kapitole</w:t>
      </w:r>
      <w:r w:rsidR="00567DEC">
        <w:t xml:space="preserve"> 5, doporučení zůstávají stejná</w:t>
      </w:r>
    </w:p>
    <w:p w:rsidR="00A33C85" w:rsidRDefault="0057078B" w:rsidP="00E36ED5">
      <w:pPr>
        <w:spacing w:before="120" w:after="120"/>
        <w:contextualSpacing/>
        <w:jc w:val="both"/>
      </w:pPr>
      <w:r>
        <w:t>Přílohová část zůstává beze změn.</w:t>
      </w:r>
    </w:p>
    <w:sectPr w:rsidR="00A33C8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FA2" w:rsidRDefault="00DB1FA2" w:rsidP="00DB1FA2">
      <w:pPr>
        <w:spacing w:after="0" w:line="240" w:lineRule="auto"/>
      </w:pPr>
      <w:r>
        <w:separator/>
      </w:r>
    </w:p>
  </w:endnote>
  <w:endnote w:type="continuationSeparator" w:id="0">
    <w:p w:rsidR="00DB1FA2" w:rsidRDefault="00DB1FA2" w:rsidP="00DB1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6476942"/>
      <w:docPartObj>
        <w:docPartGallery w:val="Page Numbers (Bottom of Page)"/>
        <w:docPartUnique/>
      </w:docPartObj>
    </w:sdtPr>
    <w:sdtEndPr/>
    <w:sdtContent>
      <w:p w:rsidR="00DB1FA2" w:rsidRDefault="00DB1FA2">
        <w:pPr>
          <w:pStyle w:val="Zpat"/>
          <w:jc w:val="right"/>
        </w:pPr>
        <w:r w:rsidRPr="00DB1FA2">
          <w:rPr>
            <w:sz w:val="18"/>
            <w:szCs w:val="18"/>
          </w:rPr>
          <w:fldChar w:fldCharType="begin"/>
        </w:r>
        <w:r w:rsidRPr="00DB1FA2">
          <w:rPr>
            <w:sz w:val="18"/>
            <w:szCs w:val="18"/>
          </w:rPr>
          <w:instrText>PAGE   \* MERGEFORMAT</w:instrText>
        </w:r>
        <w:r w:rsidRPr="00DB1FA2">
          <w:rPr>
            <w:sz w:val="18"/>
            <w:szCs w:val="18"/>
          </w:rPr>
          <w:fldChar w:fldCharType="separate"/>
        </w:r>
        <w:r w:rsidR="00A70333">
          <w:rPr>
            <w:noProof/>
            <w:sz w:val="18"/>
            <w:szCs w:val="18"/>
          </w:rPr>
          <w:t>1</w:t>
        </w:r>
        <w:r w:rsidRPr="00DB1FA2">
          <w:rPr>
            <w:sz w:val="18"/>
            <w:szCs w:val="18"/>
          </w:rPr>
          <w:fldChar w:fldCharType="end"/>
        </w:r>
      </w:p>
    </w:sdtContent>
  </w:sdt>
  <w:p w:rsidR="00DB1FA2" w:rsidRDefault="00DB1F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FA2" w:rsidRDefault="00DB1FA2" w:rsidP="00DB1FA2">
      <w:pPr>
        <w:spacing w:after="0" w:line="240" w:lineRule="auto"/>
      </w:pPr>
      <w:r>
        <w:separator/>
      </w:r>
    </w:p>
  </w:footnote>
  <w:footnote w:type="continuationSeparator" w:id="0">
    <w:p w:rsidR="00DB1FA2" w:rsidRDefault="00DB1FA2" w:rsidP="00DB1F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AE7A1F24"/>
    <w:lvl w:ilvl="0">
      <w:start w:val="1"/>
      <w:numFmt w:val="bullet"/>
      <w:pStyle w:val="Seznamsodrkami5"/>
      <w:lvlText w:val=""/>
      <w:lvlJc w:val="left"/>
      <w:pPr>
        <w:ind w:left="2345" w:hanging="360"/>
      </w:pPr>
      <w:rPr>
        <w:rFonts w:ascii="Wingdings" w:hAnsi="Wingdings" w:hint="default"/>
      </w:rPr>
    </w:lvl>
  </w:abstractNum>
  <w:abstractNum w:abstractNumId="1" w15:restartNumberingAfterBreak="0">
    <w:nsid w:val="01053EEA"/>
    <w:multiLevelType w:val="hybridMultilevel"/>
    <w:tmpl w:val="A32202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E0C14"/>
    <w:multiLevelType w:val="hybridMultilevel"/>
    <w:tmpl w:val="2E086F56"/>
    <w:lvl w:ilvl="0" w:tplc="040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" w15:restartNumberingAfterBreak="0">
    <w:nsid w:val="151A3949"/>
    <w:multiLevelType w:val="hybridMultilevel"/>
    <w:tmpl w:val="EE1A0C4E"/>
    <w:lvl w:ilvl="0" w:tplc="0405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4D0F0AE8"/>
    <w:multiLevelType w:val="hybridMultilevel"/>
    <w:tmpl w:val="0D84D5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7B440F"/>
    <w:multiLevelType w:val="hybridMultilevel"/>
    <w:tmpl w:val="892029CC"/>
    <w:lvl w:ilvl="0" w:tplc="040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6" w15:restartNumberingAfterBreak="0">
    <w:nsid w:val="731841DE"/>
    <w:multiLevelType w:val="hybridMultilevel"/>
    <w:tmpl w:val="E28226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9BF"/>
    <w:rsid w:val="00027E56"/>
    <w:rsid w:val="000F6018"/>
    <w:rsid w:val="00112255"/>
    <w:rsid w:val="001D2E66"/>
    <w:rsid w:val="001E3FFC"/>
    <w:rsid w:val="002B6460"/>
    <w:rsid w:val="00422E2F"/>
    <w:rsid w:val="00425FA3"/>
    <w:rsid w:val="00527C68"/>
    <w:rsid w:val="005601AE"/>
    <w:rsid w:val="00567DEC"/>
    <w:rsid w:val="0057078B"/>
    <w:rsid w:val="0068191E"/>
    <w:rsid w:val="006F7D48"/>
    <w:rsid w:val="00704534"/>
    <w:rsid w:val="00735280"/>
    <w:rsid w:val="0085497F"/>
    <w:rsid w:val="009138B4"/>
    <w:rsid w:val="009E59BF"/>
    <w:rsid w:val="00A33C85"/>
    <w:rsid w:val="00A70333"/>
    <w:rsid w:val="00DB1FA2"/>
    <w:rsid w:val="00E13162"/>
    <w:rsid w:val="00E36ED5"/>
    <w:rsid w:val="00EE6F21"/>
    <w:rsid w:val="00F9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35AB30-7BE0-45A5-96EC-1E830C90C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E59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59BF"/>
    <w:pPr>
      <w:ind w:left="720"/>
      <w:contextualSpacing/>
    </w:pPr>
  </w:style>
  <w:style w:type="paragraph" w:styleId="Seznamsodrkami5">
    <w:name w:val="List Bullet 5"/>
    <w:basedOn w:val="Normln"/>
    <w:rsid w:val="009E59BF"/>
    <w:pPr>
      <w:numPr>
        <w:numId w:val="3"/>
      </w:numPr>
      <w:spacing w:after="180" w:line="264" w:lineRule="auto"/>
    </w:pPr>
    <w:rPr>
      <w:rFonts w:ascii="Tw Cen MT" w:eastAsia="Times New Roman" w:hAnsi="Tw Cen MT" w:cs="Tw Cen MT"/>
      <w:kern w:val="24"/>
      <w:sz w:val="23"/>
      <w:szCs w:val="23"/>
    </w:rPr>
  </w:style>
  <w:style w:type="paragraph" w:styleId="Zhlav">
    <w:name w:val="header"/>
    <w:basedOn w:val="Normln"/>
    <w:link w:val="ZhlavChar"/>
    <w:uiPriority w:val="99"/>
    <w:unhideWhenUsed/>
    <w:rsid w:val="00DB1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B1FA2"/>
  </w:style>
  <w:style w:type="paragraph" w:styleId="Zpat">
    <w:name w:val="footer"/>
    <w:basedOn w:val="Normln"/>
    <w:link w:val="ZpatChar"/>
    <w:uiPriority w:val="99"/>
    <w:unhideWhenUsed/>
    <w:rsid w:val="00DB1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B1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833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Zapletalová Martina</dc:creator>
  <cp:keywords/>
  <dc:description/>
  <cp:lastModifiedBy>Zapletalová Martina</cp:lastModifiedBy>
  <cp:revision>5</cp:revision>
  <dcterms:created xsi:type="dcterms:W3CDTF">2017-10-23T09:41:00Z</dcterms:created>
  <dcterms:modified xsi:type="dcterms:W3CDTF">2017-10-26T07:13:00Z</dcterms:modified>
</cp:coreProperties>
</file>