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D1" w:rsidRPr="00520D3D" w:rsidRDefault="00BE5260" w:rsidP="00520D3D">
      <w:pPr>
        <w:spacing w:after="120"/>
        <w:jc w:val="both"/>
        <w:rPr>
          <w:b/>
          <w:sz w:val="28"/>
          <w:szCs w:val="28"/>
        </w:rPr>
      </w:pPr>
      <w:r w:rsidRPr="00520D3D">
        <w:rPr>
          <w:b/>
          <w:sz w:val="28"/>
          <w:szCs w:val="28"/>
        </w:rPr>
        <w:t>Příloha č. 1</w:t>
      </w:r>
      <w:r w:rsidR="00232ED1" w:rsidRPr="00520D3D">
        <w:rPr>
          <w:b/>
          <w:sz w:val="28"/>
          <w:szCs w:val="28"/>
        </w:rPr>
        <w:t xml:space="preserve"> – </w:t>
      </w:r>
      <w:r w:rsidR="00520D3D" w:rsidRPr="00520D3D">
        <w:rPr>
          <w:b/>
          <w:sz w:val="28"/>
          <w:szCs w:val="28"/>
        </w:rPr>
        <w:t>Změny strategie – podrobný popis a zdůvodnění</w:t>
      </w:r>
    </w:p>
    <w:p w:rsidR="006E1393" w:rsidRPr="00520D3D" w:rsidRDefault="00825989" w:rsidP="006E1393">
      <w:pPr>
        <w:spacing w:after="0"/>
        <w:jc w:val="both"/>
        <w:rPr>
          <w:b/>
          <w:sz w:val="24"/>
          <w:szCs w:val="24"/>
        </w:rPr>
      </w:pPr>
      <w:r w:rsidRPr="00520D3D">
        <w:rPr>
          <w:b/>
          <w:sz w:val="24"/>
          <w:szCs w:val="24"/>
        </w:rPr>
        <w:t xml:space="preserve">Změna č. 1 </w:t>
      </w:r>
      <w:r w:rsidR="006E1393" w:rsidRPr="00520D3D">
        <w:rPr>
          <w:b/>
          <w:sz w:val="24"/>
          <w:szCs w:val="24"/>
        </w:rPr>
        <w:t xml:space="preserve">Integrovaného plánu rozvoje území České Budějovice </w:t>
      </w:r>
    </w:p>
    <w:tbl>
      <w:tblPr>
        <w:tblStyle w:val="Mkatabulky"/>
        <w:tblW w:w="0" w:type="auto"/>
        <w:tblLook w:val="04A0" w:firstRow="1" w:lastRow="0" w:firstColumn="1" w:lastColumn="0" w:noHBand="0" w:noVBand="1"/>
      </w:tblPr>
      <w:tblGrid>
        <w:gridCol w:w="633"/>
        <w:gridCol w:w="2613"/>
        <w:gridCol w:w="997"/>
        <w:gridCol w:w="3914"/>
        <w:gridCol w:w="5837"/>
      </w:tblGrid>
      <w:tr w:rsidR="006E1393" w:rsidRPr="00D5736E" w:rsidTr="003D3EF2">
        <w:trPr>
          <w:trHeight w:val="785"/>
        </w:trPr>
        <w:tc>
          <w:tcPr>
            <w:tcW w:w="0" w:type="auto"/>
            <w:shd w:val="clear" w:color="auto" w:fill="F2F2F2" w:themeFill="background1" w:themeFillShade="F2"/>
            <w:vAlign w:val="center"/>
          </w:tcPr>
          <w:p w:rsidR="006E1393" w:rsidRPr="00D5736E" w:rsidRDefault="006E1393" w:rsidP="00D5736E">
            <w:pPr>
              <w:spacing w:after="0" w:line="240" w:lineRule="auto"/>
              <w:jc w:val="center"/>
              <w:rPr>
                <w:b/>
                <w:sz w:val="20"/>
                <w:szCs w:val="20"/>
              </w:rPr>
            </w:pPr>
            <w:r w:rsidRPr="00D5736E">
              <w:rPr>
                <w:b/>
                <w:sz w:val="20"/>
                <w:szCs w:val="20"/>
              </w:rPr>
              <w:t>Str.</w:t>
            </w:r>
          </w:p>
        </w:tc>
        <w:tc>
          <w:tcPr>
            <w:tcW w:w="0" w:type="auto"/>
            <w:shd w:val="clear" w:color="auto" w:fill="F2F2F2" w:themeFill="background1" w:themeFillShade="F2"/>
            <w:vAlign w:val="center"/>
          </w:tcPr>
          <w:p w:rsidR="006E1393" w:rsidRPr="00D5736E" w:rsidRDefault="006E1393" w:rsidP="00D5736E">
            <w:pPr>
              <w:spacing w:after="0" w:line="240" w:lineRule="auto"/>
              <w:jc w:val="center"/>
              <w:rPr>
                <w:b/>
                <w:sz w:val="20"/>
                <w:szCs w:val="20"/>
              </w:rPr>
            </w:pPr>
            <w:r w:rsidRPr="00D5736E">
              <w:rPr>
                <w:b/>
                <w:sz w:val="20"/>
                <w:szCs w:val="20"/>
              </w:rPr>
              <w:t>Opatření strategie (obsahující změnu)</w:t>
            </w:r>
          </w:p>
        </w:tc>
        <w:tc>
          <w:tcPr>
            <w:tcW w:w="0" w:type="auto"/>
            <w:shd w:val="clear" w:color="auto" w:fill="F2F2F2" w:themeFill="background1" w:themeFillShade="F2"/>
            <w:vAlign w:val="center"/>
          </w:tcPr>
          <w:p w:rsidR="006E1393" w:rsidRPr="00D5736E" w:rsidRDefault="006E1393" w:rsidP="00D5736E">
            <w:pPr>
              <w:spacing w:after="0" w:line="240" w:lineRule="auto"/>
              <w:jc w:val="center"/>
              <w:rPr>
                <w:b/>
                <w:sz w:val="20"/>
                <w:szCs w:val="20"/>
              </w:rPr>
            </w:pPr>
            <w:r w:rsidRPr="00D5736E">
              <w:rPr>
                <w:b/>
                <w:sz w:val="20"/>
                <w:szCs w:val="20"/>
              </w:rPr>
              <w:t>Operační</w:t>
            </w:r>
          </w:p>
          <w:p w:rsidR="006E1393" w:rsidRPr="00D5736E" w:rsidRDefault="006E1393" w:rsidP="00D5736E">
            <w:pPr>
              <w:spacing w:after="0" w:line="240" w:lineRule="auto"/>
              <w:jc w:val="center"/>
              <w:rPr>
                <w:b/>
                <w:sz w:val="20"/>
                <w:szCs w:val="20"/>
              </w:rPr>
            </w:pPr>
            <w:r w:rsidRPr="00D5736E">
              <w:rPr>
                <w:b/>
                <w:sz w:val="20"/>
                <w:szCs w:val="20"/>
              </w:rPr>
              <w:t>program</w:t>
            </w:r>
          </w:p>
        </w:tc>
        <w:tc>
          <w:tcPr>
            <w:tcW w:w="0" w:type="auto"/>
            <w:shd w:val="clear" w:color="auto" w:fill="F2F2F2" w:themeFill="background1" w:themeFillShade="F2"/>
            <w:vAlign w:val="center"/>
          </w:tcPr>
          <w:p w:rsidR="006E1393" w:rsidRPr="00D5736E" w:rsidRDefault="006E1393" w:rsidP="00D5736E">
            <w:pPr>
              <w:spacing w:after="0" w:line="240" w:lineRule="auto"/>
              <w:jc w:val="center"/>
              <w:rPr>
                <w:b/>
                <w:sz w:val="20"/>
                <w:szCs w:val="20"/>
              </w:rPr>
            </w:pPr>
            <w:r w:rsidRPr="00D5736E">
              <w:rPr>
                <w:b/>
                <w:sz w:val="20"/>
                <w:szCs w:val="20"/>
              </w:rPr>
              <w:t>Popis změny</w:t>
            </w:r>
          </w:p>
        </w:tc>
        <w:tc>
          <w:tcPr>
            <w:tcW w:w="0" w:type="auto"/>
            <w:shd w:val="clear" w:color="auto" w:fill="F2F2F2" w:themeFill="background1" w:themeFillShade="F2"/>
            <w:vAlign w:val="center"/>
          </w:tcPr>
          <w:p w:rsidR="006E1393" w:rsidRPr="00D5736E" w:rsidRDefault="006E1393" w:rsidP="00D5736E">
            <w:pPr>
              <w:spacing w:after="0" w:line="240" w:lineRule="auto"/>
              <w:jc w:val="center"/>
              <w:rPr>
                <w:b/>
                <w:sz w:val="20"/>
                <w:szCs w:val="20"/>
              </w:rPr>
            </w:pPr>
            <w:r w:rsidRPr="00D5736E">
              <w:rPr>
                <w:b/>
                <w:sz w:val="20"/>
                <w:szCs w:val="20"/>
              </w:rPr>
              <w:t>Komentář, zdůvodnění</w:t>
            </w:r>
          </w:p>
        </w:tc>
      </w:tr>
      <w:tr w:rsidR="006E1393" w:rsidRPr="00D5736E" w:rsidTr="003D3EF2">
        <w:trPr>
          <w:trHeight w:val="273"/>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162 - 170</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1.1.1</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Zavedení systému dopravně závislého řízení dopravy (telematika)</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OP Doprava</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2.3</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Odstranění částky v kolonce Národní veřejné zdroje (SR, SF) a navýšení finanční částky v kolonce Vlastní zdroje příjemce v celkovém finančním plánu a v jednotlivých letech 2017 až 2023. Celková částka za období 2017 – 2023 ve výši 14 746 880,00 Kč.</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Ve fázi fináln</w:t>
            </w:r>
            <w:r w:rsidR="00E360D7" w:rsidRPr="00D5736E">
              <w:rPr>
                <w:rFonts w:cstheme="minorHAnsi"/>
                <w:sz w:val="20"/>
                <w:szCs w:val="20"/>
              </w:rPr>
              <w:t>ího schválení strategie (2015) Ř</w:t>
            </w:r>
            <w:r w:rsidRPr="00D5736E">
              <w:rPr>
                <w:rFonts w:cstheme="minorHAnsi"/>
                <w:sz w:val="20"/>
                <w:szCs w:val="20"/>
              </w:rPr>
              <w:t>íd</w:t>
            </w:r>
            <w:r w:rsidR="00E360D7" w:rsidRPr="00D5736E">
              <w:rPr>
                <w:rFonts w:cstheme="minorHAnsi"/>
                <w:sz w:val="20"/>
                <w:szCs w:val="20"/>
              </w:rPr>
              <w:t>ící orgán MD</w:t>
            </w:r>
            <w:r w:rsidRPr="00D5736E">
              <w:rPr>
                <w:rFonts w:cstheme="minorHAnsi"/>
                <w:sz w:val="20"/>
                <w:szCs w:val="20"/>
              </w:rPr>
              <w:t xml:space="preserve"> deklaroval poskytování příspěvku 5% ze SR na projekty f</w:t>
            </w:r>
            <w:r w:rsidR="00E360D7" w:rsidRPr="00D5736E">
              <w:rPr>
                <w:rFonts w:cstheme="minorHAnsi"/>
                <w:sz w:val="20"/>
                <w:szCs w:val="20"/>
              </w:rPr>
              <w:t xml:space="preserve">inancované z </w:t>
            </w:r>
            <w:proofErr w:type="gramStart"/>
            <w:r w:rsidR="00E360D7" w:rsidRPr="00D5736E">
              <w:rPr>
                <w:rFonts w:cstheme="minorHAnsi"/>
                <w:sz w:val="20"/>
                <w:szCs w:val="20"/>
              </w:rPr>
              <w:t>OP</w:t>
            </w:r>
            <w:proofErr w:type="gramEnd"/>
            <w:r w:rsidRPr="00D5736E">
              <w:rPr>
                <w:rFonts w:cstheme="minorHAnsi"/>
                <w:sz w:val="20"/>
                <w:szCs w:val="20"/>
              </w:rPr>
              <w:t xml:space="preserve"> Doprava. Na základě této skutečnosti byl do finančního plánu strategie zakalkulován 5% podíl SR. Tento způsob financování byl však v počáteční fázi implementace (2016) změněn s tím, že příspěvek 5% ze SR nebude na proje</w:t>
            </w:r>
            <w:r w:rsidR="00E360D7" w:rsidRPr="00D5736E">
              <w:rPr>
                <w:rFonts w:cstheme="minorHAnsi"/>
                <w:sz w:val="20"/>
                <w:szCs w:val="20"/>
              </w:rPr>
              <w:t>kty z </w:t>
            </w:r>
            <w:proofErr w:type="gramStart"/>
            <w:r w:rsidR="00E360D7" w:rsidRPr="00D5736E">
              <w:rPr>
                <w:rFonts w:cstheme="minorHAnsi"/>
                <w:sz w:val="20"/>
                <w:szCs w:val="20"/>
              </w:rPr>
              <w:t>OP</w:t>
            </w:r>
            <w:proofErr w:type="gramEnd"/>
            <w:r w:rsidR="00E360D7" w:rsidRPr="00D5736E">
              <w:rPr>
                <w:rFonts w:cstheme="minorHAnsi"/>
                <w:sz w:val="20"/>
                <w:szCs w:val="20"/>
              </w:rPr>
              <w:t xml:space="preserve"> Doprava poskytován. S Ř</w:t>
            </w:r>
            <w:r w:rsidRPr="00D5736E">
              <w:rPr>
                <w:rFonts w:cstheme="minorHAnsi"/>
                <w:sz w:val="20"/>
                <w:szCs w:val="20"/>
              </w:rPr>
              <w:t>ídícím orgánem bylo dohodnuto, že tato úprava bude zapracována do strategie v rámci prvního změnového řízení.</w:t>
            </w:r>
          </w:p>
        </w:tc>
      </w:tr>
      <w:tr w:rsidR="006E1393" w:rsidRPr="00D5736E" w:rsidTr="003D3EF2">
        <w:trPr>
          <w:trHeight w:val="258"/>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164-165</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1.1.1</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Zavedení systému dopravně závislého řízení dopravy</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OP Doprava</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2.3</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Přesun alokace z roku 2017 do 2018 ve výši:</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- 13 240 531 Kč (příspěvek EU) </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- 15 577 095 Kč (CZV)</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- 2 336 564 Kč Vlastní zdroje příjemce</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Řídící orgán OP Doprava vyhlásil výzvu ve SC 2.3 v srpnu 2016, kdy nebyly schváleny strategie měst IPRÚ. Tato výzva byla ukončena v 02/2017. Ve velmi krátkém časovém úseku podalo město ČB jako jediné z měst IPRÚ žád</w:t>
            </w:r>
            <w:r w:rsidR="00E360D7" w:rsidRPr="00D5736E">
              <w:rPr>
                <w:rFonts w:cstheme="minorHAnsi"/>
                <w:sz w:val="20"/>
                <w:szCs w:val="20"/>
              </w:rPr>
              <w:t>ost o dotaci. Další výzva</w:t>
            </w:r>
            <w:r w:rsidRPr="00D5736E">
              <w:rPr>
                <w:rFonts w:cstheme="minorHAnsi"/>
                <w:sz w:val="20"/>
                <w:szCs w:val="20"/>
              </w:rPr>
              <w:t xml:space="preserve"> OP Doprava </w:t>
            </w:r>
            <w:r w:rsidR="00E360D7" w:rsidRPr="00D5736E">
              <w:rPr>
                <w:rFonts w:cstheme="minorHAnsi"/>
                <w:sz w:val="20"/>
                <w:szCs w:val="20"/>
              </w:rPr>
              <w:t>vyhlášena</w:t>
            </w:r>
            <w:r w:rsidRPr="00D5736E">
              <w:rPr>
                <w:rFonts w:cstheme="minorHAnsi"/>
                <w:sz w:val="20"/>
                <w:szCs w:val="20"/>
              </w:rPr>
              <w:t xml:space="preserve"> v 07/2017. V rámci plánované vyhlášené výzvy </w:t>
            </w:r>
            <w:r w:rsidR="00E360D7" w:rsidRPr="00D5736E">
              <w:rPr>
                <w:rFonts w:cstheme="minorHAnsi"/>
                <w:sz w:val="20"/>
                <w:szCs w:val="20"/>
              </w:rPr>
              <w:t>však nešlo</w:t>
            </w:r>
            <w:r w:rsidRPr="00D5736E">
              <w:rPr>
                <w:rFonts w:cstheme="minorHAnsi"/>
                <w:sz w:val="20"/>
                <w:szCs w:val="20"/>
              </w:rPr>
              <w:t xml:space="preserve"> v tak krátkém časovém úseku garantovat předložení žádosti o platbu d</w:t>
            </w:r>
            <w:r w:rsidR="00E360D7" w:rsidRPr="00D5736E">
              <w:rPr>
                <w:rFonts w:cstheme="minorHAnsi"/>
                <w:sz w:val="20"/>
                <w:szCs w:val="20"/>
              </w:rPr>
              <w:t>o října 2017. Z tohoto důvodu bylo</w:t>
            </w:r>
            <w:r w:rsidRPr="00D5736E">
              <w:rPr>
                <w:rFonts w:cstheme="minorHAnsi"/>
                <w:sz w:val="20"/>
                <w:szCs w:val="20"/>
              </w:rPr>
              <w:t xml:space="preserve"> nutné provést přesun alokace do r. 2018.</w:t>
            </w:r>
          </w:p>
        </w:tc>
      </w:tr>
      <w:tr w:rsidR="006E1393" w:rsidRPr="00D5736E" w:rsidTr="003D3EF2">
        <w:trPr>
          <w:trHeight w:val="273"/>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164-165</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1.1.3</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Zlepšení podmínek pro alternativní způsoby dopravy</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IROP</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1.2</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Přesun alokace z roku 2017 do 2018 ve výši:</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- 38 250 000 Kč (příspěvek EU) </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45 000 000 Kč (CZV)</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2 250 000 Kč (SR)</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- 4 500 000 Kč Vlastní zdroje příjemce </w:t>
            </w:r>
          </w:p>
        </w:tc>
        <w:tc>
          <w:tcPr>
            <w:tcW w:w="0" w:type="auto"/>
          </w:tcPr>
          <w:p w:rsidR="006E1393" w:rsidRPr="00D5736E" w:rsidRDefault="006E1393" w:rsidP="00F05D1A">
            <w:pPr>
              <w:spacing w:after="0" w:line="240" w:lineRule="auto"/>
              <w:jc w:val="both"/>
              <w:rPr>
                <w:rFonts w:cstheme="minorHAnsi"/>
                <w:sz w:val="20"/>
                <w:szCs w:val="20"/>
              </w:rPr>
            </w:pPr>
            <w:r w:rsidRPr="00D5736E">
              <w:rPr>
                <w:rFonts w:cstheme="minorHAnsi"/>
                <w:sz w:val="20"/>
                <w:szCs w:val="20"/>
              </w:rPr>
              <w:t>V roce 2017 došlo k odložení realizace projektů na vybudování cyklostezek, které byly v době sestavování finančního plánu navrženy k realizaci v rámci pracovních skupin pro dopravu na rok 2017. Realizace náhradn</w:t>
            </w:r>
            <w:r w:rsidR="00F05D1A">
              <w:rPr>
                <w:rFonts w:cstheme="minorHAnsi"/>
                <w:sz w:val="20"/>
                <w:szCs w:val="20"/>
              </w:rPr>
              <w:t>ích projektů v roce 2017 probíhala</w:t>
            </w:r>
            <w:r w:rsidRPr="00D5736E">
              <w:rPr>
                <w:rFonts w:cstheme="minorHAnsi"/>
                <w:sz w:val="20"/>
                <w:szCs w:val="20"/>
              </w:rPr>
              <w:t xml:space="preserve"> téměř ve shodě s pů</w:t>
            </w:r>
            <w:r w:rsidR="00F05D1A">
              <w:rPr>
                <w:rFonts w:cstheme="minorHAnsi"/>
                <w:sz w:val="20"/>
                <w:szCs w:val="20"/>
              </w:rPr>
              <w:t>vodně nastavenými termíny. Nešlo</w:t>
            </w:r>
            <w:r w:rsidRPr="00D5736E">
              <w:rPr>
                <w:rFonts w:cstheme="minorHAnsi"/>
                <w:sz w:val="20"/>
                <w:szCs w:val="20"/>
              </w:rPr>
              <w:t xml:space="preserve"> však zcela garantovat dodržení termínu podání žádosti o platbu (ŽOP) do 10/2017. </w:t>
            </w:r>
          </w:p>
        </w:tc>
      </w:tr>
      <w:tr w:rsidR="006E1393" w:rsidRPr="00D5736E" w:rsidTr="003D3EF2">
        <w:trPr>
          <w:trHeight w:val="258"/>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164-165</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1.1.4</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Podpora využívání a rozvoje městské hromadné a příměstské dopravy a dopravní obslužnosti města</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IROP</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1.2</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Přesun alokace z roku 2017 do 2018 ve výši:</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- 24 650 000 Kč (příspěvek EU) </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- 29 000 000 Kč (CZV)</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500 000 Kč (SR)</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- 3 850 000 Kč Vlastní zdroje příjemce </w:t>
            </w:r>
          </w:p>
        </w:tc>
        <w:tc>
          <w:tcPr>
            <w:tcW w:w="0" w:type="auto"/>
          </w:tcPr>
          <w:p w:rsidR="006E1393" w:rsidRPr="00D5736E" w:rsidRDefault="006E1393" w:rsidP="00F05D1A">
            <w:pPr>
              <w:spacing w:after="0" w:line="240" w:lineRule="auto"/>
              <w:jc w:val="both"/>
              <w:rPr>
                <w:rFonts w:cstheme="minorHAnsi"/>
                <w:sz w:val="20"/>
                <w:szCs w:val="20"/>
              </w:rPr>
            </w:pPr>
            <w:r w:rsidRPr="00D5736E">
              <w:rPr>
                <w:rFonts w:cstheme="minorHAnsi"/>
                <w:sz w:val="20"/>
                <w:szCs w:val="20"/>
              </w:rPr>
              <w:t xml:space="preserve">Zadávací řízení realizované </w:t>
            </w:r>
            <w:proofErr w:type="spellStart"/>
            <w:r w:rsidRPr="00D5736E">
              <w:rPr>
                <w:rFonts w:cstheme="minorHAnsi"/>
                <w:sz w:val="20"/>
                <w:szCs w:val="20"/>
              </w:rPr>
              <w:t>DPmČB</w:t>
            </w:r>
            <w:proofErr w:type="spellEnd"/>
            <w:r w:rsidRPr="00D5736E">
              <w:rPr>
                <w:rFonts w:cstheme="minorHAnsi"/>
                <w:sz w:val="20"/>
                <w:szCs w:val="20"/>
              </w:rPr>
              <w:t xml:space="preserve"> na výběr dodavatele v oblasti telematiky pro veřejnou dopravu bylo prodlouženo. Jedná se o prodlení v řádu </w:t>
            </w:r>
            <w:r w:rsidR="00F05D1A">
              <w:rPr>
                <w:rFonts w:cstheme="minorHAnsi"/>
                <w:sz w:val="20"/>
                <w:szCs w:val="20"/>
              </w:rPr>
              <w:t>několika</w:t>
            </w:r>
            <w:r w:rsidRPr="00D5736E">
              <w:rPr>
                <w:rFonts w:cstheme="minorHAnsi"/>
                <w:sz w:val="20"/>
                <w:szCs w:val="20"/>
              </w:rPr>
              <w:t xml:space="preserve"> měsíců oproti původnímu plánu. </w:t>
            </w:r>
          </w:p>
        </w:tc>
      </w:tr>
      <w:tr w:rsidR="006E1393" w:rsidRPr="00D5736E" w:rsidTr="003D3EF2">
        <w:trPr>
          <w:trHeight w:val="273"/>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164-165</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2.1.3 </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Rozšíření kapacity předškolních zařízení s cílem zvýšit účast na vzdělávání</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IROP</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2.4</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Přesun alokace z roku 2017 do 2018 ve výši:</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- 10 00 250 Kč (příspěvek EU) </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- 11 765 000 Kč (CZV)</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588 250 Kč (SR)</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- 1 176 500 Kč Vlastní zdroje příjemce</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Financování 2 projektů bylo upřesněno po ukončení výběru dodavatele. Došlo ke snížení celkových způsobilých výdajů na proj</w:t>
            </w:r>
            <w:r w:rsidR="00F82065" w:rsidRPr="00D5736E">
              <w:rPr>
                <w:rFonts w:cstheme="minorHAnsi"/>
                <w:sz w:val="20"/>
                <w:szCs w:val="20"/>
              </w:rPr>
              <w:t>ekty, jejichž realizace proběhla</w:t>
            </w:r>
            <w:r w:rsidRPr="00D5736E">
              <w:rPr>
                <w:rFonts w:cstheme="minorHAnsi"/>
                <w:sz w:val="20"/>
                <w:szCs w:val="20"/>
              </w:rPr>
              <w:t xml:space="preserve"> dle nastaveného harmonogramu v roce 2017, ale s nižšími CZV. Na základě zařazení třetího projektu (navýšení kapacity MŠ Plav) do 3. výzvy nositele je zaručeno vyčerpání přesunuté alokace k Milníku 2018 – do října 2018.</w:t>
            </w:r>
          </w:p>
        </w:tc>
      </w:tr>
      <w:tr w:rsidR="006E1393" w:rsidRPr="00D5736E" w:rsidTr="003D3EF2">
        <w:trPr>
          <w:trHeight w:val="273"/>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161</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2.1.1</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Vybudování infrastruktury pro vzdělávání technických a přírodovědných oborů na ZŠ</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IROP</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2.4</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Snížení hodnoty indikátoru 5 00 01 – Kapacita podporovaných zařízení péče o děti nebo vzdělávacích zařízení z 10 000 osob na 160 osob.</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Ve fázi přípravy a schvalování strategie byla definice naplnění tohoto indikátoru odlišná od současné definice, která byla zveřejněna až po schválení strategie. Znění definice naplnění indikátoru v r. 2015:</w:t>
            </w:r>
          </w:p>
          <w:p w:rsidR="006E1393" w:rsidRPr="00D5736E" w:rsidRDefault="006E1393" w:rsidP="00D5736E">
            <w:pPr>
              <w:spacing w:after="0" w:line="240" w:lineRule="auto"/>
              <w:jc w:val="both"/>
              <w:rPr>
                <w:rFonts w:cstheme="minorHAnsi"/>
                <w:b/>
                <w:i/>
                <w:sz w:val="20"/>
                <w:szCs w:val="20"/>
              </w:rPr>
            </w:pPr>
            <w:r w:rsidRPr="00D5736E">
              <w:rPr>
                <w:rFonts w:cstheme="minorHAnsi"/>
                <w:b/>
                <w:sz w:val="20"/>
                <w:szCs w:val="20"/>
              </w:rPr>
              <w:t>„</w:t>
            </w:r>
            <w:r w:rsidRPr="00D5736E">
              <w:rPr>
                <w:rFonts w:cstheme="minorHAnsi"/>
                <w:b/>
                <w:i/>
                <w:sz w:val="20"/>
                <w:szCs w:val="20"/>
                <w:u w:val="single"/>
              </w:rPr>
              <w:t xml:space="preserve">Počet uživatelů, kteří mohou využít </w:t>
            </w:r>
            <w:r w:rsidRPr="00D5736E">
              <w:rPr>
                <w:rFonts w:cstheme="minorHAnsi"/>
                <w:b/>
                <w:i/>
                <w:sz w:val="20"/>
                <w:szCs w:val="20"/>
              </w:rPr>
              <w:t>nově vybudovaná nebo inovovaná dětská, nebo vzdělávací zařízení, což představuje nové nebo renovované budovy nebo nové vybavení dodávané projektem. „Uživatelé“ jsou děti, žáci nebo studenti – to znamená vzdělávané osoby, nikoliv učitelé, rodiče nebo jiní lidé, kteří mohou tyto budovy také využívat.“</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Na základě této dikce indikátoru byl nastaven počet uživatelů 10 000 osob, neboť učebny bude využívat více škol ze spádových oblastí - počet uživatelů bude několikanásobně vyšší než je kapacita třídy.</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Znění definice naplnění indikátoru v příloze Specifických pravidel k výzvě č. 67 z 12/2016 byla upravena a doplněna následujícím způsobem:</w:t>
            </w:r>
          </w:p>
          <w:p w:rsidR="006E1393" w:rsidRPr="00D5736E" w:rsidRDefault="006E1393" w:rsidP="00D5736E">
            <w:pPr>
              <w:spacing w:after="0" w:line="240" w:lineRule="auto"/>
              <w:jc w:val="both"/>
              <w:rPr>
                <w:rFonts w:cstheme="minorHAnsi"/>
                <w:b/>
                <w:sz w:val="20"/>
                <w:szCs w:val="20"/>
              </w:rPr>
            </w:pPr>
            <w:r w:rsidRPr="00D5736E">
              <w:rPr>
                <w:rFonts w:cstheme="minorHAnsi"/>
                <w:b/>
                <w:sz w:val="20"/>
                <w:szCs w:val="20"/>
              </w:rPr>
              <w:t xml:space="preserve">„Indikátor měří </w:t>
            </w:r>
            <w:r w:rsidRPr="00D5736E">
              <w:rPr>
                <w:rFonts w:cstheme="minorHAnsi"/>
                <w:b/>
                <w:i/>
                <w:sz w:val="20"/>
                <w:szCs w:val="20"/>
                <w:u w:val="single"/>
              </w:rPr>
              <w:t xml:space="preserve">nominální kapacitu </w:t>
            </w:r>
            <w:r w:rsidRPr="00D5736E">
              <w:rPr>
                <w:rFonts w:cstheme="minorHAnsi"/>
                <w:b/>
                <w:sz w:val="20"/>
                <w:szCs w:val="20"/>
              </w:rPr>
              <w:t>(počet možných uživatelů, který je obyčejně vyšší nebo rovný počtu skutečných uživatelů).“</w:t>
            </w:r>
          </w:p>
          <w:p w:rsidR="006E1393" w:rsidRPr="00D5736E" w:rsidRDefault="006E1393" w:rsidP="00D5736E">
            <w:pPr>
              <w:spacing w:after="0" w:line="240" w:lineRule="auto"/>
              <w:jc w:val="both"/>
              <w:rPr>
                <w:rFonts w:cstheme="minorHAnsi"/>
                <w:i/>
                <w:sz w:val="20"/>
                <w:szCs w:val="20"/>
              </w:rPr>
            </w:pPr>
            <w:r w:rsidRPr="00D5736E">
              <w:rPr>
                <w:rFonts w:cstheme="minorHAnsi"/>
                <w:b/>
                <w:sz w:val="20"/>
                <w:szCs w:val="20"/>
              </w:rPr>
              <w:t>„</w:t>
            </w:r>
            <w:r w:rsidRPr="00D5736E">
              <w:rPr>
                <w:rFonts w:cstheme="minorHAnsi"/>
                <w:b/>
                <w:i/>
                <w:sz w:val="20"/>
                <w:szCs w:val="20"/>
              </w:rPr>
              <w:t>V případě investic do infrastruktury je míněna maximální okamžitá (nominální) kapacita uživatelů takto upravované či budované infrastruktury (např. nové či inovované učebny). Tzn., že pokud bude nová učebna určena např. maximálně pro 30 osob (uživatelů), tak bude vykázána hodnota ve výši 30 osob.“</w:t>
            </w:r>
          </w:p>
          <w:p w:rsidR="006E1393" w:rsidRPr="00D5736E" w:rsidRDefault="006E1393" w:rsidP="00F05D1A">
            <w:pPr>
              <w:spacing w:after="0" w:line="240" w:lineRule="auto"/>
              <w:jc w:val="both"/>
              <w:rPr>
                <w:rFonts w:cstheme="minorHAnsi"/>
                <w:sz w:val="20"/>
                <w:szCs w:val="20"/>
              </w:rPr>
            </w:pPr>
            <w:r w:rsidRPr="00D5736E">
              <w:rPr>
                <w:rFonts w:cstheme="minorHAnsi"/>
                <w:sz w:val="20"/>
                <w:szCs w:val="20"/>
              </w:rPr>
              <w:t xml:space="preserve">Na základě této nové dikce </w:t>
            </w:r>
            <w:r w:rsidR="00F05D1A">
              <w:rPr>
                <w:rFonts w:cstheme="minorHAnsi"/>
                <w:sz w:val="20"/>
                <w:szCs w:val="20"/>
              </w:rPr>
              <w:t>bylo</w:t>
            </w:r>
            <w:bookmarkStart w:id="0" w:name="_GoBack"/>
            <w:bookmarkEnd w:id="0"/>
            <w:r w:rsidRPr="00D5736E">
              <w:rPr>
                <w:rFonts w:cstheme="minorHAnsi"/>
                <w:sz w:val="20"/>
                <w:szCs w:val="20"/>
              </w:rPr>
              <w:t xml:space="preserve"> nutné aktualizovat i výši indikátoru.</w:t>
            </w:r>
          </w:p>
        </w:tc>
      </w:tr>
      <w:tr w:rsidR="006E1393" w:rsidRPr="00D5736E" w:rsidTr="003D3EF2">
        <w:trPr>
          <w:trHeight w:val="273"/>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159</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1.1.3</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Zlepšení podmínek pro alternativní způsoby dopravy</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IROP</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1.2</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Zařazení nového indikátoru </w:t>
            </w:r>
            <w:r w:rsidRPr="00D5736E">
              <w:rPr>
                <w:rFonts w:cstheme="minorHAnsi"/>
                <w:i/>
                <w:sz w:val="20"/>
                <w:szCs w:val="20"/>
              </w:rPr>
              <w:t>7 50 01 – Počet realizací vedoucích ke zvýšení bezpečnosti v dopravě</w:t>
            </w:r>
            <w:r w:rsidRPr="00D5736E">
              <w:rPr>
                <w:rFonts w:cstheme="minorHAnsi"/>
                <w:sz w:val="20"/>
                <w:szCs w:val="20"/>
              </w:rPr>
              <w:t xml:space="preserve"> s cílovou hodnotou 1 realizace</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Projekt Cyklotrasa E obsahově naplňuje z větší části opatření z hlediska zvýšení bezpečnosti, což souvisí i s větším % uznatelnosti výdajů tohoto projektu při zachování hodnoty indikátoru </w:t>
            </w:r>
            <w:r w:rsidRPr="00D5736E">
              <w:rPr>
                <w:rFonts w:cstheme="minorHAnsi"/>
                <w:i/>
                <w:sz w:val="20"/>
                <w:szCs w:val="20"/>
              </w:rPr>
              <w:t>7 61 00 Délka nově vybudovaných cyklostezek a cyklotras.</w:t>
            </w:r>
          </w:p>
        </w:tc>
      </w:tr>
      <w:tr w:rsidR="006E1393" w:rsidRPr="00D5736E" w:rsidTr="003D3EF2">
        <w:trPr>
          <w:trHeight w:val="273"/>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159</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1.1.3</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Zlepšení podmínek pro alternativní způsoby dopravy</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IROP</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1.2</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Zařazení nového indikátoru </w:t>
            </w:r>
            <w:r w:rsidRPr="00D5736E">
              <w:rPr>
                <w:rFonts w:cstheme="minorHAnsi"/>
                <w:i/>
                <w:sz w:val="20"/>
                <w:szCs w:val="20"/>
              </w:rPr>
              <w:t>7 64 01 – Počet parkovacích míst pro jízdní kola</w:t>
            </w:r>
            <w:r w:rsidRPr="00D5736E">
              <w:rPr>
                <w:rFonts w:cstheme="minorHAnsi"/>
                <w:sz w:val="20"/>
                <w:szCs w:val="20"/>
              </w:rPr>
              <w:t xml:space="preserve"> s cílovou hodnotou 80 parkovacích míst. </w:t>
            </w:r>
          </w:p>
        </w:tc>
        <w:tc>
          <w:tcPr>
            <w:tcW w:w="0" w:type="auto"/>
          </w:tcPr>
          <w:p w:rsidR="006E1393" w:rsidRPr="00D5736E" w:rsidRDefault="006E1393" w:rsidP="003D3EF2">
            <w:pPr>
              <w:spacing w:after="0" w:line="240" w:lineRule="auto"/>
              <w:jc w:val="both"/>
              <w:rPr>
                <w:rFonts w:cstheme="minorHAnsi"/>
                <w:sz w:val="20"/>
                <w:szCs w:val="20"/>
              </w:rPr>
            </w:pPr>
            <w:r w:rsidRPr="00D5736E">
              <w:rPr>
                <w:rFonts w:cstheme="minorHAnsi"/>
                <w:sz w:val="20"/>
                <w:szCs w:val="20"/>
              </w:rPr>
              <w:t>Indikátor je zařazen z důvodu požadavku Ř</w:t>
            </w:r>
            <w:r w:rsidR="003D3EF2">
              <w:rPr>
                <w:rFonts w:cstheme="minorHAnsi"/>
                <w:sz w:val="20"/>
                <w:szCs w:val="20"/>
              </w:rPr>
              <w:t>ídícího orgánu</w:t>
            </w:r>
            <w:r w:rsidRPr="00D5736E">
              <w:rPr>
                <w:rFonts w:cstheme="minorHAnsi"/>
                <w:sz w:val="20"/>
                <w:szCs w:val="20"/>
              </w:rPr>
              <w:t xml:space="preserve"> na naplnění tohoto indikátoru městy IPRÚ, a to ve fázi finalizace strategií na podzim 2015. V této době však mělo město České Budějovice již strategii schválenou orgány města (12. 11. 2015 ZM) a zařazení nového indikátoru nemohlo být již do schválené strategie promítnuto. Aby bylo možné ukončit schvalovací proces všech strategií ze strany MMR, SM Jihlava se zavázalo k naplnění indikátoru za ČB. Touto změnou město ČB přebírá svůj původní podíl hodnoty indikátoru do své strategie. V rámci přípravy projektů budou realizována i parkovací místa pro cyklisty, což přispěje ke zkvalitnění podmínek pro cyklisty a současně přispěje i k celkovému naplnění tohoto indikátoru za operační program IROP.</w:t>
            </w:r>
          </w:p>
        </w:tc>
      </w:tr>
      <w:tr w:rsidR="006E1393" w:rsidRPr="00D5736E" w:rsidTr="003D3EF2">
        <w:trPr>
          <w:trHeight w:val="273"/>
        </w:trPr>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159</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1.1.2</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Rozvoj a zkvalitnění dopravní infrastruktury pro zlepšení dopravní dostupnosti a prostupnosti území včetně dopravy v klidu</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IROP</w:t>
            </w:r>
          </w:p>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SC 1.2</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 xml:space="preserve">Zařazení nového indikátoru </w:t>
            </w:r>
            <w:r w:rsidRPr="00D5736E">
              <w:rPr>
                <w:rFonts w:cstheme="minorHAnsi"/>
                <w:i/>
                <w:iCs/>
                <w:sz w:val="20"/>
                <w:szCs w:val="20"/>
                <w:lang w:eastAsia="cs-CZ"/>
              </w:rPr>
              <w:t>7 51 10 – Počet osob přepravených veřejnou dopravou s cílovou hodnotou 200 000 osob</w:t>
            </w:r>
          </w:p>
        </w:tc>
        <w:tc>
          <w:tcPr>
            <w:tcW w:w="0" w:type="auto"/>
          </w:tcPr>
          <w:p w:rsidR="006E1393" w:rsidRPr="00D5736E" w:rsidRDefault="006E1393" w:rsidP="00D5736E">
            <w:pPr>
              <w:spacing w:after="0" w:line="240" w:lineRule="auto"/>
              <w:jc w:val="both"/>
              <w:rPr>
                <w:rFonts w:cstheme="minorHAnsi"/>
                <w:sz w:val="20"/>
                <w:szCs w:val="20"/>
              </w:rPr>
            </w:pPr>
            <w:r w:rsidRPr="00D5736E">
              <w:rPr>
                <w:rFonts w:cstheme="minorHAnsi"/>
                <w:sz w:val="20"/>
                <w:szCs w:val="20"/>
              </w:rPr>
              <w:t>Zařazení in</w:t>
            </w:r>
            <w:r w:rsidR="003D3EF2">
              <w:rPr>
                <w:rFonts w:cstheme="minorHAnsi"/>
                <w:sz w:val="20"/>
                <w:szCs w:val="20"/>
              </w:rPr>
              <w:t>dikátoru je provedeno na pokyn Ř</w:t>
            </w:r>
            <w:r w:rsidRPr="00D5736E">
              <w:rPr>
                <w:rFonts w:cstheme="minorHAnsi"/>
                <w:sz w:val="20"/>
                <w:szCs w:val="20"/>
              </w:rPr>
              <w:t>ídícího orgánu, který tento indikátor zařadil jako povinný k </w:t>
            </w:r>
            <w:proofErr w:type="spellStart"/>
            <w:r w:rsidRPr="00D5736E">
              <w:rPr>
                <w:rFonts w:cstheme="minorHAnsi"/>
                <w:sz w:val="20"/>
                <w:szCs w:val="20"/>
              </w:rPr>
              <w:t>ŽoD</w:t>
            </w:r>
            <w:proofErr w:type="spellEnd"/>
            <w:r w:rsidRPr="00D5736E">
              <w:rPr>
                <w:rFonts w:cstheme="minorHAnsi"/>
                <w:sz w:val="20"/>
                <w:szCs w:val="20"/>
              </w:rPr>
              <w:t xml:space="preserve"> do výzvy č. 51. Ve fázi schvalování strategie tento indikátor jako povinný k této aktivitě specifikován nebyl. Tento indikátor je výsledkový, což znamená, že přebírá hodnoty na úrovni celého Operačního programu IROP a není naplňován z pozice nositele strategie. </w:t>
            </w:r>
          </w:p>
        </w:tc>
      </w:tr>
    </w:tbl>
    <w:p w:rsidR="001054E6" w:rsidRDefault="001054E6">
      <w:pPr>
        <w:rPr>
          <w:rFonts w:cstheme="minorHAnsi"/>
          <w:sz w:val="20"/>
          <w:szCs w:val="20"/>
        </w:rPr>
      </w:pPr>
    </w:p>
    <w:p w:rsidR="00232ED1" w:rsidRDefault="00232ED1">
      <w:pPr>
        <w:spacing w:after="160" w:line="259" w:lineRule="auto"/>
        <w:rPr>
          <w:rFonts w:cstheme="minorHAnsi"/>
          <w:sz w:val="20"/>
          <w:szCs w:val="20"/>
        </w:rPr>
      </w:pPr>
      <w:r>
        <w:rPr>
          <w:rFonts w:cstheme="minorHAnsi"/>
          <w:sz w:val="20"/>
          <w:szCs w:val="20"/>
        </w:rPr>
        <w:br w:type="page"/>
      </w:r>
    </w:p>
    <w:p w:rsidR="00232ED1" w:rsidRPr="00520D3D" w:rsidRDefault="00232ED1" w:rsidP="00232ED1">
      <w:pPr>
        <w:spacing w:after="0"/>
        <w:jc w:val="both"/>
        <w:rPr>
          <w:b/>
          <w:sz w:val="24"/>
          <w:szCs w:val="24"/>
        </w:rPr>
      </w:pPr>
      <w:r w:rsidRPr="00520D3D">
        <w:rPr>
          <w:b/>
          <w:sz w:val="24"/>
          <w:szCs w:val="24"/>
        </w:rPr>
        <w:lastRenderedPageBreak/>
        <w:t xml:space="preserve">Změna č. 2 Integrovaného plánu rozvoje území České Budějovice </w:t>
      </w:r>
    </w:p>
    <w:tbl>
      <w:tblPr>
        <w:tblStyle w:val="Mkatabulky"/>
        <w:tblW w:w="0" w:type="auto"/>
        <w:tblLook w:val="04A0" w:firstRow="1" w:lastRow="0" w:firstColumn="1" w:lastColumn="0" w:noHBand="0" w:noVBand="1"/>
      </w:tblPr>
      <w:tblGrid>
        <w:gridCol w:w="625"/>
        <w:gridCol w:w="2590"/>
        <w:gridCol w:w="1003"/>
        <w:gridCol w:w="3703"/>
        <w:gridCol w:w="6073"/>
      </w:tblGrid>
      <w:tr w:rsidR="00232ED1" w:rsidRPr="00D5736E" w:rsidTr="003D3EF2">
        <w:trPr>
          <w:trHeight w:val="273"/>
        </w:trPr>
        <w:tc>
          <w:tcPr>
            <w:tcW w:w="0" w:type="auto"/>
            <w:shd w:val="clear" w:color="auto" w:fill="D9D9D9" w:themeFill="background1" w:themeFillShade="D9"/>
            <w:vAlign w:val="center"/>
          </w:tcPr>
          <w:p w:rsidR="00232ED1" w:rsidRPr="00D5736E" w:rsidRDefault="00232ED1" w:rsidP="00D5736E">
            <w:pPr>
              <w:spacing w:after="0" w:line="240" w:lineRule="auto"/>
              <w:jc w:val="center"/>
              <w:rPr>
                <w:b/>
                <w:sz w:val="20"/>
                <w:szCs w:val="20"/>
              </w:rPr>
            </w:pPr>
            <w:r w:rsidRPr="00D5736E">
              <w:rPr>
                <w:b/>
                <w:sz w:val="20"/>
                <w:szCs w:val="20"/>
              </w:rPr>
              <w:t>Str.</w:t>
            </w:r>
          </w:p>
        </w:tc>
        <w:tc>
          <w:tcPr>
            <w:tcW w:w="0" w:type="auto"/>
            <w:shd w:val="clear" w:color="auto" w:fill="D9D9D9" w:themeFill="background1" w:themeFillShade="D9"/>
            <w:vAlign w:val="center"/>
          </w:tcPr>
          <w:p w:rsidR="00232ED1" w:rsidRPr="00D5736E" w:rsidRDefault="00232ED1" w:rsidP="00D5736E">
            <w:pPr>
              <w:spacing w:after="0" w:line="240" w:lineRule="auto"/>
              <w:jc w:val="center"/>
              <w:rPr>
                <w:b/>
                <w:sz w:val="20"/>
                <w:szCs w:val="20"/>
              </w:rPr>
            </w:pPr>
            <w:r w:rsidRPr="00D5736E">
              <w:rPr>
                <w:b/>
                <w:sz w:val="20"/>
                <w:szCs w:val="20"/>
              </w:rPr>
              <w:t>Opatření strategie (obsahující změnu)</w:t>
            </w:r>
          </w:p>
        </w:tc>
        <w:tc>
          <w:tcPr>
            <w:tcW w:w="0" w:type="auto"/>
            <w:shd w:val="clear" w:color="auto" w:fill="D9D9D9" w:themeFill="background1" w:themeFillShade="D9"/>
            <w:vAlign w:val="center"/>
          </w:tcPr>
          <w:p w:rsidR="00232ED1" w:rsidRPr="00D5736E" w:rsidRDefault="00232ED1" w:rsidP="00D5736E">
            <w:pPr>
              <w:spacing w:after="0" w:line="240" w:lineRule="auto"/>
              <w:jc w:val="center"/>
              <w:rPr>
                <w:b/>
                <w:sz w:val="20"/>
                <w:szCs w:val="20"/>
              </w:rPr>
            </w:pPr>
            <w:r w:rsidRPr="00D5736E">
              <w:rPr>
                <w:b/>
                <w:sz w:val="20"/>
                <w:szCs w:val="20"/>
              </w:rPr>
              <w:t>Operační</w:t>
            </w:r>
          </w:p>
          <w:p w:rsidR="00232ED1" w:rsidRPr="00D5736E" w:rsidRDefault="00232ED1" w:rsidP="00D5736E">
            <w:pPr>
              <w:spacing w:after="0" w:line="240" w:lineRule="auto"/>
              <w:jc w:val="center"/>
              <w:rPr>
                <w:b/>
                <w:sz w:val="20"/>
                <w:szCs w:val="20"/>
              </w:rPr>
            </w:pPr>
            <w:r w:rsidRPr="00D5736E">
              <w:rPr>
                <w:b/>
                <w:sz w:val="20"/>
                <w:szCs w:val="20"/>
              </w:rPr>
              <w:t>program</w:t>
            </w:r>
          </w:p>
        </w:tc>
        <w:tc>
          <w:tcPr>
            <w:tcW w:w="0" w:type="auto"/>
            <w:shd w:val="clear" w:color="auto" w:fill="D9D9D9" w:themeFill="background1" w:themeFillShade="D9"/>
            <w:vAlign w:val="center"/>
          </w:tcPr>
          <w:p w:rsidR="00232ED1" w:rsidRPr="00D5736E" w:rsidRDefault="00232ED1" w:rsidP="00D5736E">
            <w:pPr>
              <w:spacing w:after="0" w:line="240" w:lineRule="auto"/>
              <w:jc w:val="center"/>
              <w:rPr>
                <w:b/>
                <w:sz w:val="20"/>
                <w:szCs w:val="20"/>
              </w:rPr>
            </w:pPr>
            <w:r w:rsidRPr="00D5736E">
              <w:rPr>
                <w:b/>
                <w:sz w:val="20"/>
                <w:szCs w:val="20"/>
              </w:rPr>
              <w:t>Popis změny</w:t>
            </w:r>
          </w:p>
        </w:tc>
        <w:tc>
          <w:tcPr>
            <w:tcW w:w="0" w:type="auto"/>
            <w:shd w:val="clear" w:color="auto" w:fill="D9D9D9" w:themeFill="background1" w:themeFillShade="D9"/>
            <w:vAlign w:val="center"/>
          </w:tcPr>
          <w:p w:rsidR="00232ED1" w:rsidRPr="00D5736E" w:rsidRDefault="00232ED1" w:rsidP="00D5736E">
            <w:pPr>
              <w:spacing w:after="0" w:line="240" w:lineRule="auto"/>
              <w:jc w:val="center"/>
              <w:rPr>
                <w:b/>
                <w:sz w:val="20"/>
                <w:szCs w:val="20"/>
              </w:rPr>
            </w:pPr>
            <w:r w:rsidRPr="00D5736E">
              <w:rPr>
                <w:b/>
                <w:sz w:val="20"/>
                <w:szCs w:val="20"/>
              </w:rPr>
              <w:t>Komentář, zdůvodnění</w:t>
            </w:r>
          </w:p>
        </w:tc>
      </w:tr>
      <w:tr w:rsidR="00232ED1" w:rsidRPr="00D5736E" w:rsidTr="003D3EF2">
        <w:trPr>
          <w:trHeight w:val="273"/>
        </w:trPr>
        <w:tc>
          <w:tcPr>
            <w:tcW w:w="0" w:type="auto"/>
          </w:tcPr>
          <w:p w:rsidR="00232ED1" w:rsidRPr="00D5736E" w:rsidRDefault="00232ED1" w:rsidP="00D5736E">
            <w:pPr>
              <w:spacing w:after="0" w:line="240" w:lineRule="auto"/>
              <w:jc w:val="both"/>
              <w:rPr>
                <w:sz w:val="20"/>
                <w:szCs w:val="20"/>
              </w:rPr>
            </w:pPr>
            <w:r w:rsidRPr="00D5736E">
              <w:rPr>
                <w:sz w:val="20"/>
                <w:szCs w:val="20"/>
              </w:rPr>
              <w:t>117</w:t>
            </w:r>
          </w:p>
        </w:tc>
        <w:tc>
          <w:tcPr>
            <w:tcW w:w="0" w:type="auto"/>
          </w:tcPr>
          <w:p w:rsidR="00232ED1" w:rsidRPr="00D5736E" w:rsidRDefault="00232ED1" w:rsidP="00D5736E">
            <w:pPr>
              <w:spacing w:after="0" w:line="240" w:lineRule="auto"/>
              <w:jc w:val="both"/>
              <w:rPr>
                <w:sz w:val="20"/>
                <w:szCs w:val="20"/>
              </w:rPr>
            </w:pPr>
            <w:r w:rsidRPr="00D5736E">
              <w:rPr>
                <w:sz w:val="20"/>
                <w:szCs w:val="20"/>
              </w:rPr>
              <w:t>1.1.3</w:t>
            </w:r>
          </w:p>
          <w:p w:rsidR="00232ED1" w:rsidRPr="00D5736E" w:rsidRDefault="00232ED1" w:rsidP="00D5736E">
            <w:pPr>
              <w:spacing w:after="0" w:line="240" w:lineRule="auto"/>
              <w:jc w:val="both"/>
              <w:rPr>
                <w:sz w:val="20"/>
                <w:szCs w:val="20"/>
              </w:rPr>
            </w:pPr>
            <w:r w:rsidRPr="00D5736E">
              <w:rPr>
                <w:sz w:val="20"/>
                <w:szCs w:val="20"/>
              </w:rPr>
              <w:t>Zlepšení podmínek pro alternativní způsoby dopravy</w:t>
            </w:r>
          </w:p>
        </w:tc>
        <w:tc>
          <w:tcPr>
            <w:tcW w:w="0" w:type="auto"/>
          </w:tcPr>
          <w:p w:rsidR="00232ED1" w:rsidRPr="00D5736E" w:rsidRDefault="00232ED1" w:rsidP="00D5736E">
            <w:pPr>
              <w:spacing w:after="0" w:line="240" w:lineRule="auto"/>
              <w:jc w:val="both"/>
              <w:rPr>
                <w:sz w:val="20"/>
                <w:szCs w:val="20"/>
              </w:rPr>
            </w:pPr>
            <w:r w:rsidRPr="00D5736E">
              <w:rPr>
                <w:sz w:val="20"/>
                <w:szCs w:val="20"/>
              </w:rPr>
              <w:t>IROP, SC 1.2</w:t>
            </w:r>
          </w:p>
        </w:tc>
        <w:tc>
          <w:tcPr>
            <w:tcW w:w="0" w:type="auto"/>
          </w:tcPr>
          <w:p w:rsidR="00232ED1" w:rsidRPr="00D5736E" w:rsidRDefault="00232ED1" w:rsidP="00D5736E">
            <w:pPr>
              <w:spacing w:after="0" w:line="240" w:lineRule="auto"/>
              <w:jc w:val="both"/>
              <w:rPr>
                <w:sz w:val="20"/>
                <w:szCs w:val="20"/>
              </w:rPr>
            </w:pPr>
            <w:r w:rsidRPr="00D5736E">
              <w:rPr>
                <w:sz w:val="20"/>
                <w:szCs w:val="20"/>
              </w:rPr>
              <w:t>Doplnění aktivity do Opatření 1.1.3. Text bude doplněn o následující větu:</w:t>
            </w:r>
          </w:p>
          <w:p w:rsidR="00232ED1" w:rsidRPr="00D5736E" w:rsidRDefault="00232ED1" w:rsidP="00D5736E">
            <w:pPr>
              <w:spacing w:after="0" w:line="240" w:lineRule="auto"/>
              <w:jc w:val="both"/>
              <w:rPr>
                <w:sz w:val="20"/>
                <w:szCs w:val="20"/>
              </w:rPr>
            </w:pPr>
            <w:r w:rsidRPr="00D5736E">
              <w:rPr>
                <w:sz w:val="20"/>
                <w:szCs w:val="20"/>
              </w:rPr>
              <w:t>„</w:t>
            </w:r>
            <w:r w:rsidRPr="00D5736E">
              <w:rPr>
                <w:i/>
                <w:sz w:val="20"/>
                <w:szCs w:val="20"/>
              </w:rPr>
              <w:t>Budování pěší infrastruktury (chodníky, přechody, lávky, přechody pro chodce a místa pro přecházení) pro zvýšení bezpečnosti pěší dopravy, včetně prvků zvyšujících bezpečnost pěší dopravy.“</w:t>
            </w:r>
          </w:p>
        </w:tc>
        <w:tc>
          <w:tcPr>
            <w:tcW w:w="0" w:type="auto"/>
          </w:tcPr>
          <w:p w:rsidR="00232ED1" w:rsidRPr="00D5736E" w:rsidRDefault="00232ED1" w:rsidP="00D5736E">
            <w:pPr>
              <w:spacing w:after="0" w:line="240" w:lineRule="auto"/>
              <w:jc w:val="both"/>
              <w:rPr>
                <w:sz w:val="20"/>
                <w:szCs w:val="20"/>
              </w:rPr>
            </w:pPr>
            <w:r w:rsidRPr="00D5736E">
              <w:rPr>
                <w:sz w:val="20"/>
                <w:szCs w:val="20"/>
              </w:rPr>
              <w:t xml:space="preserve">Doplnění aktivity pro bezpečnost pěší dopravy do Opatření 1.1.3 umožní v rámci opatření realizovat projekty na budování pěší infrastruktury a zajištění bezpečnosti a vykazovat v rámci projektu způsobilé výdaje na tyto aktivity. Tato změna umožní rychlejší čerpání a nahrazení výpadku projektů v roce 2018 v Opatření 1.1.3 strategie. </w:t>
            </w:r>
          </w:p>
        </w:tc>
      </w:tr>
      <w:tr w:rsidR="00232ED1" w:rsidRPr="00D5736E" w:rsidTr="003D3EF2">
        <w:trPr>
          <w:trHeight w:val="1538"/>
        </w:trPr>
        <w:tc>
          <w:tcPr>
            <w:tcW w:w="0" w:type="auto"/>
          </w:tcPr>
          <w:p w:rsidR="00232ED1" w:rsidRPr="00D5736E" w:rsidRDefault="00232ED1" w:rsidP="00D5736E">
            <w:pPr>
              <w:spacing w:after="0" w:line="240" w:lineRule="auto"/>
              <w:jc w:val="both"/>
              <w:rPr>
                <w:sz w:val="20"/>
                <w:szCs w:val="20"/>
              </w:rPr>
            </w:pPr>
            <w:r w:rsidRPr="00D5736E">
              <w:rPr>
                <w:sz w:val="20"/>
                <w:szCs w:val="20"/>
              </w:rPr>
              <w:t>159-161</w:t>
            </w:r>
          </w:p>
        </w:tc>
        <w:tc>
          <w:tcPr>
            <w:tcW w:w="0" w:type="auto"/>
          </w:tcPr>
          <w:p w:rsidR="00232ED1" w:rsidRPr="00D5736E" w:rsidRDefault="00232ED1" w:rsidP="00D5736E">
            <w:pPr>
              <w:spacing w:after="0" w:line="240" w:lineRule="auto"/>
              <w:jc w:val="both"/>
              <w:rPr>
                <w:sz w:val="20"/>
                <w:szCs w:val="20"/>
              </w:rPr>
            </w:pPr>
            <w:r w:rsidRPr="00D5736E">
              <w:rPr>
                <w:sz w:val="20"/>
                <w:szCs w:val="20"/>
              </w:rPr>
              <w:t>1.1.4</w:t>
            </w:r>
          </w:p>
          <w:p w:rsidR="00232ED1" w:rsidRPr="00D5736E" w:rsidRDefault="00232ED1" w:rsidP="00D5736E">
            <w:pPr>
              <w:spacing w:after="0" w:line="240" w:lineRule="auto"/>
              <w:jc w:val="both"/>
              <w:rPr>
                <w:sz w:val="20"/>
                <w:szCs w:val="20"/>
              </w:rPr>
            </w:pPr>
            <w:r w:rsidRPr="00D5736E">
              <w:rPr>
                <w:sz w:val="20"/>
                <w:szCs w:val="20"/>
              </w:rPr>
              <w:t>Podpora využívání a rozvoje městské hromadné a příměstské dopravy a dopravní obslužnosti města</w:t>
            </w:r>
          </w:p>
        </w:tc>
        <w:tc>
          <w:tcPr>
            <w:tcW w:w="0" w:type="auto"/>
          </w:tcPr>
          <w:p w:rsidR="00232ED1" w:rsidRPr="00D5736E" w:rsidRDefault="00232ED1" w:rsidP="00D5736E">
            <w:pPr>
              <w:spacing w:after="0" w:line="240" w:lineRule="auto"/>
              <w:jc w:val="both"/>
              <w:rPr>
                <w:sz w:val="20"/>
                <w:szCs w:val="20"/>
              </w:rPr>
            </w:pPr>
            <w:r w:rsidRPr="00D5736E">
              <w:rPr>
                <w:sz w:val="20"/>
                <w:szCs w:val="20"/>
              </w:rPr>
              <w:t>IROP, SC 1.2</w:t>
            </w:r>
          </w:p>
        </w:tc>
        <w:tc>
          <w:tcPr>
            <w:tcW w:w="0" w:type="auto"/>
          </w:tcPr>
          <w:p w:rsidR="00232ED1" w:rsidRPr="00D5736E" w:rsidRDefault="00232ED1" w:rsidP="00D5736E">
            <w:pPr>
              <w:spacing w:after="0" w:line="240" w:lineRule="auto"/>
              <w:jc w:val="both"/>
              <w:rPr>
                <w:sz w:val="20"/>
                <w:szCs w:val="20"/>
              </w:rPr>
            </w:pPr>
            <w:r w:rsidRPr="00D5736E">
              <w:rPr>
                <w:sz w:val="20"/>
                <w:szCs w:val="20"/>
              </w:rPr>
              <w:t xml:space="preserve">Zařazení indikátoru </w:t>
            </w:r>
            <w:r w:rsidRPr="00D5736E">
              <w:rPr>
                <w:i/>
                <w:sz w:val="20"/>
                <w:szCs w:val="20"/>
              </w:rPr>
              <w:t>7 64 01 – Počet parkovacích míst pro jízdní kola</w:t>
            </w:r>
            <w:r w:rsidRPr="00D5736E">
              <w:rPr>
                <w:sz w:val="20"/>
                <w:szCs w:val="20"/>
              </w:rPr>
              <w:t xml:space="preserve">. </w:t>
            </w:r>
          </w:p>
        </w:tc>
        <w:tc>
          <w:tcPr>
            <w:tcW w:w="0" w:type="auto"/>
          </w:tcPr>
          <w:p w:rsidR="00232ED1" w:rsidRPr="00D5736E" w:rsidRDefault="00232ED1" w:rsidP="00D5736E">
            <w:pPr>
              <w:spacing w:after="0" w:line="240" w:lineRule="auto"/>
              <w:jc w:val="both"/>
              <w:rPr>
                <w:sz w:val="20"/>
                <w:szCs w:val="20"/>
              </w:rPr>
            </w:pPr>
            <w:r w:rsidRPr="00D5736E">
              <w:rPr>
                <w:sz w:val="20"/>
                <w:szCs w:val="20"/>
              </w:rPr>
              <w:t xml:space="preserve">V důsledku zařazení indikátoru k Opatření 1.1.4. dojde k realizaci </w:t>
            </w:r>
            <w:r w:rsidR="00F82065" w:rsidRPr="00D5736E">
              <w:rPr>
                <w:sz w:val="20"/>
                <w:szCs w:val="20"/>
              </w:rPr>
              <w:t xml:space="preserve">40 </w:t>
            </w:r>
            <w:r w:rsidRPr="00D5736E">
              <w:rPr>
                <w:sz w:val="20"/>
                <w:szCs w:val="20"/>
              </w:rPr>
              <w:t xml:space="preserve">parkovacích míst pro kola i v rámci projektů na vybudování přestupních uzlů – terminálů. Cílová hodnota – celkem 80 parkovacích míst bude rozložena mezi dvě opatření (1.1.3 a 1.1.4) a </w:t>
            </w:r>
            <w:r w:rsidR="00F82065" w:rsidRPr="00D5736E">
              <w:rPr>
                <w:sz w:val="20"/>
                <w:szCs w:val="20"/>
              </w:rPr>
              <w:t xml:space="preserve">mezi </w:t>
            </w:r>
            <w:r w:rsidRPr="00D5736E">
              <w:rPr>
                <w:sz w:val="20"/>
                <w:szCs w:val="20"/>
              </w:rPr>
              <w:t xml:space="preserve">větší počet projektů. V důsledku toho </w:t>
            </w:r>
            <w:r w:rsidR="00F82065" w:rsidRPr="00D5736E">
              <w:rPr>
                <w:sz w:val="20"/>
                <w:szCs w:val="20"/>
              </w:rPr>
              <w:t>dochází</w:t>
            </w:r>
            <w:r w:rsidRPr="00D5736E">
              <w:rPr>
                <w:sz w:val="20"/>
                <w:szCs w:val="20"/>
              </w:rPr>
              <w:t xml:space="preserve"> k podstatnému snížen</w:t>
            </w:r>
            <w:r w:rsidR="00D5736E" w:rsidRPr="00D5736E">
              <w:rPr>
                <w:sz w:val="20"/>
                <w:szCs w:val="20"/>
              </w:rPr>
              <w:t>í rizika nedodržení indikátoru.</w:t>
            </w:r>
          </w:p>
        </w:tc>
      </w:tr>
      <w:tr w:rsidR="00232ED1" w:rsidRPr="00D5736E" w:rsidTr="003D3EF2">
        <w:trPr>
          <w:trHeight w:val="258"/>
        </w:trPr>
        <w:tc>
          <w:tcPr>
            <w:tcW w:w="0" w:type="auto"/>
          </w:tcPr>
          <w:p w:rsidR="00232ED1" w:rsidRPr="00D5736E" w:rsidRDefault="00232ED1" w:rsidP="00D5736E">
            <w:pPr>
              <w:spacing w:after="0" w:line="240" w:lineRule="auto"/>
              <w:jc w:val="both"/>
              <w:rPr>
                <w:sz w:val="20"/>
                <w:szCs w:val="20"/>
              </w:rPr>
            </w:pPr>
            <w:r w:rsidRPr="00D5736E">
              <w:rPr>
                <w:sz w:val="20"/>
                <w:szCs w:val="20"/>
              </w:rPr>
              <w:t>164-165</w:t>
            </w:r>
          </w:p>
        </w:tc>
        <w:tc>
          <w:tcPr>
            <w:tcW w:w="0" w:type="auto"/>
          </w:tcPr>
          <w:p w:rsidR="00232ED1" w:rsidRPr="00D5736E" w:rsidRDefault="00232ED1" w:rsidP="00D5736E">
            <w:pPr>
              <w:spacing w:after="0" w:line="240" w:lineRule="auto"/>
              <w:jc w:val="both"/>
              <w:rPr>
                <w:sz w:val="20"/>
                <w:szCs w:val="20"/>
              </w:rPr>
            </w:pPr>
            <w:r w:rsidRPr="00D5736E">
              <w:rPr>
                <w:sz w:val="20"/>
                <w:szCs w:val="20"/>
              </w:rPr>
              <w:t>1.1.4</w:t>
            </w:r>
          </w:p>
          <w:p w:rsidR="00232ED1" w:rsidRPr="00D5736E" w:rsidRDefault="00232ED1" w:rsidP="00D5736E">
            <w:pPr>
              <w:spacing w:after="0" w:line="240" w:lineRule="auto"/>
              <w:jc w:val="both"/>
              <w:rPr>
                <w:sz w:val="20"/>
                <w:szCs w:val="20"/>
              </w:rPr>
            </w:pPr>
            <w:r w:rsidRPr="00D5736E">
              <w:rPr>
                <w:sz w:val="20"/>
                <w:szCs w:val="20"/>
              </w:rPr>
              <w:t>Podpora využívání a rozvoje městské hromadné a příměstské dopravy a dopravní obslužnosti města</w:t>
            </w:r>
          </w:p>
        </w:tc>
        <w:tc>
          <w:tcPr>
            <w:tcW w:w="0" w:type="auto"/>
          </w:tcPr>
          <w:p w:rsidR="00232ED1" w:rsidRPr="00D5736E" w:rsidRDefault="00232ED1" w:rsidP="00D5736E">
            <w:pPr>
              <w:spacing w:after="0" w:line="240" w:lineRule="auto"/>
              <w:jc w:val="both"/>
              <w:rPr>
                <w:sz w:val="20"/>
                <w:szCs w:val="20"/>
              </w:rPr>
            </w:pPr>
            <w:r w:rsidRPr="00D5736E">
              <w:rPr>
                <w:sz w:val="20"/>
                <w:szCs w:val="20"/>
              </w:rPr>
              <w:t>OP Doprava</w:t>
            </w:r>
          </w:p>
          <w:p w:rsidR="00232ED1" w:rsidRPr="00D5736E" w:rsidRDefault="00232ED1" w:rsidP="00D5736E">
            <w:pPr>
              <w:spacing w:after="0" w:line="240" w:lineRule="auto"/>
              <w:jc w:val="both"/>
              <w:rPr>
                <w:sz w:val="20"/>
                <w:szCs w:val="20"/>
              </w:rPr>
            </w:pPr>
            <w:r w:rsidRPr="00D5736E">
              <w:rPr>
                <w:sz w:val="20"/>
                <w:szCs w:val="20"/>
              </w:rPr>
              <w:t>SC 1.4</w:t>
            </w:r>
          </w:p>
        </w:tc>
        <w:tc>
          <w:tcPr>
            <w:tcW w:w="0" w:type="auto"/>
          </w:tcPr>
          <w:p w:rsidR="00232ED1" w:rsidRPr="00D5736E" w:rsidRDefault="00232ED1" w:rsidP="00D5736E">
            <w:pPr>
              <w:spacing w:after="0" w:line="240" w:lineRule="auto"/>
              <w:jc w:val="both"/>
              <w:rPr>
                <w:sz w:val="20"/>
                <w:szCs w:val="20"/>
              </w:rPr>
            </w:pPr>
            <w:r w:rsidRPr="00D5736E">
              <w:rPr>
                <w:sz w:val="20"/>
                <w:szCs w:val="20"/>
              </w:rPr>
              <w:t>Přesun alokace z roku 2017 do r. 2018 ve výši 12 750 000 Kč (EU) 15 000 000 (Celkové způsobilé výdaje) a 2 250 000 (Vlastní zdroje příjemce)</w:t>
            </w:r>
          </w:p>
        </w:tc>
        <w:tc>
          <w:tcPr>
            <w:tcW w:w="0" w:type="auto"/>
          </w:tcPr>
          <w:p w:rsidR="00232ED1" w:rsidRPr="00D5736E" w:rsidRDefault="00232ED1" w:rsidP="00D5736E">
            <w:pPr>
              <w:spacing w:after="0" w:line="240" w:lineRule="auto"/>
              <w:jc w:val="both"/>
              <w:rPr>
                <w:sz w:val="20"/>
                <w:szCs w:val="20"/>
              </w:rPr>
            </w:pPr>
            <w:r w:rsidRPr="00D5736E">
              <w:rPr>
                <w:sz w:val="20"/>
                <w:szCs w:val="20"/>
              </w:rPr>
              <w:t xml:space="preserve">Realizace projektu v rámci Opatření 1.1.4 proběhne v roce 2018 a ve větším rozsahu než bylo původně v rámci finalizace strategie plánováno. Jedná se o projekt </w:t>
            </w:r>
            <w:proofErr w:type="spellStart"/>
            <w:r w:rsidRPr="00D5736E">
              <w:rPr>
                <w:sz w:val="20"/>
                <w:szCs w:val="20"/>
              </w:rPr>
              <w:t>DPmČB</w:t>
            </w:r>
            <w:proofErr w:type="spellEnd"/>
            <w:r w:rsidRPr="00D5736E">
              <w:rPr>
                <w:sz w:val="20"/>
                <w:szCs w:val="20"/>
              </w:rPr>
              <w:t xml:space="preserve"> – Modernizace měníren. Současně s touto změnou </w:t>
            </w:r>
            <w:r w:rsidR="00D5736E" w:rsidRPr="00D5736E">
              <w:rPr>
                <w:sz w:val="20"/>
                <w:szCs w:val="20"/>
              </w:rPr>
              <w:t>byla</w:t>
            </w:r>
            <w:r w:rsidRPr="00D5736E">
              <w:rPr>
                <w:sz w:val="20"/>
                <w:szCs w:val="20"/>
              </w:rPr>
              <w:t xml:space="preserve"> provedena úprava rozložení mezi SR a vlastními zdroji příjemce. Příspěvek SR není v rámci OP Doprava poskytován – z toho důvodu </w:t>
            </w:r>
            <w:r w:rsidR="00D5736E" w:rsidRPr="00D5736E">
              <w:rPr>
                <w:sz w:val="20"/>
                <w:szCs w:val="20"/>
              </w:rPr>
              <w:t>byla</w:t>
            </w:r>
            <w:r w:rsidRPr="00D5736E">
              <w:rPr>
                <w:sz w:val="20"/>
                <w:szCs w:val="20"/>
              </w:rPr>
              <w:t xml:space="preserve"> částka převedena do Vlastních zdrojů příjemce. </w:t>
            </w:r>
          </w:p>
        </w:tc>
      </w:tr>
      <w:tr w:rsidR="00232ED1" w:rsidRPr="00D5736E" w:rsidTr="003D3EF2">
        <w:trPr>
          <w:trHeight w:val="258"/>
        </w:trPr>
        <w:tc>
          <w:tcPr>
            <w:tcW w:w="0" w:type="auto"/>
          </w:tcPr>
          <w:p w:rsidR="00232ED1" w:rsidRPr="00D5736E" w:rsidRDefault="00232ED1" w:rsidP="00D5736E">
            <w:pPr>
              <w:spacing w:after="0" w:line="240" w:lineRule="auto"/>
              <w:jc w:val="both"/>
              <w:rPr>
                <w:sz w:val="20"/>
                <w:szCs w:val="20"/>
              </w:rPr>
            </w:pPr>
            <w:r w:rsidRPr="00D5736E">
              <w:rPr>
                <w:sz w:val="20"/>
                <w:szCs w:val="20"/>
              </w:rPr>
              <w:t>159-161</w:t>
            </w:r>
          </w:p>
        </w:tc>
        <w:tc>
          <w:tcPr>
            <w:tcW w:w="0" w:type="auto"/>
          </w:tcPr>
          <w:p w:rsidR="00232ED1" w:rsidRPr="00D5736E" w:rsidRDefault="00232ED1" w:rsidP="00D5736E">
            <w:pPr>
              <w:spacing w:after="0" w:line="240" w:lineRule="auto"/>
              <w:jc w:val="both"/>
              <w:rPr>
                <w:sz w:val="20"/>
                <w:szCs w:val="20"/>
              </w:rPr>
            </w:pPr>
            <w:r w:rsidRPr="00D5736E">
              <w:rPr>
                <w:sz w:val="20"/>
                <w:szCs w:val="20"/>
              </w:rPr>
              <w:t>1.1.4</w:t>
            </w:r>
          </w:p>
          <w:p w:rsidR="00232ED1" w:rsidRPr="00D5736E" w:rsidRDefault="00232ED1" w:rsidP="00D5736E">
            <w:pPr>
              <w:spacing w:after="0" w:line="240" w:lineRule="auto"/>
              <w:jc w:val="both"/>
              <w:rPr>
                <w:sz w:val="20"/>
                <w:szCs w:val="20"/>
              </w:rPr>
            </w:pPr>
            <w:r w:rsidRPr="00D5736E">
              <w:rPr>
                <w:sz w:val="20"/>
                <w:szCs w:val="20"/>
              </w:rPr>
              <w:t>Podpora využívání a rozvoje městské hromadné a příměstské dopravy a dopravní obslužnosti města</w:t>
            </w:r>
          </w:p>
        </w:tc>
        <w:tc>
          <w:tcPr>
            <w:tcW w:w="0" w:type="auto"/>
          </w:tcPr>
          <w:p w:rsidR="00232ED1" w:rsidRPr="00D5736E" w:rsidRDefault="00232ED1" w:rsidP="00D5736E">
            <w:pPr>
              <w:spacing w:after="0" w:line="240" w:lineRule="auto"/>
              <w:jc w:val="both"/>
              <w:rPr>
                <w:sz w:val="20"/>
                <w:szCs w:val="20"/>
              </w:rPr>
            </w:pPr>
            <w:r w:rsidRPr="00D5736E">
              <w:rPr>
                <w:sz w:val="20"/>
                <w:szCs w:val="20"/>
              </w:rPr>
              <w:t>OP Doprava</w:t>
            </w:r>
          </w:p>
          <w:p w:rsidR="00232ED1" w:rsidRPr="00D5736E" w:rsidRDefault="00232ED1" w:rsidP="00D5736E">
            <w:pPr>
              <w:spacing w:after="0" w:line="240" w:lineRule="auto"/>
              <w:jc w:val="both"/>
              <w:rPr>
                <w:sz w:val="20"/>
                <w:szCs w:val="20"/>
              </w:rPr>
            </w:pPr>
            <w:r w:rsidRPr="00D5736E">
              <w:rPr>
                <w:sz w:val="20"/>
                <w:szCs w:val="20"/>
              </w:rPr>
              <w:t>SC 1.4</w:t>
            </w:r>
          </w:p>
        </w:tc>
        <w:tc>
          <w:tcPr>
            <w:tcW w:w="0" w:type="auto"/>
          </w:tcPr>
          <w:p w:rsidR="00232ED1" w:rsidRPr="00D5736E" w:rsidRDefault="00232ED1" w:rsidP="00D5736E">
            <w:pPr>
              <w:spacing w:after="0" w:line="240" w:lineRule="auto"/>
              <w:jc w:val="both"/>
              <w:rPr>
                <w:sz w:val="20"/>
                <w:szCs w:val="20"/>
              </w:rPr>
            </w:pPr>
            <w:r w:rsidRPr="00D5736E">
              <w:rPr>
                <w:sz w:val="20"/>
                <w:szCs w:val="20"/>
              </w:rPr>
              <w:t xml:space="preserve">Vyřazení indikátoru </w:t>
            </w:r>
            <w:r w:rsidR="00520D3D" w:rsidRPr="00D5736E">
              <w:rPr>
                <w:i/>
                <w:sz w:val="20"/>
                <w:szCs w:val="20"/>
              </w:rPr>
              <w:t>746</w:t>
            </w:r>
            <w:r w:rsidRPr="00D5736E">
              <w:rPr>
                <w:i/>
                <w:sz w:val="20"/>
                <w:szCs w:val="20"/>
              </w:rPr>
              <w:t>00 - Celková délka nových nebo modernizovaných linek metra, tramvajových, nebo trolejbusových tratí.</w:t>
            </w:r>
          </w:p>
          <w:p w:rsidR="00232ED1" w:rsidRPr="00D5736E" w:rsidRDefault="00232ED1" w:rsidP="00D5736E">
            <w:pPr>
              <w:spacing w:after="0" w:line="240" w:lineRule="auto"/>
              <w:jc w:val="both"/>
              <w:rPr>
                <w:sz w:val="20"/>
                <w:szCs w:val="20"/>
              </w:rPr>
            </w:pPr>
            <w:r w:rsidRPr="00D5736E">
              <w:rPr>
                <w:sz w:val="20"/>
                <w:szCs w:val="20"/>
              </w:rPr>
              <w:t xml:space="preserve">Zařazení indikátoru </w:t>
            </w:r>
            <w:r w:rsidRPr="00D5736E">
              <w:rPr>
                <w:i/>
                <w:sz w:val="20"/>
                <w:szCs w:val="20"/>
              </w:rPr>
              <w:t>74501 Počet nových či zmodernizovaných zařízení obslužné a napájecí infrastruktury městské drážní dopravy</w:t>
            </w:r>
            <w:r w:rsidRPr="00D5736E">
              <w:rPr>
                <w:sz w:val="20"/>
                <w:szCs w:val="20"/>
              </w:rPr>
              <w:t>. Cílová hodnota 1 zařízení.</w:t>
            </w:r>
          </w:p>
        </w:tc>
        <w:tc>
          <w:tcPr>
            <w:tcW w:w="0" w:type="auto"/>
          </w:tcPr>
          <w:p w:rsidR="00232ED1" w:rsidRPr="00D5736E" w:rsidRDefault="00232ED1" w:rsidP="00D5736E">
            <w:pPr>
              <w:spacing w:after="0" w:line="240" w:lineRule="auto"/>
              <w:jc w:val="both"/>
              <w:rPr>
                <w:sz w:val="20"/>
                <w:szCs w:val="20"/>
              </w:rPr>
            </w:pPr>
            <w:r w:rsidRPr="00D5736E">
              <w:rPr>
                <w:sz w:val="20"/>
                <w:szCs w:val="20"/>
              </w:rPr>
              <w:t>Změna indikátoru je provedena po</w:t>
            </w:r>
            <w:r w:rsidR="003D3EF2">
              <w:rPr>
                <w:sz w:val="20"/>
                <w:szCs w:val="20"/>
              </w:rPr>
              <w:t xml:space="preserve"> dohodě a odsouhlasení s Ř</w:t>
            </w:r>
            <w:r w:rsidRPr="00D5736E">
              <w:rPr>
                <w:sz w:val="20"/>
                <w:szCs w:val="20"/>
              </w:rPr>
              <w:t xml:space="preserve">ídícím orgánem – Ministerstvem dopravy ČR. Řídící orgán v rámci schválení strategie (11/2015) a výzvy nositele (12/2016) odsouhlasil zařazení indikátoru 74500. </w:t>
            </w:r>
            <w:r w:rsidR="003D3EF2">
              <w:rPr>
                <w:sz w:val="20"/>
                <w:szCs w:val="20"/>
              </w:rPr>
              <w:t>Následně Ř</w:t>
            </w:r>
            <w:r w:rsidRPr="00D5736E">
              <w:rPr>
                <w:sz w:val="20"/>
                <w:szCs w:val="20"/>
              </w:rPr>
              <w:t xml:space="preserve">ídící orgán, v rámci konzultací k předpokládanému záměru </w:t>
            </w:r>
            <w:proofErr w:type="spellStart"/>
            <w:r w:rsidRPr="00D5736E">
              <w:rPr>
                <w:sz w:val="20"/>
                <w:szCs w:val="20"/>
              </w:rPr>
              <w:t>DPmČB</w:t>
            </w:r>
            <w:proofErr w:type="spellEnd"/>
            <w:r w:rsidRPr="00D5736E">
              <w:rPr>
                <w:sz w:val="20"/>
                <w:szCs w:val="20"/>
              </w:rPr>
              <w:t xml:space="preserve">, doporučil nositeli provedení změny indikátoru. Tato změna byla již ŘV schválena na jednání dne 14. 6. </w:t>
            </w:r>
            <w:r w:rsidR="00D5736E" w:rsidRPr="00D5736E">
              <w:rPr>
                <w:sz w:val="20"/>
                <w:szCs w:val="20"/>
              </w:rPr>
              <w:t xml:space="preserve">2017 </w:t>
            </w:r>
            <w:r w:rsidRPr="00D5736E">
              <w:rPr>
                <w:sz w:val="20"/>
                <w:szCs w:val="20"/>
              </w:rPr>
              <w:t xml:space="preserve">a </w:t>
            </w:r>
            <w:r w:rsidR="00D5736E" w:rsidRPr="00D5736E">
              <w:rPr>
                <w:sz w:val="20"/>
                <w:szCs w:val="20"/>
              </w:rPr>
              <w:t>byla</w:t>
            </w:r>
            <w:r w:rsidRPr="00D5736E">
              <w:rPr>
                <w:sz w:val="20"/>
                <w:szCs w:val="20"/>
              </w:rPr>
              <w:t xml:space="preserve"> předložena opakovaně, jelikož ji nebylo možno předložit v rámci první žádosti o změnu z důvodu chybového stavu v monitorovacím systému MS 2014+, který byl odstraněn dne 25. 10. 2017. Změna byla konzultována s ŘO OP Doprava a byla odsouhlasena.</w:t>
            </w:r>
          </w:p>
        </w:tc>
      </w:tr>
      <w:tr w:rsidR="00232ED1" w:rsidRPr="00D5736E" w:rsidTr="003D3EF2">
        <w:trPr>
          <w:trHeight w:val="258"/>
        </w:trPr>
        <w:tc>
          <w:tcPr>
            <w:tcW w:w="0" w:type="auto"/>
          </w:tcPr>
          <w:p w:rsidR="00232ED1" w:rsidRPr="00D5736E" w:rsidRDefault="00232ED1" w:rsidP="00D5736E">
            <w:pPr>
              <w:spacing w:after="0" w:line="240" w:lineRule="auto"/>
              <w:jc w:val="both"/>
              <w:rPr>
                <w:sz w:val="20"/>
                <w:szCs w:val="20"/>
              </w:rPr>
            </w:pPr>
            <w:r w:rsidRPr="00D5736E">
              <w:rPr>
                <w:sz w:val="20"/>
                <w:szCs w:val="20"/>
              </w:rPr>
              <w:t>164-165</w:t>
            </w:r>
          </w:p>
        </w:tc>
        <w:tc>
          <w:tcPr>
            <w:tcW w:w="0" w:type="auto"/>
          </w:tcPr>
          <w:p w:rsidR="00232ED1" w:rsidRPr="00D5736E" w:rsidRDefault="00232ED1" w:rsidP="00D5736E">
            <w:pPr>
              <w:spacing w:after="0" w:line="240" w:lineRule="auto"/>
              <w:jc w:val="both"/>
              <w:rPr>
                <w:sz w:val="20"/>
                <w:szCs w:val="20"/>
              </w:rPr>
            </w:pPr>
            <w:r w:rsidRPr="00D5736E">
              <w:rPr>
                <w:sz w:val="20"/>
                <w:szCs w:val="20"/>
              </w:rPr>
              <w:t xml:space="preserve">2.1.3 </w:t>
            </w:r>
          </w:p>
          <w:p w:rsidR="00232ED1" w:rsidRPr="00D5736E" w:rsidRDefault="00232ED1" w:rsidP="00D5736E">
            <w:pPr>
              <w:spacing w:after="0" w:line="240" w:lineRule="auto"/>
              <w:jc w:val="both"/>
              <w:rPr>
                <w:sz w:val="20"/>
                <w:szCs w:val="20"/>
              </w:rPr>
            </w:pPr>
            <w:r w:rsidRPr="00D5736E">
              <w:rPr>
                <w:sz w:val="20"/>
                <w:szCs w:val="20"/>
              </w:rPr>
              <w:t>Rozšíření kapacity předškolních zařízení s cílem zvýšit účast na vzdělávání</w:t>
            </w:r>
          </w:p>
        </w:tc>
        <w:tc>
          <w:tcPr>
            <w:tcW w:w="0" w:type="auto"/>
          </w:tcPr>
          <w:p w:rsidR="00232ED1" w:rsidRPr="00D5736E" w:rsidRDefault="00232ED1" w:rsidP="00D5736E">
            <w:pPr>
              <w:spacing w:after="0" w:line="240" w:lineRule="auto"/>
              <w:jc w:val="both"/>
              <w:rPr>
                <w:sz w:val="20"/>
                <w:szCs w:val="20"/>
              </w:rPr>
            </w:pPr>
            <w:r w:rsidRPr="00D5736E">
              <w:rPr>
                <w:sz w:val="20"/>
                <w:szCs w:val="20"/>
              </w:rPr>
              <w:t>IROP</w:t>
            </w:r>
          </w:p>
          <w:p w:rsidR="00232ED1" w:rsidRPr="00D5736E" w:rsidRDefault="00232ED1" w:rsidP="00D5736E">
            <w:pPr>
              <w:spacing w:after="0" w:line="240" w:lineRule="auto"/>
              <w:jc w:val="both"/>
              <w:rPr>
                <w:sz w:val="20"/>
                <w:szCs w:val="20"/>
              </w:rPr>
            </w:pPr>
            <w:r w:rsidRPr="00D5736E">
              <w:rPr>
                <w:sz w:val="20"/>
                <w:szCs w:val="20"/>
              </w:rPr>
              <w:t>SC 2.4</w:t>
            </w:r>
          </w:p>
        </w:tc>
        <w:tc>
          <w:tcPr>
            <w:tcW w:w="0" w:type="auto"/>
          </w:tcPr>
          <w:p w:rsidR="00232ED1" w:rsidRPr="00D5736E" w:rsidRDefault="00232ED1" w:rsidP="00D5736E">
            <w:pPr>
              <w:spacing w:after="0" w:line="240" w:lineRule="auto"/>
              <w:jc w:val="both"/>
              <w:rPr>
                <w:sz w:val="20"/>
                <w:szCs w:val="20"/>
              </w:rPr>
            </w:pPr>
            <w:r w:rsidRPr="00D5736E">
              <w:rPr>
                <w:sz w:val="20"/>
                <w:szCs w:val="20"/>
              </w:rPr>
              <w:t>Přesun alokace z roku 2017 do 2018 ve výši 37 408 500 Kč, (příspěvek EU) 44 010 000 Kč (Celkové způsobilé výdaje) a 2 200 500 Kč (příspěvek SR)</w:t>
            </w:r>
          </w:p>
          <w:p w:rsidR="00232ED1" w:rsidRPr="00D5736E" w:rsidRDefault="00232ED1" w:rsidP="00D5736E">
            <w:pPr>
              <w:spacing w:after="0" w:line="240" w:lineRule="auto"/>
              <w:jc w:val="both"/>
              <w:rPr>
                <w:sz w:val="20"/>
                <w:szCs w:val="20"/>
              </w:rPr>
            </w:pPr>
          </w:p>
        </w:tc>
        <w:tc>
          <w:tcPr>
            <w:tcW w:w="0" w:type="auto"/>
          </w:tcPr>
          <w:p w:rsidR="00232ED1" w:rsidRPr="00D5736E" w:rsidRDefault="00232ED1" w:rsidP="00D5736E">
            <w:pPr>
              <w:spacing w:after="0" w:line="240" w:lineRule="auto"/>
              <w:jc w:val="both"/>
              <w:rPr>
                <w:sz w:val="20"/>
                <w:szCs w:val="20"/>
              </w:rPr>
            </w:pPr>
            <w:r w:rsidRPr="00D5736E">
              <w:rPr>
                <w:sz w:val="20"/>
                <w:szCs w:val="20"/>
              </w:rPr>
              <w:t xml:space="preserve">V roce 2017 byly dokončeny 2 projekty na navýšení kapacity MŠ (MŠ E Destinové a MŠ Nemanice). Ke </w:t>
            </w:r>
            <w:r w:rsidR="003D3EF2">
              <w:rPr>
                <w:sz w:val="20"/>
                <w:szCs w:val="20"/>
              </w:rPr>
              <w:t>dni podání změny nebylo vydáno Ř</w:t>
            </w:r>
            <w:r w:rsidRPr="00D5736E">
              <w:rPr>
                <w:sz w:val="20"/>
                <w:szCs w:val="20"/>
              </w:rPr>
              <w:t>ídícím orgánem rozhodnutí o poskytnutí dotace. Z toho důvodu nemohly být předloženy žádosti o platbu a dojít k naplnění finančního plánu v r. 2017. Řídící orgán si je vědom prodlení při schvalování žádostí o dotace a tuto změnu akceptuje bez připomínek.</w:t>
            </w:r>
          </w:p>
        </w:tc>
      </w:tr>
      <w:tr w:rsidR="00232ED1" w:rsidRPr="00D5736E" w:rsidTr="003D3EF2">
        <w:trPr>
          <w:trHeight w:val="258"/>
        </w:trPr>
        <w:tc>
          <w:tcPr>
            <w:tcW w:w="0" w:type="auto"/>
          </w:tcPr>
          <w:p w:rsidR="00232ED1" w:rsidRPr="00D5736E" w:rsidRDefault="00232ED1" w:rsidP="00D5736E">
            <w:pPr>
              <w:spacing w:after="0" w:line="240" w:lineRule="auto"/>
              <w:jc w:val="both"/>
              <w:rPr>
                <w:sz w:val="20"/>
                <w:szCs w:val="20"/>
              </w:rPr>
            </w:pPr>
            <w:r w:rsidRPr="00D5736E">
              <w:rPr>
                <w:sz w:val="20"/>
                <w:szCs w:val="20"/>
              </w:rPr>
              <w:t>165-169</w:t>
            </w:r>
          </w:p>
        </w:tc>
        <w:tc>
          <w:tcPr>
            <w:tcW w:w="0" w:type="auto"/>
          </w:tcPr>
          <w:p w:rsidR="00232ED1" w:rsidRPr="00D5736E" w:rsidRDefault="00232ED1" w:rsidP="00D5736E">
            <w:pPr>
              <w:spacing w:after="0" w:line="240" w:lineRule="auto"/>
              <w:jc w:val="both"/>
              <w:rPr>
                <w:sz w:val="20"/>
                <w:szCs w:val="20"/>
              </w:rPr>
            </w:pPr>
            <w:r w:rsidRPr="00D5736E">
              <w:rPr>
                <w:sz w:val="20"/>
                <w:szCs w:val="20"/>
              </w:rPr>
              <w:t>1.1.3</w:t>
            </w:r>
          </w:p>
          <w:p w:rsidR="00232ED1" w:rsidRPr="00D5736E" w:rsidRDefault="00232ED1" w:rsidP="00D5736E">
            <w:pPr>
              <w:spacing w:after="0" w:line="240" w:lineRule="auto"/>
              <w:jc w:val="both"/>
              <w:rPr>
                <w:sz w:val="20"/>
                <w:szCs w:val="20"/>
              </w:rPr>
            </w:pPr>
            <w:r w:rsidRPr="00D5736E">
              <w:rPr>
                <w:sz w:val="20"/>
                <w:szCs w:val="20"/>
              </w:rPr>
              <w:t>Zlepšení podmínek pro alternativní způsoby dopravy</w:t>
            </w:r>
          </w:p>
        </w:tc>
        <w:tc>
          <w:tcPr>
            <w:tcW w:w="0" w:type="auto"/>
          </w:tcPr>
          <w:p w:rsidR="00232ED1" w:rsidRPr="00D5736E" w:rsidRDefault="00232ED1" w:rsidP="00D5736E">
            <w:pPr>
              <w:spacing w:after="0" w:line="240" w:lineRule="auto"/>
              <w:jc w:val="both"/>
              <w:rPr>
                <w:sz w:val="20"/>
                <w:szCs w:val="20"/>
              </w:rPr>
            </w:pPr>
            <w:r w:rsidRPr="00D5736E">
              <w:rPr>
                <w:sz w:val="20"/>
                <w:szCs w:val="20"/>
              </w:rPr>
              <w:t>IROP, SC 1.2</w:t>
            </w:r>
          </w:p>
        </w:tc>
        <w:tc>
          <w:tcPr>
            <w:tcW w:w="0" w:type="auto"/>
          </w:tcPr>
          <w:p w:rsidR="00232ED1" w:rsidRPr="00D5736E" w:rsidRDefault="00232ED1" w:rsidP="00D5736E">
            <w:pPr>
              <w:spacing w:after="0" w:line="240" w:lineRule="auto"/>
              <w:jc w:val="both"/>
              <w:rPr>
                <w:sz w:val="20"/>
                <w:szCs w:val="20"/>
              </w:rPr>
            </w:pPr>
            <w:r w:rsidRPr="00D5736E">
              <w:rPr>
                <w:sz w:val="20"/>
                <w:szCs w:val="20"/>
              </w:rPr>
              <w:t xml:space="preserve">Snížení alokace o 4 717 500 Kč (EU) a 5 550 000 (Celkové způsobilé výdaje) a 277 500 (příspěvek SR) pro rok 2022. </w:t>
            </w:r>
          </w:p>
        </w:tc>
        <w:tc>
          <w:tcPr>
            <w:tcW w:w="0" w:type="auto"/>
          </w:tcPr>
          <w:p w:rsidR="00232ED1" w:rsidRPr="00D5736E" w:rsidRDefault="00232ED1" w:rsidP="003D3EF2">
            <w:pPr>
              <w:spacing w:after="0" w:line="240" w:lineRule="auto"/>
              <w:jc w:val="both"/>
              <w:rPr>
                <w:sz w:val="20"/>
                <w:szCs w:val="20"/>
              </w:rPr>
            </w:pPr>
            <w:r w:rsidRPr="00D5736E">
              <w:rPr>
                <w:sz w:val="20"/>
                <w:szCs w:val="20"/>
              </w:rPr>
              <w:t>Důvodem přesunu je vyčerpání celé alokace v Opatření 1.1,2  realizací projektu Parkoviště Jírovcova, který bylo nutné realizovat ve vyšším finančním objemu, než bylo původně plánováno. Další původně plánované nízkonákladové projekty (Dynamo, Dlouhá louka, Sportovní hala) byly zrušeny z důvodu změny podmínek pro realizaci projektů v rámci specifických pravidel. Z těchto důvodů je potřeba realizovat náhradní projekty na vybudování parkovišť s vyššími náklady a současně dodržet nastavenou celkovou výši indikátoru – 969 parkovacích míst. V současné době je připravován projekt parkoviště Jírovcova II) a k zajištění jeho realizace je nutné alokovat finanční prostředky do Opatření 1.1.2. Přesun umožní rychlejší čerpání finančních prostředků. Změna byla konzultována s</w:t>
            </w:r>
            <w:r w:rsidR="003D3EF2">
              <w:rPr>
                <w:sz w:val="20"/>
                <w:szCs w:val="20"/>
              </w:rPr>
              <w:t> </w:t>
            </w:r>
            <w:r w:rsidRPr="00D5736E">
              <w:rPr>
                <w:sz w:val="20"/>
                <w:szCs w:val="20"/>
              </w:rPr>
              <w:t>Ř</w:t>
            </w:r>
            <w:r w:rsidR="003D3EF2">
              <w:rPr>
                <w:sz w:val="20"/>
                <w:szCs w:val="20"/>
              </w:rPr>
              <w:t>ídícím orgánem</w:t>
            </w:r>
            <w:r w:rsidRPr="00D5736E">
              <w:rPr>
                <w:sz w:val="20"/>
                <w:szCs w:val="20"/>
              </w:rPr>
              <w:t xml:space="preserve"> IROP a byla předběžně akceptována, s podmínkou že nebude snížen indikátor v rámci Opatření 1.1.3, k čemuž nedošlo.</w:t>
            </w:r>
          </w:p>
        </w:tc>
      </w:tr>
      <w:tr w:rsidR="00232ED1" w:rsidRPr="00D5736E" w:rsidTr="003D3EF2">
        <w:trPr>
          <w:trHeight w:val="258"/>
        </w:trPr>
        <w:tc>
          <w:tcPr>
            <w:tcW w:w="0" w:type="auto"/>
          </w:tcPr>
          <w:p w:rsidR="00232ED1" w:rsidRPr="00D5736E" w:rsidRDefault="00232ED1" w:rsidP="00D5736E">
            <w:pPr>
              <w:spacing w:after="0" w:line="240" w:lineRule="auto"/>
              <w:jc w:val="both"/>
              <w:rPr>
                <w:sz w:val="20"/>
                <w:szCs w:val="20"/>
              </w:rPr>
            </w:pPr>
            <w:r w:rsidRPr="00D5736E">
              <w:rPr>
                <w:sz w:val="20"/>
                <w:szCs w:val="20"/>
              </w:rPr>
              <w:t>165-169</w:t>
            </w:r>
          </w:p>
        </w:tc>
        <w:tc>
          <w:tcPr>
            <w:tcW w:w="0" w:type="auto"/>
          </w:tcPr>
          <w:p w:rsidR="00232ED1" w:rsidRPr="00D5736E" w:rsidRDefault="00232ED1" w:rsidP="00D5736E">
            <w:pPr>
              <w:spacing w:after="0" w:line="240" w:lineRule="auto"/>
              <w:jc w:val="both"/>
              <w:rPr>
                <w:sz w:val="20"/>
                <w:szCs w:val="20"/>
              </w:rPr>
            </w:pPr>
            <w:r w:rsidRPr="00D5736E">
              <w:rPr>
                <w:sz w:val="20"/>
                <w:szCs w:val="20"/>
              </w:rPr>
              <w:t>1.1.2</w:t>
            </w:r>
          </w:p>
          <w:p w:rsidR="00232ED1" w:rsidRPr="00D5736E" w:rsidRDefault="00232ED1" w:rsidP="00D5736E">
            <w:pPr>
              <w:spacing w:after="0" w:line="240" w:lineRule="auto"/>
              <w:jc w:val="both"/>
              <w:rPr>
                <w:sz w:val="20"/>
                <w:szCs w:val="20"/>
              </w:rPr>
            </w:pPr>
            <w:r w:rsidRPr="00D5736E">
              <w:rPr>
                <w:sz w:val="20"/>
                <w:szCs w:val="20"/>
              </w:rPr>
              <w:t>Rozvoj a zkvalitnění dopravní infrastruktury pro zlepšení dopravní dostupnosti a prostupnosti území včetně dopravy v klidu</w:t>
            </w:r>
          </w:p>
        </w:tc>
        <w:tc>
          <w:tcPr>
            <w:tcW w:w="0" w:type="auto"/>
          </w:tcPr>
          <w:p w:rsidR="00232ED1" w:rsidRPr="00D5736E" w:rsidRDefault="00232ED1" w:rsidP="00D5736E">
            <w:pPr>
              <w:spacing w:after="0" w:line="240" w:lineRule="auto"/>
              <w:jc w:val="both"/>
              <w:rPr>
                <w:sz w:val="20"/>
                <w:szCs w:val="20"/>
              </w:rPr>
            </w:pPr>
            <w:r w:rsidRPr="00D5736E">
              <w:rPr>
                <w:sz w:val="20"/>
                <w:szCs w:val="20"/>
              </w:rPr>
              <w:t>IROP, SC 1.2</w:t>
            </w:r>
          </w:p>
        </w:tc>
        <w:tc>
          <w:tcPr>
            <w:tcW w:w="0" w:type="auto"/>
          </w:tcPr>
          <w:p w:rsidR="00232ED1" w:rsidRPr="00D5736E" w:rsidRDefault="00232ED1" w:rsidP="00D5736E">
            <w:pPr>
              <w:spacing w:after="0" w:line="240" w:lineRule="auto"/>
              <w:jc w:val="both"/>
              <w:rPr>
                <w:sz w:val="20"/>
                <w:szCs w:val="20"/>
              </w:rPr>
            </w:pPr>
            <w:r w:rsidRPr="00D5736E">
              <w:rPr>
                <w:sz w:val="20"/>
                <w:szCs w:val="20"/>
              </w:rPr>
              <w:t>Navýšení alokace o 4 717 500 Kč (EU) a 5 550 000 (Celkové způsobilé výdaje) a 277 500 (příspěvek SR) pro rok 2019.</w:t>
            </w:r>
          </w:p>
        </w:tc>
        <w:tc>
          <w:tcPr>
            <w:tcW w:w="0" w:type="auto"/>
          </w:tcPr>
          <w:p w:rsidR="00232ED1" w:rsidRPr="00D5736E" w:rsidRDefault="00232ED1" w:rsidP="00D5736E">
            <w:pPr>
              <w:spacing w:after="0" w:line="240" w:lineRule="auto"/>
              <w:jc w:val="both"/>
              <w:rPr>
                <w:sz w:val="20"/>
                <w:szCs w:val="20"/>
              </w:rPr>
            </w:pPr>
            <w:r w:rsidRPr="00D5736E">
              <w:rPr>
                <w:sz w:val="20"/>
                <w:szCs w:val="20"/>
              </w:rPr>
              <w:t>Zdůvodnění totožné jako u předchozí změny.</w:t>
            </w:r>
          </w:p>
        </w:tc>
      </w:tr>
    </w:tbl>
    <w:p w:rsidR="00520D3D" w:rsidRDefault="00520D3D" w:rsidP="004C1807">
      <w:pPr>
        <w:spacing w:after="160" w:line="259" w:lineRule="auto"/>
        <w:rPr>
          <w:rFonts w:cstheme="minorHAnsi"/>
          <w:sz w:val="20"/>
          <w:szCs w:val="20"/>
        </w:rPr>
      </w:pPr>
    </w:p>
    <w:p w:rsidR="00520D3D" w:rsidRDefault="00520D3D">
      <w:pPr>
        <w:spacing w:after="160" w:line="259" w:lineRule="auto"/>
        <w:rPr>
          <w:rFonts w:cstheme="minorHAnsi"/>
          <w:sz w:val="20"/>
          <w:szCs w:val="20"/>
        </w:rPr>
      </w:pPr>
      <w:r>
        <w:rPr>
          <w:rFonts w:cstheme="minorHAnsi"/>
          <w:sz w:val="20"/>
          <w:szCs w:val="20"/>
        </w:rPr>
        <w:br w:type="page"/>
      </w:r>
    </w:p>
    <w:p w:rsidR="00520D3D" w:rsidRPr="00520D3D" w:rsidRDefault="00520D3D" w:rsidP="00520D3D">
      <w:pPr>
        <w:spacing w:after="0"/>
        <w:rPr>
          <w:b/>
          <w:sz w:val="24"/>
          <w:szCs w:val="24"/>
        </w:rPr>
      </w:pPr>
      <w:r>
        <w:rPr>
          <w:b/>
          <w:sz w:val="24"/>
          <w:szCs w:val="24"/>
        </w:rPr>
        <w:lastRenderedPageBreak/>
        <w:t>Změna č. 3</w:t>
      </w:r>
      <w:r w:rsidRPr="00520D3D">
        <w:rPr>
          <w:b/>
          <w:sz w:val="24"/>
          <w:szCs w:val="24"/>
        </w:rPr>
        <w:t xml:space="preserve"> Integrovaného plánu rozvoje území České Budějovic</w:t>
      </w:r>
      <w:r>
        <w:rPr>
          <w:b/>
          <w:sz w:val="24"/>
          <w:szCs w:val="24"/>
        </w:rPr>
        <w:t>e</w:t>
      </w:r>
    </w:p>
    <w:tbl>
      <w:tblPr>
        <w:tblStyle w:val="Mkatabulky"/>
        <w:tblW w:w="0" w:type="auto"/>
        <w:tblLook w:val="04A0" w:firstRow="1" w:lastRow="0" w:firstColumn="1" w:lastColumn="0" w:noHBand="0" w:noVBand="1"/>
      </w:tblPr>
      <w:tblGrid>
        <w:gridCol w:w="1229"/>
        <w:gridCol w:w="2645"/>
        <w:gridCol w:w="1001"/>
        <w:gridCol w:w="3511"/>
        <w:gridCol w:w="5608"/>
      </w:tblGrid>
      <w:tr w:rsidR="00520D3D" w:rsidRPr="00D5736E" w:rsidTr="00D5736E">
        <w:trPr>
          <w:trHeight w:val="785"/>
        </w:trPr>
        <w:tc>
          <w:tcPr>
            <w:tcW w:w="0" w:type="auto"/>
            <w:shd w:val="clear" w:color="auto" w:fill="D9D9D9" w:themeFill="background1" w:themeFillShade="D9"/>
            <w:vAlign w:val="center"/>
          </w:tcPr>
          <w:p w:rsidR="00520D3D" w:rsidRPr="00D5736E" w:rsidRDefault="00520D3D" w:rsidP="00D5736E">
            <w:pPr>
              <w:spacing w:after="0" w:line="240" w:lineRule="auto"/>
              <w:jc w:val="center"/>
              <w:rPr>
                <w:b/>
                <w:sz w:val="20"/>
                <w:szCs w:val="20"/>
              </w:rPr>
            </w:pPr>
            <w:r w:rsidRPr="00D5736E">
              <w:rPr>
                <w:b/>
                <w:sz w:val="20"/>
                <w:szCs w:val="20"/>
              </w:rPr>
              <w:t>Str.</w:t>
            </w:r>
          </w:p>
        </w:tc>
        <w:tc>
          <w:tcPr>
            <w:tcW w:w="0" w:type="auto"/>
            <w:shd w:val="clear" w:color="auto" w:fill="D9D9D9" w:themeFill="background1" w:themeFillShade="D9"/>
            <w:vAlign w:val="center"/>
          </w:tcPr>
          <w:p w:rsidR="00520D3D" w:rsidRPr="00D5736E" w:rsidRDefault="00520D3D" w:rsidP="00D5736E">
            <w:pPr>
              <w:spacing w:after="0" w:line="240" w:lineRule="auto"/>
              <w:jc w:val="center"/>
              <w:rPr>
                <w:b/>
                <w:sz w:val="20"/>
                <w:szCs w:val="20"/>
              </w:rPr>
            </w:pPr>
            <w:r w:rsidRPr="00D5736E">
              <w:rPr>
                <w:b/>
                <w:sz w:val="20"/>
                <w:szCs w:val="20"/>
              </w:rPr>
              <w:t>Opatření strategie (obsahující změnu)</w:t>
            </w:r>
          </w:p>
        </w:tc>
        <w:tc>
          <w:tcPr>
            <w:tcW w:w="0" w:type="auto"/>
            <w:shd w:val="clear" w:color="auto" w:fill="D9D9D9" w:themeFill="background1" w:themeFillShade="D9"/>
            <w:vAlign w:val="center"/>
          </w:tcPr>
          <w:p w:rsidR="00520D3D" w:rsidRPr="00D5736E" w:rsidRDefault="00520D3D" w:rsidP="00D5736E">
            <w:pPr>
              <w:spacing w:after="0" w:line="240" w:lineRule="auto"/>
              <w:jc w:val="center"/>
              <w:rPr>
                <w:b/>
                <w:sz w:val="20"/>
                <w:szCs w:val="20"/>
              </w:rPr>
            </w:pPr>
            <w:r w:rsidRPr="00D5736E">
              <w:rPr>
                <w:b/>
                <w:sz w:val="20"/>
                <w:szCs w:val="20"/>
              </w:rPr>
              <w:t>Operační</w:t>
            </w:r>
          </w:p>
          <w:p w:rsidR="00520D3D" w:rsidRPr="00D5736E" w:rsidRDefault="00520D3D" w:rsidP="00D5736E">
            <w:pPr>
              <w:spacing w:after="0" w:line="240" w:lineRule="auto"/>
              <w:jc w:val="center"/>
              <w:rPr>
                <w:b/>
                <w:sz w:val="20"/>
                <w:szCs w:val="20"/>
              </w:rPr>
            </w:pPr>
            <w:r w:rsidRPr="00D5736E">
              <w:rPr>
                <w:b/>
                <w:sz w:val="20"/>
                <w:szCs w:val="20"/>
              </w:rPr>
              <w:t>program</w:t>
            </w:r>
          </w:p>
        </w:tc>
        <w:tc>
          <w:tcPr>
            <w:tcW w:w="0" w:type="auto"/>
            <w:shd w:val="clear" w:color="auto" w:fill="D9D9D9" w:themeFill="background1" w:themeFillShade="D9"/>
            <w:vAlign w:val="center"/>
          </w:tcPr>
          <w:p w:rsidR="00520D3D" w:rsidRPr="00D5736E" w:rsidRDefault="00520D3D" w:rsidP="00D5736E">
            <w:pPr>
              <w:spacing w:after="0" w:line="240" w:lineRule="auto"/>
              <w:jc w:val="center"/>
              <w:rPr>
                <w:b/>
                <w:sz w:val="20"/>
                <w:szCs w:val="20"/>
              </w:rPr>
            </w:pPr>
            <w:r w:rsidRPr="00D5736E">
              <w:rPr>
                <w:b/>
                <w:sz w:val="20"/>
                <w:szCs w:val="20"/>
              </w:rPr>
              <w:t>Popis změny</w:t>
            </w:r>
          </w:p>
        </w:tc>
        <w:tc>
          <w:tcPr>
            <w:tcW w:w="0" w:type="auto"/>
            <w:shd w:val="clear" w:color="auto" w:fill="D9D9D9" w:themeFill="background1" w:themeFillShade="D9"/>
            <w:vAlign w:val="center"/>
          </w:tcPr>
          <w:p w:rsidR="00520D3D" w:rsidRPr="00D5736E" w:rsidRDefault="00520D3D" w:rsidP="00D5736E">
            <w:pPr>
              <w:spacing w:after="0" w:line="240" w:lineRule="auto"/>
              <w:jc w:val="center"/>
              <w:rPr>
                <w:b/>
                <w:sz w:val="20"/>
                <w:szCs w:val="20"/>
              </w:rPr>
            </w:pPr>
            <w:r w:rsidRPr="00D5736E">
              <w:rPr>
                <w:b/>
                <w:sz w:val="20"/>
                <w:szCs w:val="20"/>
              </w:rPr>
              <w:t>Komentář, zdůvodnění</w:t>
            </w:r>
          </w:p>
        </w:tc>
      </w:tr>
      <w:tr w:rsidR="00520D3D" w:rsidRPr="00D5736E" w:rsidTr="003D3EF2">
        <w:trPr>
          <w:trHeight w:val="1830"/>
        </w:trPr>
        <w:tc>
          <w:tcPr>
            <w:tcW w:w="0" w:type="auto"/>
          </w:tcPr>
          <w:p w:rsidR="00520D3D" w:rsidRPr="00D5736E" w:rsidRDefault="00520D3D" w:rsidP="00D5736E">
            <w:pPr>
              <w:spacing w:after="0" w:line="240" w:lineRule="auto"/>
              <w:jc w:val="both"/>
              <w:rPr>
                <w:sz w:val="20"/>
                <w:szCs w:val="20"/>
              </w:rPr>
            </w:pPr>
            <w:r w:rsidRPr="00D5736E">
              <w:rPr>
                <w:sz w:val="20"/>
                <w:szCs w:val="20"/>
              </w:rPr>
              <w:t>162,165,166</w:t>
            </w:r>
          </w:p>
        </w:tc>
        <w:tc>
          <w:tcPr>
            <w:tcW w:w="0" w:type="auto"/>
          </w:tcPr>
          <w:p w:rsidR="00520D3D" w:rsidRPr="00D5736E" w:rsidRDefault="00520D3D" w:rsidP="00D5736E">
            <w:pPr>
              <w:spacing w:after="0" w:line="240" w:lineRule="auto"/>
              <w:jc w:val="both"/>
              <w:rPr>
                <w:sz w:val="20"/>
                <w:szCs w:val="20"/>
              </w:rPr>
            </w:pPr>
            <w:r w:rsidRPr="00D5736E">
              <w:rPr>
                <w:sz w:val="20"/>
                <w:szCs w:val="20"/>
              </w:rPr>
              <w:t>1.1.4.2</w:t>
            </w:r>
          </w:p>
          <w:p w:rsidR="00520D3D" w:rsidRPr="00D5736E" w:rsidRDefault="00520D3D" w:rsidP="00D5736E">
            <w:pPr>
              <w:spacing w:after="0" w:line="240" w:lineRule="auto"/>
              <w:jc w:val="both"/>
              <w:rPr>
                <w:sz w:val="20"/>
                <w:szCs w:val="20"/>
              </w:rPr>
            </w:pPr>
            <w:r w:rsidRPr="00D5736E">
              <w:rPr>
                <w:sz w:val="20"/>
                <w:szCs w:val="20"/>
              </w:rPr>
              <w:t xml:space="preserve">Modernizace infrastruktury trolejbusové dopravy </w:t>
            </w:r>
          </w:p>
        </w:tc>
        <w:tc>
          <w:tcPr>
            <w:tcW w:w="0" w:type="auto"/>
          </w:tcPr>
          <w:p w:rsidR="00520D3D" w:rsidRPr="00D5736E" w:rsidRDefault="00520D3D" w:rsidP="00D5736E">
            <w:pPr>
              <w:spacing w:after="0" w:line="240" w:lineRule="auto"/>
              <w:jc w:val="both"/>
              <w:rPr>
                <w:sz w:val="20"/>
                <w:szCs w:val="20"/>
              </w:rPr>
            </w:pPr>
            <w:r w:rsidRPr="00D5736E">
              <w:rPr>
                <w:sz w:val="20"/>
                <w:szCs w:val="20"/>
              </w:rPr>
              <w:t>OP Doprava</w:t>
            </w:r>
          </w:p>
          <w:p w:rsidR="00520D3D" w:rsidRPr="00D5736E" w:rsidRDefault="00520D3D" w:rsidP="00D5736E">
            <w:pPr>
              <w:spacing w:after="0" w:line="240" w:lineRule="auto"/>
              <w:jc w:val="both"/>
              <w:rPr>
                <w:sz w:val="20"/>
                <w:szCs w:val="20"/>
              </w:rPr>
            </w:pPr>
            <w:r w:rsidRPr="00D5736E">
              <w:rPr>
                <w:sz w:val="20"/>
                <w:szCs w:val="20"/>
              </w:rPr>
              <w:t>SC 1.4</w:t>
            </w:r>
          </w:p>
        </w:tc>
        <w:tc>
          <w:tcPr>
            <w:tcW w:w="0" w:type="auto"/>
          </w:tcPr>
          <w:p w:rsidR="00520D3D" w:rsidRPr="00D5736E" w:rsidRDefault="00520D3D" w:rsidP="00D5736E">
            <w:pPr>
              <w:spacing w:after="0" w:line="240" w:lineRule="auto"/>
              <w:jc w:val="both"/>
              <w:rPr>
                <w:sz w:val="20"/>
                <w:szCs w:val="20"/>
              </w:rPr>
            </w:pPr>
            <w:r w:rsidRPr="00D5736E">
              <w:rPr>
                <w:sz w:val="20"/>
                <w:szCs w:val="20"/>
              </w:rPr>
              <w:t xml:space="preserve">Přesun alokace z roku 2018 do r. 2019 ve výši 26 499 600 Kč (EU) </w:t>
            </w:r>
          </w:p>
        </w:tc>
        <w:tc>
          <w:tcPr>
            <w:tcW w:w="0" w:type="auto"/>
          </w:tcPr>
          <w:p w:rsidR="00520D3D" w:rsidRPr="00D5736E" w:rsidRDefault="00520D3D" w:rsidP="00D5736E">
            <w:pPr>
              <w:spacing w:after="0" w:line="240" w:lineRule="auto"/>
              <w:jc w:val="both"/>
              <w:rPr>
                <w:sz w:val="20"/>
                <w:szCs w:val="20"/>
              </w:rPr>
            </w:pPr>
            <w:r w:rsidRPr="00D5736E">
              <w:rPr>
                <w:sz w:val="20"/>
                <w:szCs w:val="20"/>
              </w:rPr>
              <w:t xml:space="preserve">Jedná se o přesun nevyčerpané alokace. Místo původně plánovaného projektu na přestavbu 1 měnírny bude realizován projekt na kompletní přestavbu 3 měníren. V souvislosti s navýšením alokace z Ministerstva dopravy proběhne realizace projektu v rámci Opatření 1.1.4 v roce 2019. Jedná se o projekt </w:t>
            </w:r>
            <w:proofErr w:type="spellStart"/>
            <w:r w:rsidRPr="00D5736E">
              <w:rPr>
                <w:sz w:val="20"/>
                <w:szCs w:val="20"/>
              </w:rPr>
              <w:t>DPmČB</w:t>
            </w:r>
            <w:proofErr w:type="spellEnd"/>
            <w:r w:rsidRPr="00D5736E">
              <w:rPr>
                <w:sz w:val="20"/>
                <w:szCs w:val="20"/>
              </w:rPr>
              <w:t xml:space="preserve"> – Modernizace měníren. Navýšení alokace je obsahem následující předkládané změny.</w:t>
            </w:r>
          </w:p>
        </w:tc>
      </w:tr>
      <w:tr w:rsidR="00520D3D" w:rsidRPr="00D5736E" w:rsidTr="00D5736E">
        <w:trPr>
          <w:trHeight w:val="258"/>
        </w:trPr>
        <w:tc>
          <w:tcPr>
            <w:tcW w:w="0" w:type="auto"/>
          </w:tcPr>
          <w:p w:rsidR="00520D3D" w:rsidRPr="00D5736E" w:rsidRDefault="00520D3D" w:rsidP="00D5736E">
            <w:pPr>
              <w:spacing w:after="0" w:line="240" w:lineRule="auto"/>
              <w:jc w:val="both"/>
              <w:rPr>
                <w:sz w:val="20"/>
                <w:szCs w:val="20"/>
              </w:rPr>
            </w:pPr>
            <w:r w:rsidRPr="00D5736E">
              <w:rPr>
                <w:sz w:val="20"/>
                <w:szCs w:val="20"/>
              </w:rPr>
              <w:t>162,165,166</w:t>
            </w:r>
          </w:p>
        </w:tc>
        <w:tc>
          <w:tcPr>
            <w:tcW w:w="0" w:type="auto"/>
          </w:tcPr>
          <w:p w:rsidR="00520D3D" w:rsidRPr="00D5736E" w:rsidRDefault="00520D3D" w:rsidP="00D5736E">
            <w:pPr>
              <w:spacing w:after="0" w:line="240" w:lineRule="auto"/>
              <w:jc w:val="both"/>
              <w:rPr>
                <w:sz w:val="20"/>
                <w:szCs w:val="20"/>
              </w:rPr>
            </w:pPr>
            <w:r w:rsidRPr="00D5736E">
              <w:rPr>
                <w:sz w:val="20"/>
                <w:szCs w:val="20"/>
              </w:rPr>
              <w:t>1.1.4.2</w:t>
            </w:r>
          </w:p>
          <w:p w:rsidR="00520D3D" w:rsidRPr="00D5736E" w:rsidRDefault="00520D3D" w:rsidP="00D5736E">
            <w:pPr>
              <w:spacing w:after="0" w:line="240" w:lineRule="auto"/>
              <w:jc w:val="both"/>
              <w:rPr>
                <w:sz w:val="20"/>
                <w:szCs w:val="20"/>
              </w:rPr>
            </w:pPr>
            <w:r w:rsidRPr="00D5736E">
              <w:rPr>
                <w:sz w:val="20"/>
                <w:szCs w:val="20"/>
              </w:rPr>
              <w:t xml:space="preserve">Modernizace infrastruktury trolejbusové dopravy </w:t>
            </w:r>
          </w:p>
        </w:tc>
        <w:tc>
          <w:tcPr>
            <w:tcW w:w="0" w:type="auto"/>
          </w:tcPr>
          <w:p w:rsidR="00520D3D" w:rsidRPr="00D5736E" w:rsidRDefault="00520D3D" w:rsidP="00D5736E">
            <w:pPr>
              <w:spacing w:after="0" w:line="240" w:lineRule="auto"/>
              <w:jc w:val="both"/>
              <w:rPr>
                <w:sz w:val="20"/>
                <w:szCs w:val="20"/>
              </w:rPr>
            </w:pPr>
            <w:r w:rsidRPr="00D5736E">
              <w:rPr>
                <w:sz w:val="20"/>
                <w:szCs w:val="20"/>
              </w:rPr>
              <w:t>OP Doprava</w:t>
            </w:r>
          </w:p>
          <w:p w:rsidR="00520D3D" w:rsidRPr="00D5736E" w:rsidRDefault="00520D3D" w:rsidP="00D5736E">
            <w:pPr>
              <w:spacing w:after="0" w:line="240" w:lineRule="auto"/>
              <w:jc w:val="both"/>
              <w:rPr>
                <w:sz w:val="20"/>
                <w:szCs w:val="20"/>
              </w:rPr>
            </w:pPr>
            <w:r w:rsidRPr="00D5736E">
              <w:rPr>
                <w:sz w:val="20"/>
                <w:szCs w:val="20"/>
              </w:rPr>
              <w:t>SC 1.4</w:t>
            </w:r>
          </w:p>
        </w:tc>
        <w:tc>
          <w:tcPr>
            <w:tcW w:w="0" w:type="auto"/>
          </w:tcPr>
          <w:p w:rsidR="00520D3D" w:rsidRPr="00D5736E" w:rsidRDefault="00520D3D" w:rsidP="00D5736E">
            <w:pPr>
              <w:spacing w:after="0" w:line="240" w:lineRule="auto"/>
              <w:jc w:val="both"/>
              <w:rPr>
                <w:sz w:val="20"/>
                <w:szCs w:val="20"/>
              </w:rPr>
            </w:pPr>
            <w:r w:rsidRPr="00D5736E">
              <w:rPr>
                <w:sz w:val="20"/>
                <w:szCs w:val="20"/>
              </w:rPr>
              <w:t xml:space="preserve">Navýšení alokace v roce 2019 do ve výši 78 000 000 Kč (EU) </w:t>
            </w:r>
          </w:p>
        </w:tc>
        <w:tc>
          <w:tcPr>
            <w:tcW w:w="0" w:type="auto"/>
          </w:tcPr>
          <w:p w:rsidR="00520D3D" w:rsidRPr="00D5736E" w:rsidRDefault="00520D3D" w:rsidP="00D5736E">
            <w:pPr>
              <w:spacing w:after="0" w:line="240" w:lineRule="auto"/>
              <w:jc w:val="both"/>
              <w:rPr>
                <w:sz w:val="20"/>
                <w:szCs w:val="20"/>
              </w:rPr>
            </w:pPr>
            <w:r w:rsidRPr="00D5736E">
              <w:rPr>
                <w:sz w:val="20"/>
                <w:szCs w:val="20"/>
              </w:rPr>
              <w:t>Ministerstvo dopravy navýšilo alokaci pro IPRÚ České Budějovice alokaci ve SC 1.4 OP Doprava. Toto navýšení je výsledkem dvo</w:t>
            </w:r>
            <w:r w:rsidR="003D3EF2">
              <w:rPr>
                <w:sz w:val="20"/>
                <w:szCs w:val="20"/>
              </w:rPr>
              <w:t>uletého vyjednávání nositele s Ř</w:t>
            </w:r>
            <w:r w:rsidRPr="00D5736E">
              <w:rPr>
                <w:sz w:val="20"/>
                <w:szCs w:val="20"/>
              </w:rPr>
              <w:t>ídícím orgánem, které bylo vedeno s cílem zajistit realizaci kompletního projektu na přestavbu 3 měníren Dopravního podniku v celkovém objemu 104 499 600 Kč (EU). Jedná se o součet nevyčerpané alokace 26 499 600 a navýšené alokace 78 000 000 Kč.</w:t>
            </w:r>
          </w:p>
        </w:tc>
      </w:tr>
      <w:tr w:rsidR="00520D3D" w:rsidRPr="00D5736E" w:rsidTr="00D5736E">
        <w:trPr>
          <w:trHeight w:val="258"/>
        </w:trPr>
        <w:tc>
          <w:tcPr>
            <w:tcW w:w="0" w:type="auto"/>
          </w:tcPr>
          <w:p w:rsidR="00520D3D" w:rsidRPr="00D5736E" w:rsidRDefault="00520D3D" w:rsidP="00D5736E">
            <w:pPr>
              <w:spacing w:after="0" w:line="240" w:lineRule="auto"/>
              <w:jc w:val="both"/>
              <w:rPr>
                <w:sz w:val="20"/>
                <w:szCs w:val="20"/>
              </w:rPr>
            </w:pPr>
            <w:r w:rsidRPr="00D5736E">
              <w:rPr>
                <w:sz w:val="20"/>
                <w:szCs w:val="20"/>
              </w:rPr>
              <w:t>159-161</w:t>
            </w:r>
          </w:p>
        </w:tc>
        <w:tc>
          <w:tcPr>
            <w:tcW w:w="0" w:type="auto"/>
          </w:tcPr>
          <w:p w:rsidR="00520D3D" w:rsidRPr="00D5736E" w:rsidRDefault="00520D3D" w:rsidP="00D5736E">
            <w:pPr>
              <w:spacing w:after="0" w:line="240" w:lineRule="auto"/>
              <w:jc w:val="both"/>
              <w:rPr>
                <w:sz w:val="20"/>
                <w:szCs w:val="20"/>
              </w:rPr>
            </w:pPr>
            <w:r w:rsidRPr="00D5736E">
              <w:rPr>
                <w:sz w:val="20"/>
                <w:szCs w:val="20"/>
              </w:rPr>
              <w:t>1.1.4.2</w:t>
            </w:r>
          </w:p>
          <w:p w:rsidR="00520D3D" w:rsidRPr="00D5736E" w:rsidRDefault="00520D3D" w:rsidP="00D5736E">
            <w:pPr>
              <w:spacing w:after="0" w:line="240" w:lineRule="auto"/>
              <w:jc w:val="both"/>
              <w:rPr>
                <w:sz w:val="20"/>
                <w:szCs w:val="20"/>
              </w:rPr>
            </w:pPr>
            <w:r w:rsidRPr="00D5736E">
              <w:rPr>
                <w:sz w:val="20"/>
                <w:szCs w:val="20"/>
              </w:rPr>
              <w:t xml:space="preserve">Modernizace infrastruktury trolejbusové dopravy </w:t>
            </w:r>
          </w:p>
        </w:tc>
        <w:tc>
          <w:tcPr>
            <w:tcW w:w="0" w:type="auto"/>
          </w:tcPr>
          <w:p w:rsidR="00520D3D" w:rsidRPr="00D5736E" w:rsidRDefault="00520D3D" w:rsidP="00D5736E">
            <w:pPr>
              <w:spacing w:after="0" w:line="240" w:lineRule="auto"/>
              <w:jc w:val="both"/>
              <w:rPr>
                <w:sz w:val="20"/>
                <w:szCs w:val="20"/>
              </w:rPr>
            </w:pPr>
            <w:r w:rsidRPr="00D5736E">
              <w:rPr>
                <w:sz w:val="20"/>
                <w:szCs w:val="20"/>
              </w:rPr>
              <w:t>OP Doprava</w:t>
            </w:r>
          </w:p>
          <w:p w:rsidR="00520D3D" w:rsidRPr="00D5736E" w:rsidRDefault="00520D3D" w:rsidP="00D5736E">
            <w:pPr>
              <w:spacing w:after="0" w:line="240" w:lineRule="auto"/>
              <w:jc w:val="both"/>
              <w:rPr>
                <w:sz w:val="20"/>
                <w:szCs w:val="20"/>
              </w:rPr>
            </w:pPr>
            <w:r w:rsidRPr="00D5736E">
              <w:rPr>
                <w:sz w:val="20"/>
                <w:szCs w:val="20"/>
              </w:rPr>
              <w:t>SC 1.4</w:t>
            </w:r>
          </w:p>
        </w:tc>
        <w:tc>
          <w:tcPr>
            <w:tcW w:w="0" w:type="auto"/>
          </w:tcPr>
          <w:p w:rsidR="00520D3D" w:rsidRPr="00D5736E" w:rsidRDefault="00520D3D" w:rsidP="00D5736E">
            <w:pPr>
              <w:spacing w:after="0" w:line="240" w:lineRule="auto"/>
              <w:jc w:val="both"/>
              <w:rPr>
                <w:sz w:val="20"/>
                <w:szCs w:val="20"/>
              </w:rPr>
            </w:pPr>
            <w:r w:rsidRPr="00D5736E">
              <w:rPr>
                <w:sz w:val="20"/>
                <w:szCs w:val="20"/>
              </w:rPr>
              <w:t xml:space="preserve">Navýšení indikátoru </w:t>
            </w:r>
            <w:r w:rsidRPr="00D5736E">
              <w:rPr>
                <w:i/>
                <w:sz w:val="20"/>
                <w:szCs w:val="20"/>
              </w:rPr>
              <w:t>74501 Počet nových či zmodernizovaných zařízení obslužné a napájecí infrastruktury městské drážní dopravy</w:t>
            </w:r>
            <w:r w:rsidRPr="00D5736E">
              <w:rPr>
                <w:sz w:val="20"/>
                <w:szCs w:val="20"/>
              </w:rPr>
              <w:t xml:space="preserve"> z cílové hodnoty 1 zařízení na cílovou hodnotu 3 zařízení. </w:t>
            </w:r>
          </w:p>
        </w:tc>
        <w:tc>
          <w:tcPr>
            <w:tcW w:w="0" w:type="auto"/>
          </w:tcPr>
          <w:p w:rsidR="00520D3D" w:rsidRPr="00D5736E" w:rsidRDefault="00520D3D" w:rsidP="00D5736E">
            <w:pPr>
              <w:spacing w:after="0" w:line="240" w:lineRule="auto"/>
              <w:jc w:val="both"/>
              <w:rPr>
                <w:sz w:val="20"/>
                <w:szCs w:val="20"/>
              </w:rPr>
            </w:pPr>
            <w:r w:rsidRPr="00D5736E">
              <w:rPr>
                <w:sz w:val="20"/>
                <w:szCs w:val="20"/>
              </w:rPr>
              <w:t>Navýšení indikátoru 74501 z cílové hodnoty 1 na 3 je provedeno</w:t>
            </w:r>
            <w:r w:rsidR="003D3EF2">
              <w:rPr>
                <w:sz w:val="20"/>
                <w:szCs w:val="20"/>
              </w:rPr>
              <w:t xml:space="preserve"> po dohodě a odsouhlasení s Ř</w:t>
            </w:r>
            <w:r w:rsidRPr="00D5736E">
              <w:rPr>
                <w:sz w:val="20"/>
                <w:szCs w:val="20"/>
              </w:rPr>
              <w:t xml:space="preserve">ídícím orgánem – Ministerstvem dopravy ČR. Toto navýšení indikátoru souvisí s navýšením alokace v opatření a realizací 1 kompletního projektu na modernizaci 3 měníren, jak je uvedeno ve zdůvodnění u předchozí změny. </w:t>
            </w:r>
          </w:p>
        </w:tc>
      </w:tr>
      <w:tr w:rsidR="00520D3D" w:rsidRPr="00D5736E" w:rsidTr="00D5736E">
        <w:trPr>
          <w:trHeight w:val="258"/>
        </w:trPr>
        <w:tc>
          <w:tcPr>
            <w:tcW w:w="0" w:type="auto"/>
          </w:tcPr>
          <w:p w:rsidR="00520D3D" w:rsidRPr="00D5736E" w:rsidRDefault="00520D3D" w:rsidP="00D5736E">
            <w:pPr>
              <w:spacing w:after="0" w:line="240" w:lineRule="auto"/>
              <w:jc w:val="both"/>
              <w:rPr>
                <w:sz w:val="20"/>
                <w:szCs w:val="20"/>
              </w:rPr>
            </w:pPr>
            <w:r w:rsidRPr="00D5736E">
              <w:rPr>
                <w:sz w:val="20"/>
                <w:szCs w:val="20"/>
              </w:rPr>
              <w:t>159-161</w:t>
            </w:r>
          </w:p>
        </w:tc>
        <w:tc>
          <w:tcPr>
            <w:tcW w:w="0" w:type="auto"/>
          </w:tcPr>
          <w:p w:rsidR="00520D3D" w:rsidRPr="00D5736E" w:rsidRDefault="00520D3D" w:rsidP="00D5736E">
            <w:pPr>
              <w:spacing w:after="0" w:line="240" w:lineRule="auto"/>
              <w:jc w:val="both"/>
              <w:rPr>
                <w:sz w:val="20"/>
                <w:szCs w:val="20"/>
              </w:rPr>
            </w:pPr>
            <w:r w:rsidRPr="00D5736E">
              <w:rPr>
                <w:sz w:val="20"/>
                <w:szCs w:val="20"/>
              </w:rPr>
              <w:t>1.1.2</w:t>
            </w:r>
          </w:p>
          <w:p w:rsidR="00520D3D" w:rsidRPr="00D5736E" w:rsidRDefault="00520D3D" w:rsidP="00D5736E">
            <w:pPr>
              <w:spacing w:after="0" w:line="240" w:lineRule="auto"/>
              <w:jc w:val="both"/>
              <w:rPr>
                <w:sz w:val="20"/>
                <w:szCs w:val="20"/>
              </w:rPr>
            </w:pPr>
            <w:r w:rsidRPr="00D5736E">
              <w:rPr>
                <w:sz w:val="20"/>
                <w:szCs w:val="20"/>
              </w:rPr>
              <w:t>Rozvoj a zkvalitnění dopravní infrastruktury pro zlepšení dopravní dostupnosti a prostupnosti území včetně dopravy v klidu</w:t>
            </w:r>
          </w:p>
        </w:tc>
        <w:tc>
          <w:tcPr>
            <w:tcW w:w="0" w:type="auto"/>
          </w:tcPr>
          <w:p w:rsidR="00520D3D" w:rsidRPr="00D5736E" w:rsidRDefault="00520D3D" w:rsidP="00D5736E">
            <w:pPr>
              <w:spacing w:after="0" w:line="240" w:lineRule="auto"/>
              <w:jc w:val="both"/>
              <w:rPr>
                <w:sz w:val="20"/>
                <w:szCs w:val="20"/>
              </w:rPr>
            </w:pPr>
            <w:r w:rsidRPr="00D5736E">
              <w:rPr>
                <w:sz w:val="20"/>
                <w:szCs w:val="20"/>
              </w:rPr>
              <w:t>IROP, SC 1.2</w:t>
            </w:r>
          </w:p>
        </w:tc>
        <w:tc>
          <w:tcPr>
            <w:tcW w:w="0" w:type="auto"/>
          </w:tcPr>
          <w:p w:rsidR="00520D3D" w:rsidRPr="00D5736E" w:rsidRDefault="00520D3D" w:rsidP="00D5736E">
            <w:pPr>
              <w:spacing w:after="0" w:line="240" w:lineRule="auto"/>
              <w:jc w:val="both"/>
              <w:rPr>
                <w:sz w:val="20"/>
                <w:szCs w:val="20"/>
              </w:rPr>
            </w:pPr>
            <w:r w:rsidRPr="00D5736E">
              <w:rPr>
                <w:sz w:val="20"/>
                <w:szCs w:val="20"/>
              </w:rPr>
              <w:t xml:space="preserve">Snížení cílové hodnoty indikátoru 74001 Počet vytvořených parkovacích míst o 275 parkovacích míst, tj. z původních 969 na 694 parkovacích míst. </w:t>
            </w:r>
          </w:p>
        </w:tc>
        <w:tc>
          <w:tcPr>
            <w:tcW w:w="0" w:type="auto"/>
          </w:tcPr>
          <w:p w:rsidR="00520D3D" w:rsidRPr="00D5736E" w:rsidRDefault="00520D3D" w:rsidP="00D5736E">
            <w:pPr>
              <w:spacing w:after="0" w:line="240" w:lineRule="auto"/>
              <w:jc w:val="both"/>
              <w:rPr>
                <w:sz w:val="20"/>
                <w:szCs w:val="20"/>
              </w:rPr>
            </w:pPr>
            <w:r w:rsidRPr="00D5736E">
              <w:rPr>
                <w:sz w:val="20"/>
                <w:szCs w:val="20"/>
              </w:rPr>
              <w:t>Jedná se změnu, na základě vzájemné dohody s IPRÚ Liberec/ Jablonec n. Nisou. V rámci IPRÚ ČB nedošlo k realizaci původně plánovaných nízkonákladových projektů, které by zajistili naplnění indikátoru. IPRÚ Liberec/Jablonec n. Nisou indikátor v rámci realizace projektů překračuje. V rámci IPRÚ ČB dojde v důsledku této změny ke snížení cílové hodnoty z 969 na 694 parkovacích míst a u IPRÚ LB/Jablonec k navýšení cílové hodnoty ze 425 na 700 parkovacích míst.</w:t>
            </w:r>
          </w:p>
        </w:tc>
      </w:tr>
      <w:tr w:rsidR="00520D3D" w:rsidRPr="00D5736E" w:rsidTr="00D5736E">
        <w:trPr>
          <w:trHeight w:val="258"/>
        </w:trPr>
        <w:tc>
          <w:tcPr>
            <w:tcW w:w="0" w:type="auto"/>
          </w:tcPr>
          <w:p w:rsidR="00520D3D" w:rsidRPr="00D5736E" w:rsidRDefault="00520D3D" w:rsidP="00D5736E">
            <w:pPr>
              <w:spacing w:after="0" w:line="240" w:lineRule="auto"/>
              <w:jc w:val="both"/>
              <w:rPr>
                <w:sz w:val="20"/>
                <w:szCs w:val="20"/>
              </w:rPr>
            </w:pPr>
            <w:r w:rsidRPr="00D5736E">
              <w:rPr>
                <w:sz w:val="20"/>
                <w:szCs w:val="20"/>
              </w:rPr>
              <w:t>162,166,167</w:t>
            </w:r>
          </w:p>
        </w:tc>
        <w:tc>
          <w:tcPr>
            <w:tcW w:w="0" w:type="auto"/>
          </w:tcPr>
          <w:p w:rsidR="00520D3D" w:rsidRPr="00D5736E" w:rsidRDefault="00520D3D" w:rsidP="00D5736E">
            <w:pPr>
              <w:spacing w:after="0" w:line="240" w:lineRule="auto"/>
              <w:jc w:val="both"/>
              <w:rPr>
                <w:sz w:val="20"/>
                <w:szCs w:val="20"/>
              </w:rPr>
            </w:pPr>
            <w:r w:rsidRPr="00D5736E">
              <w:rPr>
                <w:sz w:val="20"/>
                <w:szCs w:val="20"/>
              </w:rPr>
              <w:t>2.1.2 Vybudování infrastruktury pro vzdělávání technických a přírodovědných oborů na SŠ a VOŠ</w:t>
            </w:r>
          </w:p>
        </w:tc>
        <w:tc>
          <w:tcPr>
            <w:tcW w:w="0" w:type="auto"/>
          </w:tcPr>
          <w:p w:rsidR="00520D3D" w:rsidRPr="00D5736E" w:rsidRDefault="00520D3D" w:rsidP="00D5736E">
            <w:pPr>
              <w:spacing w:after="0" w:line="240" w:lineRule="auto"/>
              <w:jc w:val="both"/>
              <w:rPr>
                <w:sz w:val="20"/>
                <w:szCs w:val="20"/>
              </w:rPr>
            </w:pPr>
            <w:r w:rsidRPr="00D5736E">
              <w:rPr>
                <w:sz w:val="20"/>
                <w:szCs w:val="20"/>
              </w:rPr>
              <w:t>IROP, SC 2.4</w:t>
            </w:r>
          </w:p>
        </w:tc>
        <w:tc>
          <w:tcPr>
            <w:tcW w:w="0" w:type="auto"/>
          </w:tcPr>
          <w:p w:rsidR="00520D3D" w:rsidRPr="00D5736E" w:rsidRDefault="00520D3D" w:rsidP="00D5736E">
            <w:pPr>
              <w:spacing w:after="0" w:line="240" w:lineRule="auto"/>
              <w:jc w:val="both"/>
              <w:rPr>
                <w:sz w:val="20"/>
                <w:szCs w:val="20"/>
              </w:rPr>
            </w:pPr>
            <w:r w:rsidRPr="00D5736E">
              <w:rPr>
                <w:sz w:val="20"/>
                <w:szCs w:val="20"/>
              </w:rPr>
              <w:t xml:space="preserve">Snížení alokace v r. 2019 o 13 935 000 Kč a v r. 2020 o 16 065 000 Kč (EU). </w:t>
            </w:r>
          </w:p>
        </w:tc>
        <w:tc>
          <w:tcPr>
            <w:tcW w:w="0" w:type="auto"/>
          </w:tcPr>
          <w:p w:rsidR="00520D3D" w:rsidRPr="00D5736E" w:rsidRDefault="00520D3D" w:rsidP="00D5736E">
            <w:pPr>
              <w:spacing w:after="0" w:line="240" w:lineRule="auto"/>
              <w:jc w:val="both"/>
              <w:rPr>
                <w:sz w:val="20"/>
                <w:szCs w:val="20"/>
              </w:rPr>
            </w:pPr>
            <w:r w:rsidRPr="00D5736E">
              <w:rPr>
                <w:sz w:val="20"/>
                <w:szCs w:val="20"/>
              </w:rPr>
              <w:t>Jedná se o přesun alokace z Opatření 2.1.2 do Opatření 2.1.1. V rámci Opatření 2.1.2 je snížena absorpční kapacita v důsledku schválených projektů, které byly předloženy do individuální výzvy IROP. V Opatření 2.1.1 naopak došlo k převisu předložených projektů nad alokaci výzvy. V důsledku provedení této změny bude zajištěno čerpání alokace v obou opatřeních a ve SC 2.4 IROP v r. 2019. Celkové snížení alokace v 2.1.2 je 30 000 000 Kč (13 935 000 Kč v r. 2019 a 16 065 000 Kč v r. 2020) a o částku 30 000 000 Kč je navýšena alokace v opatření 2.1.1 v r. 2019.</w:t>
            </w:r>
          </w:p>
        </w:tc>
      </w:tr>
      <w:tr w:rsidR="00520D3D" w:rsidRPr="00D5736E" w:rsidTr="00D5736E">
        <w:trPr>
          <w:trHeight w:val="2126"/>
        </w:trPr>
        <w:tc>
          <w:tcPr>
            <w:tcW w:w="0" w:type="auto"/>
          </w:tcPr>
          <w:p w:rsidR="00520D3D" w:rsidRPr="00D5736E" w:rsidRDefault="00520D3D" w:rsidP="00D5736E">
            <w:pPr>
              <w:spacing w:after="0" w:line="240" w:lineRule="auto"/>
              <w:jc w:val="both"/>
              <w:rPr>
                <w:sz w:val="20"/>
                <w:szCs w:val="20"/>
              </w:rPr>
            </w:pPr>
            <w:r w:rsidRPr="00D5736E">
              <w:rPr>
                <w:sz w:val="20"/>
                <w:szCs w:val="20"/>
              </w:rPr>
              <w:t>162,166,167</w:t>
            </w:r>
          </w:p>
        </w:tc>
        <w:tc>
          <w:tcPr>
            <w:tcW w:w="0" w:type="auto"/>
          </w:tcPr>
          <w:p w:rsidR="00520D3D" w:rsidRPr="00D5736E" w:rsidRDefault="00520D3D" w:rsidP="00D5736E">
            <w:pPr>
              <w:spacing w:after="0" w:line="240" w:lineRule="auto"/>
              <w:jc w:val="both"/>
              <w:rPr>
                <w:sz w:val="20"/>
                <w:szCs w:val="20"/>
              </w:rPr>
            </w:pPr>
            <w:r w:rsidRPr="00D5736E">
              <w:rPr>
                <w:sz w:val="20"/>
                <w:szCs w:val="20"/>
              </w:rPr>
              <w:t>2.1.1 Vybudování infrastruktury pro vzdělávání technických a přírodovědných oborů na ZŠ</w:t>
            </w:r>
          </w:p>
        </w:tc>
        <w:tc>
          <w:tcPr>
            <w:tcW w:w="0" w:type="auto"/>
          </w:tcPr>
          <w:p w:rsidR="00520D3D" w:rsidRPr="00D5736E" w:rsidRDefault="00520D3D" w:rsidP="00D5736E">
            <w:pPr>
              <w:spacing w:after="0" w:line="240" w:lineRule="auto"/>
              <w:jc w:val="both"/>
              <w:rPr>
                <w:sz w:val="20"/>
                <w:szCs w:val="20"/>
              </w:rPr>
            </w:pPr>
            <w:r w:rsidRPr="00D5736E">
              <w:rPr>
                <w:sz w:val="20"/>
                <w:szCs w:val="20"/>
              </w:rPr>
              <w:t>IROP, SC 2.4</w:t>
            </w:r>
          </w:p>
        </w:tc>
        <w:tc>
          <w:tcPr>
            <w:tcW w:w="0" w:type="auto"/>
          </w:tcPr>
          <w:p w:rsidR="00520D3D" w:rsidRPr="00D5736E" w:rsidRDefault="00520D3D" w:rsidP="00D5736E">
            <w:pPr>
              <w:spacing w:after="0" w:line="240" w:lineRule="auto"/>
              <w:jc w:val="both"/>
              <w:rPr>
                <w:sz w:val="20"/>
                <w:szCs w:val="20"/>
              </w:rPr>
            </w:pPr>
            <w:r w:rsidRPr="00D5736E">
              <w:rPr>
                <w:sz w:val="20"/>
                <w:szCs w:val="20"/>
              </w:rPr>
              <w:t xml:space="preserve">Navýšení alokace v r. 2019 o 30 000 000 Kč (EU). </w:t>
            </w:r>
          </w:p>
        </w:tc>
        <w:tc>
          <w:tcPr>
            <w:tcW w:w="0" w:type="auto"/>
          </w:tcPr>
          <w:p w:rsidR="00520D3D" w:rsidRPr="00D5736E" w:rsidRDefault="00520D3D" w:rsidP="00D5736E">
            <w:pPr>
              <w:spacing w:after="0" w:line="240" w:lineRule="auto"/>
              <w:jc w:val="both"/>
              <w:rPr>
                <w:sz w:val="20"/>
                <w:szCs w:val="20"/>
              </w:rPr>
            </w:pPr>
            <w:r w:rsidRPr="00D5736E">
              <w:rPr>
                <w:sz w:val="20"/>
                <w:szCs w:val="20"/>
              </w:rPr>
              <w:t>Jedná se o přesun alokace z Opatření 2.1.2 do Opatření 2.1.1. V rámci Opatření 2.1.2 je snížena absorpční kapacita v důsledku schválených projektů, které byly předloženy do individuální výzvy IROP. V Opatření 2.1.1 naopak došlo k převisu předložených projektů nad alokaci výzvy. V důsledku provedení této změny bude zajištěno čerpání alokace v obou opatřeních a ve SC 2.4 IROP v r. 2019. Celkové navýšení alokace v 2.1.1 je 30 000 000 Kč a o tuto částku je snížena alokace v opatření 2.1.2 (13 935 000 Kč v r. 2019 a 16 065 000 Kč v r. 2020).</w:t>
            </w:r>
          </w:p>
        </w:tc>
      </w:tr>
      <w:tr w:rsidR="00520D3D" w:rsidRPr="00D5736E" w:rsidTr="00D5736E">
        <w:trPr>
          <w:trHeight w:val="258"/>
        </w:trPr>
        <w:tc>
          <w:tcPr>
            <w:tcW w:w="0" w:type="auto"/>
          </w:tcPr>
          <w:p w:rsidR="00520D3D" w:rsidRPr="00D5736E" w:rsidRDefault="00520D3D" w:rsidP="00D5736E">
            <w:pPr>
              <w:spacing w:after="0" w:line="240" w:lineRule="auto"/>
              <w:jc w:val="both"/>
              <w:rPr>
                <w:sz w:val="20"/>
                <w:szCs w:val="20"/>
              </w:rPr>
            </w:pPr>
            <w:r w:rsidRPr="00D5736E">
              <w:rPr>
                <w:sz w:val="20"/>
                <w:szCs w:val="20"/>
              </w:rPr>
              <w:t>159-161</w:t>
            </w:r>
          </w:p>
        </w:tc>
        <w:tc>
          <w:tcPr>
            <w:tcW w:w="0" w:type="auto"/>
          </w:tcPr>
          <w:p w:rsidR="00520D3D" w:rsidRPr="00D5736E" w:rsidRDefault="00520D3D" w:rsidP="00D5736E">
            <w:pPr>
              <w:spacing w:after="0" w:line="240" w:lineRule="auto"/>
              <w:jc w:val="both"/>
              <w:rPr>
                <w:sz w:val="20"/>
                <w:szCs w:val="20"/>
              </w:rPr>
            </w:pPr>
            <w:r w:rsidRPr="00D5736E">
              <w:rPr>
                <w:sz w:val="20"/>
                <w:szCs w:val="20"/>
              </w:rPr>
              <w:t>2.1.2 Vybudování infrastruktury pro vzdělávání technických a přírodovědných oborů na SŠ a VOŠ</w:t>
            </w:r>
          </w:p>
        </w:tc>
        <w:tc>
          <w:tcPr>
            <w:tcW w:w="0" w:type="auto"/>
          </w:tcPr>
          <w:p w:rsidR="00520D3D" w:rsidRPr="00D5736E" w:rsidRDefault="00520D3D" w:rsidP="00D5736E">
            <w:pPr>
              <w:spacing w:after="0" w:line="240" w:lineRule="auto"/>
              <w:jc w:val="both"/>
              <w:rPr>
                <w:sz w:val="20"/>
                <w:szCs w:val="20"/>
              </w:rPr>
            </w:pPr>
            <w:r w:rsidRPr="00D5736E">
              <w:rPr>
                <w:sz w:val="20"/>
                <w:szCs w:val="20"/>
              </w:rPr>
              <w:t>IROP, SC 2.4</w:t>
            </w:r>
          </w:p>
        </w:tc>
        <w:tc>
          <w:tcPr>
            <w:tcW w:w="0" w:type="auto"/>
          </w:tcPr>
          <w:p w:rsidR="00520D3D" w:rsidRPr="00D5736E" w:rsidRDefault="00520D3D" w:rsidP="00D5736E">
            <w:pPr>
              <w:spacing w:after="0" w:line="240" w:lineRule="auto"/>
              <w:jc w:val="both"/>
              <w:rPr>
                <w:sz w:val="20"/>
                <w:szCs w:val="20"/>
              </w:rPr>
            </w:pPr>
            <w:r w:rsidRPr="00D5736E">
              <w:rPr>
                <w:sz w:val="20"/>
                <w:szCs w:val="20"/>
              </w:rPr>
              <w:t>Snížení cílové hodnoty indikátoru 50000 Počet podpořených vzdělávacích zařízení z 15 zařízení na 11 zařízení.</w:t>
            </w:r>
          </w:p>
        </w:tc>
        <w:tc>
          <w:tcPr>
            <w:tcW w:w="0" w:type="auto"/>
          </w:tcPr>
          <w:p w:rsidR="00520D3D" w:rsidRPr="00D5736E" w:rsidRDefault="00520D3D" w:rsidP="00D5736E">
            <w:pPr>
              <w:spacing w:after="0" w:line="240" w:lineRule="auto"/>
              <w:jc w:val="both"/>
              <w:rPr>
                <w:sz w:val="20"/>
                <w:szCs w:val="20"/>
              </w:rPr>
            </w:pPr>
            <w:r w:rsidRPr="00D5736E">
              <w:rPr>
                <w:sz w:val="20"/>
                <w:szCs w:val="20"/>
              </w:rPr>
              <w:t>Tato změna indikátoru je v důsledku přesunu alokace mezi Opatřením 2.1.2 a 2.1.1. Jedná se o snížení indikátoru o 4 zařízení tj. z 15 zařízení na 11 zařízení v důsledku přesunu alokace z Opatření 2.1.2 do Opatření 2.1.1. V rámci Opatření 2.1.2 je snížena absorpční kapacita v důsledku schválených projektů, které byly předloženy do individuální výzvy IROP. V Opatření 2.1.1 naopak došlo k převisu předložených projektů nad alokaci výzvy. V důsledku provedení této změny bude zajištěno čerpání alokace v obou opatřeních a ve SC 2.4 IROP v r. 2019. V opatření 2.1.1 je v rámci této změny provedeno reciproční navýšení hodnoty indikátoru č. 50000 o 4 zařízení tj. z 2 zařízení na 6 zařízení.</w:t>
            </w:r>
          </w:p>
        </w:tc>
      </w:tr>
      <w:tr w:rsidR="00520D3D" w:rsidRPr="00D5736E" w:rsidTr="00D5736E">
        <w:trPr>
          <w:trHeight w:val="1275"/>
        </w:trPr>
        <w:tc>
          <w:tcPr>
            <w:tcW w:w="0" w:type="auto"/>
          </w:tcPr>
          <w:p w:rsidR="00520D3D" w:rsidRPr="00D5736E" w:rsidRDefault="00520D3D" w:rsidP="00D5736E">
            <w:pPr>
              <w:spacing w:after="0" w:line="240" w:lineRule="auto"/>
              <w:jc w:val="both"/>
              <w:rPr>
                <w:sz w:val="20"/>
                <w:szCs w:val="20"/>
              </w:rPr>
            </w:pPr>
            <w:r w:rsidRPr="00D5736E">
              <w:rPr>
                <w:sz w:val="20"/>
                <w:szCs w:val="20"/>
              </w:rPr>
              <w:t>159-161</w:t>
            </w:r>
          </w:p>
        </w:tc>
        <w:tc>
          <w:tcPr>
            <w:tcW w:w="0" w:type="auto"/>
          </w:tcPr>
          <w:p w:rsidR="00520D3D" w:rsidRPr="00D5736E" w:rsidRDefault="00520D3D" w:rsidP="00D5736E">
            <w:pPr>
              <w:spacing w:after="0" w:line="240" w:lineRule="auto"/>
              <w:jc w:val="both"/>
              <w:rPr>
                <w:sz w:val="20"/>
                <w:szCs w:val="20"/>
              </w:rPr>
            </w:pPr>
            <w:r w:rsidRPr="00D5736E">
              <w:rPr>
                <w:sz w:val="20"/>
                <w:szCs w:val="20"/>
              </w:rPr>
              <w:t>2.1.1 Vybudování infrastruktury pro vzdělávání technických a přírodovědných oborů na ZŚ</w:t>
            </w:r>
          </w:p>
        </w:tc>
        <w:tc>
          <w:tcPr>
            <w:tcW w:w="0" w:type="auto"/>
          </w:tcPr>
          <w:p w:rsidR="00520D3D" w:rsidRPr="00D5736E" w:rsidRDefault="00520D3D" w:rsidP="00D5736E">
            <w:pPr>
              <w:spacing w:after="0" w:line="240" w:lineRule="auto"/>
              <w:jc w:val="both"/>
              <w:rPr>
                <w:sz w:val="20"/>
                <w:szCs w:val="20"/>
              </w:rPr>
            </w:pPr>
            <w:r w:rsidRPr="00D5736E">
              <w:rPr>
                <w:sz w:val="20"/>
                <w:szCs w:val="20"/>
              </w:rPr>
              <w:t>IROP, SC 2.4</w:t>
            </w:r>
          </w:p>
        </w:tc>
        <w:tc>
          <w:tcPr>
            <w:tcW w:w="0" w:type="auto"/>
          </w:tcPr>
          <w:p w:rsidR="00520D3D" w:rsidRPr="00D5736E" w:rsidRDefault="00520D3D" w:rsidP="00D5736E">
            <w:pPr>
              <w:spacing w:after="0" w:line="240" w:lineRule="auto"/>
              <w:jc w:val="both"/>
              <w:rPr>
                <w:sz w:val="20"/>
                <w:szCs w:val="20"/>
              </w:rPr>
            </w:pPr>
            <w:r w:rsidRPr="00D5736E">
              <w:rPr>
                <w:sz w:val="20"/>
                <w:szCs w:val="20"/>
              </w:rPr>
              <w:t>Zvýšení cílové hodnoty indikátoru 50000 Počet podpořených vzdělávacích zařízení z 2 zařízení na 6 zařízení.</w:t>
            </w:r>
          </w:p>
        </w:tc>
        <w:tc>
          <w:tcPr>
            <w:tcW w:w="0" w:type="auto"/>
          </w:tcPr>
          <w:p w:rsidR="00520D3D" w:rsidRPr="00D5736E" w:rsidRDefault="00520D3D" w:rsidP="00D5736E">
            <w:pPr>
              <w:spacing w:after="0" w:line="240" w:lineRule="auto"/>
              <w:jc w:val="both"/>
              <w:rPr>
                <w:sz w:val="20"/>
                <w:szCs w:val="20"/>
              </w:rPr>
            </w:pPr>
            <w:r w:rsidRPr="00D5736E">
              <w:rPr>
                <w:sz w:val="20"/>
                <w:szCs w:val="20"/>
              </w:rPr>
              <w:t>Tato změna indikátoru je v důsledku přesunu alokace mezi Opatřením 2.1.2 a 2.1.1. Jedná se o navýšení indikátoru o 4 zařízení tj. z 2 zařízení na 6 zařízení v důsledku přesunu alokace z Opatření 2.1.2 do Opatření 2.1.1. V rámci Opatření 2.1.2 je snížena absorpční kapacita v důsledku schválených projektů, které byly předloženy do individuální výzvy IROP. V Opatření 2.1.1 naopak došlo k převisu předložených projektů nad alokaci výzvy. V důsledku provedení této změny bude zajištěno čerpání alokace v obou opatřeních a ve SC 2.4 IROP v r. 2019. V opatření 2.1.2 je v rámci této změny provedeno reciproční snížení hodnoty indikátoru č. 50000 o 4 zařízení tj. z 15 zařízení na 11zařízení.</w:t>
            </w:r>
          </w:p>
        </w:tc>
      </w:tr>
    </w:tbl>
    <w:p w:rsidR="00DB6208" w:rsidRPr="004C1807" w:rsidRDefault="00DB6208" w:rsidP="003D3EF2">
      <w:pPr>
        <w:spacing w:after="160" w:line="259" w:lineRule="auto"/>
        <w:rPr>
          <w:rFonts w:cstheme="minorHAnsi"/>
          <w:sz w:val="20"/>
          <w:szCs w:val="20"/>
        </w:rPr>
      </w:pPr>
    </w:p>
    <w:sectPr w:rsidR="00DB6208" w:rsidRPr="004C1807" w:rsidSect="00DC6F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93"/>
    <w:rsid w:val="00070F84"/>
    <w:rsid w:val="001054E6"/>
    <w:rsid w:val="00232ED1"/>
    <w:rsid w:val="002525FB"/>
    <w:rsid w:val="003D3EF2"/>
    <w:rsid w:val="004C1807"/>
    <w:rsid w:val="00520D3D"/>
    <w:rsid w:val="006E1393"/>
    <w:rsid w:val="00825989"/>
    <w:rsid w:val="00B25363"/>
    <w:rsid w:val="00BB659B"/>
    <w:rsid w:val="00BE5260"/>
    <w:rsid w:val="00C0625C"/>
    <w:rsid w:val="00D5736E"/>
    <w:rsid w:val="00DB6208"/>
    <w:rsid w:val="00E360D7"/>
    <w:rsid w:val="00F05D1A"/>
    <w:rsid w:val="00F820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6B7A"/>
  <w15:chartTrackingRefBased/>
  <w15:docId w15:val="{7CF31A47-F0A9-4358-937A-F121FF4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39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15494</Characters>
  <Application>Microsoft Office Word</Application>
  <DocSecurity>4</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Käfer Petr</dc:creator>
  <cp:keywords/>
  <dc:description/>
  <cp:lastModifiedBy>Käfer Petr</cp:lastModifiedBy>
  <cp:revision>2</cp:revision>
  <cp:lastPrinted>2018-03-12T08:42:00Z</cp:lastPrinted>
  <dcterms:created xsi:type="dcterms:W3CDTF">2018-03-12T08:43:00Z</dcterms:created>
  <dcterms:modified xsi:type="dcterms:W3CDTF">2018-03-12T08:43:00Z</dcterms:modified>
</cp:coreProperties>
</file>