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F3" w:rsidRPr="003E3DB2" w:rsidRDefault="00CE70F3" w:rsidP="00CE70F3">
      <w:pPr>
        <w:tabs>
          <w:tab w:val="left" w:pos="993"/>
        </w:tabs>
        <w:ind w:left="993" w:hanging="993"/>
        <w:rPr>
          <w:b/>
        </w:rPr>
      </w:pPr>
      <w:r w:rsidRPr="003E3DB2">
        <w:rPr>
          <w:b/>
        </w:rPr>
        <w:t>Důvodová zpráva</w:t>
      </w:r>
    </w:p>
    <w:p w:rsidR="00CE70F3" w:rsidRPr="003E3DB2" w:rsidRDefault="00CE70F3" w:rsidP="00CE70F3">
      <w:pPr>
        <w:tabs>
          <w:tab w:val="left" w:pos="900"/>
        </w:tabs>
        <w:rPr>
          <w:b/>
        </w:rPr>
      </w:pPr>
    </w:p>
    <w:p w:rsidR="00CE70F3" w:rsidRPr="00A15494" w:rsidRDefault="00CE70F3" w:rsidP="00CE70F3">
      <w:pPr>
        <w:tabs>
          <w:tab w:val="left" w:pos="900"/>
        </w:tabs>
        <w:jc w:val="both"/>
      </w:pPr>
      <w:r w:rsidRPr="00A15494">
        <w:t>Statutární město České Budějovice obdrželo dne 26. 5. 2020 návrh představenstva společnosti Teplárna České Budějovice, a.s., na přijetí nové dlouhodobé koncepce podnikatelské činnosti společnosti jako součást návrhů na usnesení Rady města České Budějovice při výkonu působnosti valné hromady společnosti.</w:t>
      </w:r>
    </w:p>
    <w:p w:rsidR="00CE70F3" w:rsidRPr="00A15494" w:rsidRDefault="00CE70F3" w:rsidP="00CE70F3">
      <w:pPr>
        <w:tabs>
          <w:tab w:val="left" w:pos="900"/>
        </w:tabs>
        <w:jc w:val="both"/>
      </w:pPr>
    </w:p>
    <w:p w:rsidR="00CE70F3" w:rsidRPr="00A15494" w:rsidRDefault="00CE70F3" w:rsidP="00CE70F3">
      <w:pPr>
        <w:tabs>
          <w:tab w:val="left" w:pos="900"/>
        </w:tabs>
        <w:jc w:val="both"/>
      </w:pPr>
      <w:r w:rsidRPr="00A15494">
        <w:t>Schválení dlouhodobé koncepce podnikatelské činnosti společnosti náleží dle stanov společnosti valné hromadě jako nejvyššímu orgánu společnosti. S ohledem na skutečnost, že město je jediným akcionářem společnosti Teplárna České Budějovice, a.s., vykonává působnost valné hromady sám akcionář svým rozhodováním, přičemž toto rozhodování činí za město dle zákona o obcích rada města.</w:t>
      </w:r>
    </w:p>
    <w:p w:rsidR="00CE70F3" w:rsidRPr="00A15494" w:rsidRDefault="00CE70F3" w:rsidP="00CE70F3">
      <w:pPr>
        <w:tabs>
          <w:tab w:val="left" w:pos="900"/>
        </w:tabs>
        <w:jc w:val="both"/>
      </w:pPr>
    </w:p>
    <w:p w:rsidR="00CE70F3" w:rsidRPr="003E3DB2" w:rsidRDefault="00CE70F3" w:rsidP="00CE70F3">
      <w:pPr>
        <w:tabs>
          <w:tab w:val="left" w:pos="900"/>
        </w:tabs>
        <w:jc w:val="both"/>
      </w:pPr>
      <w:r w:rsidRPr="003E3DB2">
        <w:t>Ještě než bude shora uvedený návrh předložen radě města v režimu výkonu působnosti valné hromady, je předkládán zastupitelstvu města k projednání.</w:t>
      </w:r>
    </w:p>
    <w:p w:rsidR="00CE70F3" w:rsidRPr="00A15494" w:rsidRDefault="00CE70F3" w:rsidP="00CE70F3">
      <w:pPr>
        <w:tabs>
          <w:tab w:val="left" w:pos="900"/>
        </w:tabs>
        <w:jc w:val="both"/>
      </w:pPr>
    </w:p>
    <w:p w:rsidR="00CE70F3" w:rsidRPr="00A15494" w:rsidRDefault="00CE70F3" w:rsidP="00CE70F3">
      <w:pPr>
        <w:tabs>
          <w:tab w:val="left" w:pos="900"/>
        </w:tabs>
        <w:jc w:val="both"/>
      </w:pPr>
      <w:r w:rsidRPr="00A15494">
        <w:t xml:space="preserve">Zastupitelstvo města není orgánem příslušným ke schválení uvedené koncepce a nemůže si tuto pravomoc ani vyhradit, neboť rozhodování ve věcech města jako jediného akcionáře společnosti je vyhrazenou pravomocí rady města. Nicméně s ohledem na koncepční a dlouhodobý charakter předkládaného návrhu a jeho zásadní význam pro podnikatelskou činnost společnosti v budoucím období se doporučuje, aby byl přesto zastupitelstvu města předložen k projednání i nad rámec zákona s tím, že by zastupitelstvo </w:t>
      </w:r>
      <w:r w:rsidRPr="00226AE5">
        <w:t>města vzalo na vědomí předložený návrh -</w:t>
      </w:r>
      <w:r w:rsidRPr="00A15494">
        <w:t xml:space="preserve"> tedy nejednalo by se na jeho straně o „schválení</w:t>
      </w:r>
      <w:r>
        <w:t>“</w:t>
      </w:r>
      <w:r w:rsidRPr="00A15494">
        <w:t>, které dle shora uvedeného nálež</w:t>
      </w:r>
      <w:r>
        <w:t>í</w:t>
      </w:r>
      <w:r w:rsidRPr="00A15494">
        <w:t xml:space="preserve"> až radě města (v režimu výkonu působnosti valné hromady společnosti) uskutečněné po projednání v zastupitelstvu města.</w:t>
      </w:r>
    </w:p>
    <w:p w:rsidR="00CE70F3" w:rsidRPr="00A15494" w:rsidRDefault="00CE70F3" w:rsidP="00CE70F3">
      <w:pPr>
        <w:tabs>
          <w:tab w:val="left" w:pos="900"/>
        </w:tabs>
        <w:jc w:val="both"/>
      </w:pPr>
    </w:p>
    <w:p w:rsidR="00CE70F3" w:rsidRPr="00A15494" w:rsidRDefault="00CE70F3" w:rsidP="00CE70F3">
      <w:pPr>
        <w:tabs>
          <w:tab w:val="left" w:pos="900"/>
        </w:tabs>
        <w:jc w:val="both"/>
      </w:pPr>
      <w:r w:rsidRPr="00A15494">
        <w:t xml:space="preserve"> </w:t>
      </w:r>
    </w:p>
    <w:p w:rsidR="00CE70F3" w:rsidRPr="00A15494" w:rsidRDefault="00CE70F3" w:rsidP="00CE70F3">
      <w:pPr>
        <w:tabs>
          <w:tab w:val="left" w:pos="900"/>
        </w:tabs>
        <w:jc w:val="both"/>
        <w:rPr>
          <w:u w:val="single"/>
        </w:rPr>
      </w:pPr>
      <w:r w:rsidRPr="00A15494">
        <w:rPr>
          <w:u w:val="single"/>
        </w:rPr>
        <w:t>Návrh představenstva na přijetí dlouhodobé koncepce podnikatelské činnosti a jeho odůvodnění</w:t>
      </w:r>
    </w:p>
    <w:p w:rsidR="00CE70F3" w:rsidRPr="00A15494" w:rsidRDefault="00CE70F3" w:rsidP="00CE70F3">
      <w:pPr>
        <w:tabs>
          <w:tab w:val="left" w:pos="900"/>
        </w:tabs>
        <w:jc w:val="both"/>
      </w:pPr>
    </w:p>
    <w:p w:rsidR="00CE70F3" w:rsidRPr="00A15494" w:rsidRDefault="00CE70F3" w:rsidP="00CE70F3">
      <w:pPr>
        <w:tabs>
          <w:tab w:val="left" w:pos="900"/>
        </w:tabs>
        <w:jc w:val="both"/>
      </w:pPr>
      <w:r w:rsidRPr="00A15494">
        <w:t>Představenstvo společnosti navrhlo jedinému akcionáři společnosti, statutárnímu městu České Budějovice, aby Rada města České Budějovice při výkonu působnosti valné hromady společnosti přijala mj. rozhodnutí o schválení dlouhodobé koncepce podnikatelské činnosti společnosti, jejíž návrh předložila.</w:t>
      </w:r>
    </w:p>
    <w:p w:rsidR="00CE70F3" w:rsidRPr="00A15494" w:rsidRDefault="00CE70F3" w:rsidP="00CE70F3">
      <w:pPr>
        <w:tabs>
          <w:tab w:val="left" w:pos="900"/>
        </w:tabs>
        <w:jc w:val="both"/>
      </w:pPr>
    </w:p>
    <w:p w:rsidR="00CE70F3" w:rsidRPr="00A15494" w:rsidRDefault="00CE70F3" w:rsidP="00CE70F3">
      <w:pPr>
        <w:suppressAutoHyphens/>
        <w:ind w:left="567" w:hanging="567"/>
        <w:jc w:val="both"/>
      </w:pPr>
      <w:r w:rsidRPr="00A15494">
        <w:t>Odůvodnění představenstva k návrhu:</w:t>
      </w:r>
    </w:p>
    <w:p w:rsidR="00CE70F3" w:rsidRPr="00A15494" w:rsidRDefault="00CE70F3" w:rsidP="00CE70F3">
      <w:pPr>
        <w:suppressAutoHyphens/>
        <w:ind w:left="567" w:hanging="567"/>
        <w:jc w:val="both"/>
        <w:rPr>
          <w:b/>
        </w:rPr>
      </w:pPr>
    </w:p>
    <w:p w:rsidR="00CE70F3" w:rsidRPr="00A15494" w:rsidRDefault="00CE70F3" w:rsidP="00CE70F3">
      <w:pPr>
        <w:jc w:val="both"/>
        <w:rPr>
          <w:rFonts w:eastAsia="Calibri"/>
        </w:rPr>
      </w:pPr>
      <w:r w:rsidRPr="00A15494">
        <w:rPr>
          <w:rFonts w:eastAsia="Calibri"/>
        </w:rPr>
        <w:t xml:space="preserve">Rozhodování o dlouhodobé koncepci podnikatelské činnosti společnosti je stanovami společnosti určeno do působnosti valné hromady společnosti. Koncepce činnosti, schválená valnou hromadou, resp. jediným akcionářem, je závazným podkladem pro další činnost představenstva a dozorčí rady při obchodním vedení společnosti. </w:t>
      </w:r>
    </w:p>
    <w:p w:rsidR="00CE70F3" w:rsidRPr="00A15494" w:rsidRDefault="00CE70F3" w:rsidP="00CE70F3">
      <w:pPr>
        <w:jc w:val="both"/>
        <w:rPr>
          <w:rFonts w:eastAsia="Calibri"/>
        </w:rPr>
      </w:pPr>
    </w:p>
    <w:p w:rsidR="00CE70F3" w:rsidRPr="00A15494" w:rsidRDefault="00CE70F3" w:rsidP="00CE70F3">
      <w:pPr>
        <w:jc w:val="both"/>
        <w:rPr>
          <w:rFonts w:eastAsia="Calibri"/>
        </w:rPr>
      </w:pPr>
      <w:r w:rsidRPr="00A15494">
        <w:rPr>
          <w:rFonts w:eastAsia="Calibri"/>
        </w:rPr>
        <w:t>V průběhu roku 2017 byla v rámci řídicích a kontrolních orgánů Teplárny České Budějovice, a. s.</w:t>
      </w:r>
      <w:r>
        <w:rPr>
          <w:rFonts w:eastAsia="Calibri"/>
        </w:rPr>
        <w:t>,</w:t>
      </w:r>
      <w:r w:rsidRPr="00A15494">
        <w:rPr>
          <w:rFonts w:eastAsia="Calibri"/>
        </w:rPr>
        <w:t xml:space="preserve"> i ve volených orgánech vlastníka, statutárního města České Budějovice projednána a schválena dlouhodobá koncepce podnikatelské činnosti společnosti na období 2018–2045 nazvaná Strategie 2040. Koncem roku 2018 byl aktualizován výhledový ekonomický model variant rozvoje a komplexní výstupy opět projednaly a schválily orgány společnosti i vlastníka. Dne 18. prosince 2018 došlo k uzavření smlouvy o dodávkách tepelné energie se společností ČEZ, a. s. a začala výstavba horkovodního napáječe z elektrárny Temelín. Probíhala příprava ostatních projektů klíčových pro realizaci schválené varianty rozvoje Teplárny České Budějovice, a. s. Průběžně byly doplňovány související analýzy, zpřesňována relevantní data a ověřovány předpoklady Strategie 2040. Řada investičních akcí je zahájena, některé již byly částečně či zcela dokončeny. Zejména vývoj legislativy, obchodních příležitostí a hrozeb na trhu či stav vedených tržních konzultací však vyvolává nutnost aktualizace, rozšíření, ale i </w:t>
      </w:r>
      <w:r w:rsidRPr="00A15494">
        <w:rPr>
          <w:rFonts w:eastAsia="Calibri"/>
        </w:rPr>
        <w:lastRenderedPageBreak/>
        <w:t>některých dílčích změn přijaté dlouhodobé koncepce podnikatelské činnosti Teplárny České Budějovice a souvisejících harmonogramů.</w:t>
      </w:r>
    </w:p>
    <w:p w:rsidR="00CE70F3" w:rsidRPr="00A15494" w:rsidRDefault="00CE70F3" w:rsidP="00CE70F3">
      <w:pPr>
        <w:jc w:val="both"/>
        <w:rPr>
          <w:rFonts w:eastAsia="Calibri"/>
        </w:rPr>
      </w:pPr>
    </w:p>
    <w:p w:rsidR="00CE70F3" w:rsidRPr="00A15494" w:rsidRDefault="00CE70F3" w:rsidP="00CE70F3">
      <w:pPr>
        <w:jc w:val="both"/>
        <w:rPr>
          <w:rFonts w:eastAsia="Calibri"/>
        </w:rPr>
      </w:pPr>
      <w:r w:rsidRPr="00A15494">
        <w:rPr>
          <w:rFonts w:eastAsia="Calibri"/>
        </w:rPr>
        <w:t>Představenstvo společnosti v rámci naplňování cílů platné dlouhodobé koncepce, relevantních usnesení dozorčí rady společnosti a rozhodnutí jediného akcionáře při výkonu působnosti valné hromady TČB (Rady města ČB) ze dne 3. 6. 2019 o přípravě změny dlouhodobé koncepce podnikatelské činnosti, vedoucí mj. k navýšení podílu místně dostupných obnovitelných a druhotných zdrojů energie (dřevní štěpka a komunální odpady) v palivovém mixu TČB a zajištění možnosti ukončení spotřeby hnědého uhlí, připravilo aktualizovaný dokument, který určuje další podnikatelské směřování společnosti v dlouhodobém horizontu, a to včetně hlavních cílů, provozních opatření, zásad a dlouhodobých investic. Tímto zásadním dlouhodobým podkladem je předkládaná Dlouhodobá koncepce podnikatelské činnosti Teplárny České Budějovice, a.s.</w:t>
      </w:r>
      <w:r>
        <w:rPr>
          <w:rFonts w:eastAsia="Calibri"/>
        </w:rPr>
        <w:t>,</w:t>
      </w:r>
      <w:r w:rsidRPr="00A15494">
        <w:rPr>
          <w:rFonts w:eastAsia="Calibri"/>
        </w:rPr>
        <w:t xml:space="preserve"> v letech 2020–2048 - Strategie pro zelené město, schválená představenstvem TČB. Dozorčí rada společnosti, která byla o všech přípravných činnostech vedoucích ke zpracování Strategie pro zelené město průběžně informována, ke schválení této dlouhodobé koncepce udělila předchozí souhlas.</w:t>
      </w:r>
    </w:p>
    <w:p w:rsidR="00CE70F3" w:rsidRPr="00A15494" w:rsidRDefault="00CE70F3" w:rsidP="00CE70F3">
      <w:pPr>
        <w:ind w:firstLine="284"/>
        <w:jc w:val="both"/>
        <w:rPr>
          <w:rFonts w:eastAsia="Calibri"/>
        </w:rPr>
      </w:pPr>
    </w:p>
    <w:p w:rsidR="00CE70F3" w:rsidRPr="000E1E18" w:rsidRDefault="00CE70F3" w:rsidP="00CE70F3">
      <w:pPr>
        <w:jc w:val="both"/>
        <w:rPr>
          <w:rFonts w:eastAsia="Calibri"/>
        </w:rPr>
      </w:pPr>
      <w:r w:rsidRPr="00A15494">
        <w:rPr>
          <w:rFonts w:eastAsia="Calibri"/>
        </w:rPr>
        <w:t>Schválí-li Rada města České Budějovice předloženou Strategii pro zelené město, představenstvo společnosti pro naplnění dlouhodobých cílů této koncepce podnikatelské činnosti TČB provede retrofit kotle K12 s možností spalování dřevní štěpky, vybuduje související objekty pro přípravu, skladování a dopravu štěpky, zrealizuje výstavbu zařízení na energetické využití odpadů (ZEVO Vráto) s kapacitou na zpracování 160.000 t odpadů ročně, připraví technické vybavení společnosti na poskytování podpůrných služeb, ve vhodných lokalitách bude pokračovat v rozvoji distribučních sítí a konverzi stávajících parovodů na systémy horkovodní a ve své další činnosti bude postupovat podle předpokladů a záměrů uvedených v této dlouhodobé koncepci.</w:t>
      </w:r>
    </w:p>
    <w:p w:rsidR="00E30FC1" w:rsidRDefault="00E30FC1">
      <w:bookmarkStart w:id="0" w:name="_GoBack"/>
      <w:bookmarkEnd w:id="0"/>
    </w:p>
    <w:sectPr w:rsidR="00E30FC1" w:rsidSect="00CE70F3">
      <w:headerReference w:type="even" r:id="rId4"/>
      <w:pgSz w:w="11906" w:h="16838"/>
      <w:pgMar w:top="851" w:right="1418" w:bottom="851" w:left="1418" w:header="708" w:footer="56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56" w:rsidRDefault="00CE70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F3"/>
    <w:rsid w:val="00CE70F3"/>
    <w:rsid w:val="00E30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40B63-B02C-41C5-8164-DFACE7CE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0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Vávrová Jindřiška</dc:creator>
  <cp:keywords/>
  <dc:description/>
  <cp:lastModifiedBy>Vávrová Jindřiška</cp:lastModifiedBy>
  <cp:revision>1</cp:revision>
  <dcterms:created xsi:type="dcterms:W3CDTF">2020-05-28T11:08:00Z</dcterms:created>
  <dcterms:modified xsi:type="dcterms:W3CDTF">2020-05-28T11:09:00Z</dcterms:modified>
</cp:coreProperties>
</file>