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97113" w14:textId="77777777" w:rsidR="00453632" w:rsidRPr="00B73307" w:rsidRDefault="002851AC" w:rsidP="000C2C49">
      <w:pPr>
        <w:jc w:val="both"/>
        <w:rPr>
          <w:rFonts w:asciiTheme="majorBidi" w:hAnsiTheme="majorBidi" w:cstheme="majorBidi"/>
          <w:b/>
          <w:bCs/>
        </w:rPr>
      </w:pPr>
      <w:r w:rsidRPr="00B73307">
        <w:rPr>
          <w:rFonts w:asciiTheme="majorBidi" w:hAnsiTheme="majorBidi" w:cstheme="majorBidi"/>
          <w:b/>
          <w:bCs/>
        </w:rPr>
        <w:t>Důvodová zpráva</w:t>
      </w:r>
    </w:p>
    <w:p w14:paraId="62A0AF9C" w14:textId="39EDBD55" w:rsidR="000E4EFF" w:rsidRPr="00B73307" w:rsidRDefault="00352BFF" w:rsidP="003D4764">
      <w:pPr>
        <w:jc w:val="both"/>
        <w:rPr>
          <w:rFonts w:asciiTheme="majorBidi" w:hAnsiTheme="majorBidi" w:cstheme="majorBidi"/>
        </w:rPr>
      </w:pPr>
      <w:r w:rsidRPr="00B73307">
        <w:rPr>
          <w:rFonts w:asciiTheme="majorBidi" w:hAnsiTheme="majorBidi" w:cstheme="majorBidi"/>
        </w:rPr>
        <w:t>Zastupitelstvu</w:t>
      </w:r>
      <w:r w:rsidR="000E4EFF" w:rsidRPr="00B73307">
        <w:rPr>
          <w:rFonts w:asciiTheme="majorBidi" w:hAnsiTheme="majorBidi" w:cstheme="majorBidi"/>
        </w:rPr>
        <w:t xml:space="preserve"> města je </w:t>
      </w:r>
      <w:r w:rsidR="00B73307">
        <w:rPr>
          <w:rFonts w:asciiTheme="majorBidi" w:hAnsiTheme="majorBidi" w:cstheme="majorBidi"/>
        </w:rPr>
        <w:t xml:space="preserve">v souladu s metodikou MMR (Ministerstvo pro místní rozvoj ČR) </w:t>
      </w:r>
      <w:r w:rsidR="000E4EFF" w:rsidRPr="00B73307">
        <w:rPr>
          <w:rFonts w:asciiTheme="majorBidi" w:hAnsiTheme="majorBidi" w:cstheme="majorBidi"/>
        </w:rPr>
        <w:t xml:space="preserve">předkládána </w:t>
      </w:r>
      <w:r w:rsidR="00B73307" w:rsidRPr="00B73307">
        <w:rPr>
          <w:rFonts w:asciiTheme="majorBidi" w:hAnsiTheme="majorBidi" w:cstheme="majorBidi"/>
        </w:rPr>
        <w:t xml:space="preserve">na vědomí </w:t>
      </w:r>
      <w:r w:rsidR="003D4764" w:rsidRPr="00B73307">
        <w:rPr>
          <w:rFonts w:asciiTheme="majorBidi" w:hAnsiTheme="majorBidi" w:cstheme="majorBidi"/>
        </w:rPr>
        <w:t>Ex</w:t>
      </w:r>
      <w:r w:rsidR="00DB7AFA" w:rsidRPr="00B73307">
        <w:rPr>
          <w:rFonts w:asciiTheme="majorBidi" w:hAnsiTheme="majorBidi" w:cstheme="majorBidi"/>
        </w:rPr>
        <w:t>-</w:t>
      </w:r>
      <w:r w:rsidR="003D4764" w:rsidRPr="00B73307">
        <w:rPr>
          <w:rFonts w:asciiTheme="majorBidi" w:hAnsiTheme="majorBidi" w:cstheme="majorBidi"/>
        </w:rPr>
        <w:t xml:space="preserve">post evaluace </w:t>
      </w:r>
      <w:r w:rsidR="001F554A" w:rsidRPr="00B73307">
        <w:rPr>
          <w:rFonts w:asciiTheme="majorBidi" w:hAnsiTheme="majorBidi" w:cstheme="majorBidi"/>
        </w:rPr>
        <w:t xml:space="preserve">realizace </w:t>
      </w:r>
      <w:r w:rsidR="003D4764" w:rsidRPr="00B73307">
        <w:rPr>
          <w:rFonts w:asciiTheme="majorBidi" w:hAnsiTheme="majorBidi" w:cstheme="majorBidi"/>
        </w:rPr>
        <w:t>strategie Integrovaného plánu rozvoje území České Budějovice (dál</w:t>
      </w:r>
      <w:r w:rsidR="00B73307">
        <w:rPr>
          <w:rFonts w:asciiTheme="majorBidi" w:hAnsiTheme="majorBidi" w:cstheme="majorBidi"/>
        </w:rPr>
        <w:t>e jen IPRM</w:t>
      </w:r>
      <w:r w:rsidR="003D4764" w:rsidRPr="00B73307">
        <w:rPr>
          <w:rFonts w:asciiTheme="majorBidi" w:hAnsiTheme="majorBidi" w:cstheme="majorBidi"/>
        </w:rPr>
        <w:t>)</w:t>
      </w:r>
      <w:r w:rsidR="00B73307">
        <w:rPr>
          <w:rFonts w:asciiTheme="majorBidi" w:hAnsiTheme="majorBidi" w:cstheme="majorBidi"/>
        </w:rPr>
        <w:t xml:space="preserve"> –</w:t>
      </w:r>
      <w:r w:rsidR="003042AB">
        <w:rPr>
          <w:rFonts w:asciiTheme="majorBidi" w:hAnsiTheme="majorBidi" w:cstheme="majorBidi"/>
        </w:rPr>
        <w:t xml:space="preserve"> viz</w:t>
      </w:r>
      <w:r w:rsidR="00B73307">
        <w:rPr>
          <w:rFonts w:asciiTheme="majorBidi" w:hAnsiTheme="majorBidi" w:cstheme="majorBidi"/>
        </w:rPr>
        <w:t xml:space="preserve"> Příloha č. 1</w:t>
      </w:r>
      <w:r w:rsidR="00DB7AFA" w:rsidRPr="00B73307">
        <w:rPr>
          <w:rFonts w:asciiTheme="majorBidi" w:hAnsiTheme="majorBidi" w:cstheme="majorBidi"/>
        </w:rPr>
        <w:t>.</w:t>
      </w:r>
      <w:r w:rsidR="003D4764" w:rsidRPr="00B73307">
        <w:rPr>
          <w:rFonts w:asciiTheme="majorBidi" w:hAnsiTheme="majorBidi" w:cstheme="majorBidi"/>
        </w:rPr>
        <w:t xml:space="preserve"> </w:t>
      </w:r>
      <w:r w:rsidR="00B73307">
        <w:rPr>
          <w:rFonts w:asciiTheme="majorBidi" w:hAnsiTheme="majorBidi" w:cstheme="majorBidi"/>
        </w:rPr>
        <w:t>Zpracovatelem d</w:t>
      </w:r>
      <w:r w:rsidR="00DB7AFA" w:rsidRPr="00B73307">
        <w:rPr>
          <w:rFonts w:asciiTheme="majorBidi" w:hAnsiTheme="majorBidi" w:cstheme="majorBidi"/>
        </w:rPr>
        <w:t>okument</w:t>
      </w:r>
      <w:r w:rsidR="00B73307">
        <w:rPr>
          <w:rFonts w:asciiTheme="majorBidi" w:hAnsiTheme="majorBidi" w:cstheme="majorBidi"/>
        </w:rPr>
        <w:t xml:space="preserve">u je </w:t>
      </w:r>
      <w:r w:rsidR="00DB7AFA" w:rsidRPr="00B73307">
        <w:rPr>
          <w:rFonts w:asciiTheme="majorBidi" w:hAnsiTheme="majorBidi" w:cstheme="majorBidi"/>
        </w:rPr>
        <w:t>firma KP projekt s.r.o. Ex-post evaluace byla na M</w:t>
      </w:r>
      <w:r w:rsidR="00B73307">
        <w:rPr>
          <w:rFonts w:asciiTheme="majorBidi" w:hAnsiTheme="majorBidi" w:cstheme="majorBidi"/>
        </w:rPr>
        <w:t>MR</w:t>
      </w:r>
      <w:r w:rsidR="00DB7AFA" w:rsidRPr="00B73307">
        <w:rPr>
          <w:rFonts w:asciiTheme="majorBidi" w:hAnsiTheme="majorBidi" w:cstheme="majorBidi"/>
        </w:rPr>
        <w:t xml:space="preserve"> </w:t>
      </w:r>
      <w:r w:rsidR="00B73307" w:rsidRPr="00B73307">
        <w:rPr>
          <w:rFonts w:asciiTheme="majorBidi" w:hAnsiTheme="majorBidi" w:cstheme="majorBidi"/>
        </w:rPr>
        <w:t>předložena</w:t>
      </w:r>
      <w:r w:rsidR="00B73307" w:rsidRPr="00B73307">
        <w:rPr>
          <w:rFonts w:asciiTheme="majorBidi" w:hAnsiTheme="majorBidi" w:cstheme="majorBidi"/>
        </w:rPr>
        <w:t xml:space="preserve"> </w:t>
      </w:r>
      <w:r w:rsidR="00B73307" w:rsidRPr="00B73307">
        <w:rPr>
          <w:rFonts w:asciiTheme="majorBidi" w:hAnsiTheme="majorBidi" w:cstheme="majorBidi"/>
        </w:rPr>
        <w:t xml:space="preserve">k hodnocení </w:t>
      </w:r>
      <w:r w:rsidR="00DB7AFA" w:rsidRPr="00B73307">
        <w:rPr>
          <w:rFonts w:asciiTheme="majorBidi" w:hAnsiTheme="majorBidi" w:cstheme="majorBidi"/>
        </w:rPr>
        <w:t>v termínu do 30. 9. 2025</w:t>
      </w:r>
      <w:r w:rsidR="00B73307">
        <w:rPr>
          <w:rFonts w:asciiTheme="majorBidi" w:hAnsiTheme="majorBidi" w:cstheme="majorBidi"/>
        </w:rPr>
        <w:t xml:space="preserve">, přičemž hodnocení ze strany MMR bylo </w:t>
      </w:r>
      <w:r w:rsidR="00DB7AFA" w:rsidRPr="00B73307">
        <w:rPr>
          <w:rFonts w:asciiTheme="majorBidi" w:hAnsiTheme="majorBidi" w:cstheme="majorBidi"/>
        </w:rPr>
        <w:t>ukončeno v</w:t>
      </w:r>
      <w:r w:rsidRPr="00B73307">
        <w:rPr>
          <w:rFonts w:asciiTheme="majorBidi" w:hAnsiTheme="majorBidi" w:cstheme="majorBidi"/>
        </w:rPr>
        <w:t> </w:t>
      </w:r>
      <w:r w:rsidR="00DB7AFA" w:rsidRPr="00B73307">
        <w:rPr>
          <w:rFonts w:asciiTheme="majorBidi" w:hAnsiTheme="majorBidi" w:cstheme="majorBidi"/>
        </w:rPr>
        <w:t>březnu</w:t>
      </w:r>
      <w:r w:rsidRPr="00B73307">
        <w:rPr>
          <w:rFonts w:asciiTheme="majorBidi" w:hAnsiTheme="majorBidi" w:cstheme="majorBidi"/>
        </w:rPr>
        <w:t> </w:t>
      </w:r>
      <w:r w:rsidR="00DB7AFA" w:rsidRPr="00B73307">
        <w:rPr>
          <w:rFonts w:asciiTheme="majorBidi" w:hAnsiTheme="majorBidi" w:cstheme="majorBidi"/>
        </w:rPr>
        <w:t>2026.</w:t>
      </w:r>
      <w:r w:rsidR="00382CC4" w:rsidRPr="00B73307">
        <w:rPr>
          <w:rFonts w:asciiTheme="majorBidi" w:hAnsiTheme="majorBidi" w:cstheme="majorBidi"/>
        </w:rPr>
        <w:t xml:space="preserve"> </w:t>
      </w:r>
      <w:r w:rsidRPr="00B73307">
        <w:rPr>
          <w:rFonts w:asciiTheme="majorBidi" w:hAnsiTheme="majorBidi" w:cstheme="majorBidi"/>
        </w:rPr>
        <w:t xml:space="preserve">Ex-post evaluaci vzala na vědomí rada města na jednání dne 27. 4. 2026. </w:t>
      </w:r>
    </w:p>
    <w:p w14:paraId="2BE27F0A" w14:textId="758A00A2" w:rsidR="003D4764" w:rsidRPr="00B73307" w:rsidRDefault="00B73307" w:rsidP="00564412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Cílem evaluace je</w:t>
      </w:r>
      <w:r w:rsidR="003D4764" w:rsidRPr="00B73307">
        <w:rPr>
          <w:rFonts w:asciiTheme="majorBidi" w:hAnsiTheme="majorBidi" w:cstheme="majorBidi"/>
        </w:rPr>
        <w:t xml:space="preserve"> zpětně </w:t>
      </w:r>
      <w:r w:rsidR="00564412">
        <w:rPr>
          <w:rFonts w:asciiTheme="majorBidi" w:hAnsiTheme="majorBidi" w:cstheme="majorBidi"/>
        </w:rPr>
        <w:t xml:space="preserve">komplexně </w:t>
      </w:r>
      <w:r w:rsidR="003D4764" w:rsidRPr="00B73307">
        <w:rPr>
          <w:rFonts w:asciiTheme="majorBidi" w:hAnsiTheme="majorBidi" w:cstheme="majorBidi"/>
        </w:rPr>
        <w:t xml:space="preserve">zhodnotit účinnost, efektivitu a přiměřenost </w:t>
      </w:r>
      <w:r w:rsidR="00564412">
        <w:rPr>
          <w:rFonts w:asciiTheme="majorBidi" w:hAnsiTheme="majorBidi" w:cstheme="majorBidi"/>
        </w:rPr>
        <w:t xml:space="preserve">realizace </w:t>
      </w:r>
      <w:r w:rsidR="003D4764" w:rsidRPr="00B73307">
        <w:rPr>
          <w:rFonts w:asciiTheme="majorBidi" w:hAnsiTheme="majorBidi" w:cstheme="majorBidi"/>
        </w:rPr>
        <w:t xml:space="preserve">celé strategie IPRÚ v průběhu její realizace v programovém období 2014-2020. </w:t>
      </w:r>
      <w:r>
        <w:rPr>
          <w:rFonts w:asciiTheme="majorBidi" w:hAnsiTheme="majorBidi" w:cstheme="majorBidi"/>
        </w:rPr>
        <w:t>Z</w:t>
      </w:r>
      <w:r w:rsidR="003D4764" w:rsidRPr="00B73307">
        <w:rPr>
          <w:rFonts w:asciiTheme="majorBidi" w:hAnsiTheme="majorBidi" w:cstheme="majorBidi"/>
        </w:rPr>
        <w:t xml:space="preserve">aměřuje </w:t>
      </w:r>
      <w:r>
        <w:rPr>
          <w:rFonts w:asciiTheme="majorBidi" w:hAnsiTheme="majorBidi" w:cstheme="majorBidi"/>
        </w:rPr>
        <w:t xml:space="preserve">se </w:t>
      </w:r>
      <w:r w:rsidR="003D4764" w:rsidRPr="00B73307">
        <w:rPr>
          <w:rFonts w:asciiTheme="majorBidi" w:hAnsiTheme="majorBidi" w:cstheme="majorBidi"/>
        </w:rPr>
        <w:t xml:space="preserve">na to, jak byly naplněny </w:t>
      </w:r>
      <w:r>
        <w:rPr>
          <w:rFonts w:asciiTheme="majorBidi" w:hAnsiTheme="majorBidi" w:cstheme="majorBidi"/>
        </w:rPr>
        <w:t xml:space="preserve">stanovené </w:t>
      </w:r>
      <w:r w:rsidR="003D4764" w:rsidRPr="00B73307">
        <w:rPr>
          <w:rFonts w:asciiTheme="majorBidi" w:hAnsiTheme="majorBidi" w:cstheme="majorBidi"/>
        </w:rPr>
        <w:t xml:space="preserve">cíle a opatření strategie, jak byly nastaveny a </w:t>
      </w:r>
      <w:r>
        <w:rPr>
          <w:rFonts w:asciiTheme="majorBidi" w:hAnsiTheme="majorBidi" w:cstheme="majorBidi"/>
        </w:rPr>
        <w:t xml:space="preserve">jak </w:t>
      </w:r>
      <w:r w:rsidR="003D4764" w:rsidRPr="00B73307">
        <w:rPr>
          <w:rFonts w:asciiTheme="majorBidi" w:hAnsiTheme="majorBidi" w:cstheme="majorBidi"/>
        </w:rPr>
        <w:t xml:space="preserve">fungovaly implementační procesy, jaká byla míra zapojení partnerů a veřejnosti a v neposlední řadě </w:t>
      </w:r>
      <w:r>
        <w:rPr>
          <w:rFonts w:asciiTheme="majorBidi" w:hAnsiTheme="majorBidi" w:cstheme="majorBidi"/>
        </w:rPr>
        <w:t xml:space="preserve">byla posuzována </w:t>
      </w:r>
      <w:r w:rsidR="003D4764" w:rsidRPr="00B73307">
        <w:rPr>
          <w:rFonts w:asciiTheme="majorBidi" w:hAnsiTheme="majorBidi" w:cstheme="majorBidi"/>
        </w:rPr>
        <w:t>i efektivit</w:t>
      </w:r>
      <w:r>
        <w:rPr>
          <w:rFonts w:asciiTheme="majorBidi" w:hAnsiTheme="majorBidi" w:cstheme="majorBidi"/>
        </w:rPr>
        <w:t>a</w:t>
      </w:r>
      <w:r w:rsidR="003D4764" w:rsidRPr="00B73307">
        <w:rPr>
          <w:rFonts w:asciiTheme="majorBidi" w:hAnsiTheme="majorBidi" w:cstheme="majorBidi"/>
        </w:rPr>
        <w:t xml:space="preserve"> využití finančních alokací. Hodnocení přináší nejen analytický pohled na realizaci IPRÚ, ale také doporučení pro budoucí strategické plánování a řízení rozvoje území. Evaluace vychází z kombinace kvantitativních i kvalitativních dat, zahrnuje analýzu dostupných dokumentů, výstupů z implementace a názorů klíčových aktérů zapojených do realizace strategie.</w:t>
      </w:r>
      <w:r w:rsidR="00564412" w:rsidRPr="00564412">
        <w:rPr>
          <w:rFonts w:asciiTheme="majorBidi" w:hAnsiTheme="majorBidi" w:cstheme="majorBidi"/>
        </w:rPr>
        <w:t xml:space="preserve"> </w:t>
      </w:r>
    </w:p>
    <w:p w14:paraId="6DF5B372" w14:textId="79879D27" w:rsidR="002851AC" w:rsidRPr="00B73307" w:rsidRDefault="00564412" w:rsidP="000C2C49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</w:t>
      </w:r>
      <w:r w:rsidRPr="00B73307">
        <w:rPr>
          <w:rFonts w:asciiTheme="majorBidi" w:hAnsiTheme="majorBidi" w:cstheme="majorBidi"/>
        </w:rPr>
        <w:t>ositelem</w:t>
      </w:r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ISg</w:t>
      </w:r>
      <w:proofErr w:type="spellEnd"/>
      <w:r w:rsidRPr="00B73307">
        <w:rPr>
          <w:rFonts w:asciiTheme="majorBidi" w:hAnsiTheme="majorBidi" w:cstheme="majorBidi"/>
        </w:rPr>
        <w:t xml:space="preserve"> bylo statutární město České Budějovice v</w:t>
      </w:r>
      <w:r>
        <w:rPr>
          <w:rFonts w:asciiTheme="majorBidi" w:hAnsiTheme="majorBidi" w:cstheme="majorBidi"/>
        </w:rPr>
        <w:t> </w:t>
      </w:r>
      <w:r w:rsidRPr="00B73307">
        <w:rPr>
          <w:rFonts w:asciiTheme="majorBidi" w:hAnsiTheme="majorBidi" w:cstheme="majorBidi"/>
        </w:rPr>
        <w:t>období 2016–2024. Územní vymezení IPRÚ odpovídalo SO ORP České Budějovice</w:t>
      </w:r>
      <w:r>
        <w:rPr>
          <w:rFonts w:asciiTheme="majorBidi" w:hAnsiTheme="majorBidi" w:cstheme="majorBidi"/>
        </w:rPr>
        <w:t xml:space="preserve"> (</w:t>
      </w:r>
      <w:r w:rsidRPr="00B73307">
        <w:rPr>
          <w:rFonts w:asciiTheme="majorBidi" w:hAnsiTheme="majorBidi" w:cstheme="majorBidi"/>
        </w:rPr>
        <w:t>79 obcí, z toho 5 měst a 2 městyse</w:t>
      </w:r>
      <w:r>
        <w:rPr>
          <w:rFonts w:asciiTheme="majorBidi" w:hAnsiTheme="majorBidi" w:cstheme="majorBidi"/>
        </w:rPr>
        <w:t>)</w:t>
      </w:r>
      <w:r w:rsidRPr="00B73307">
        <w:rPr>
          <w:rFonts w:asciiTheme="majorBidi" w:hAnsiTheme="majorBidi" w:cstheme="majorBidi"/>
        </w:rPr>
        <w:t xml:space="preserve">. Ex-post evaluace sleduje období realizace </w:t>
      </w:r>
      <w:proofErr w:type="spellStart"/>
      <w:r w:rsidRPr="00B73307">
        <w:rPr>
          <w:rFonts w:asciiTheme="majorBidi" w:hAnsiTheme="majorBidi" w:cstheme="majorBidi"/>
        </w:rPr>
        <w:t>ISg</w:t>
      </w:r>
      <w:proofErr w:type="spellEnd"/>
      <w:r w:rsidRPr="00B7330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od </w:t>
      </w:r>
      <w:r w:rsidRPr="00B73307">
        <w:rPr>
          <w:rFonts w:asciiTheme="majorBidi" w:hAnsiTheme="majorBidi" w:cstheme="majorBidi"/>
        </w:rPr>
        <w:t>17. 8. 2016</w:t>
      </w:r>
      <w:r>
        <w:rPr>
          <w:rFonts w:asciiTheme="majorBidi" w:hAnsiTheme="majorBidi" w:cstheme="majorBidi"/>
        </w:rPr>
        <w:t xml:space="preserve"> do </w:t>
      </w:r>
      <w:r w:rsidRPr="00B73307">
        <w:rPr>
          <w:rFonts w:asciiTheme="majorBidi" w:hAnsiTheme="majorBidi" w:cstheme="majorBidi"/>
        </w:rPr>
        <w:t>31. 12. 2024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ISg</w:t>
      </w:r>
      <w:proofErr w:type="spellEnd"/>
      <w:r>
        <w:rPr>
          <w:rFonts w:asciiTheme="majorBidi" w:hAnsiTheme="majorBidi" w:cstheme="majorBidi"/>
        </w:rPr>
        <w:t xml:space="preserve"> z</w:t>
      </w:r>
      <w:r w:rsidR="002851AC" w:rsidRPr="00B73307">
        <w:rPr>
          <w:rFonts w:asciiTheme="majorBidi" w:hAnsiTheme="majorBidi" w:cstheme="majorBidi"/>
        </w:rPr>
        <w:t>ahrnovala 3 prioritní oblasti</w:t>
      </w:r>
      <w:r>
        <w:rPr>
          <w:rFonts w:asciiTheme="majorBidi" w:hAnsiTheme="majorBidi" w:cstheme="majorBidi"/>
        </w:rPr>
        <w:t xml:space="preserve">: </w:t>
      </w:r>
      <w:r w:rsidR="002851AC" w:rsidRPr="00B73307">
        <w:rPr>
          <w:rFonts w:asciiTheme="majorBidi" w:hAnsiTheme="majorBidi" w:cstheme="majorBidi"/>
        </w:rPr>
        <w:t>1. Rozvoj dopravy, 2. Rozvoj konkurenceschopnosti a vzdělávání a 3. Environmentální udržitelnost území. Finanční prostředky byly alokovány pouze na první dvě prioritní oblasti, a to z Integrovaného regionálního operačního programu (IROP) a z Operačního programu Doprava (OPD).</w:t>
      </w:r>
    </w:p>
    <w:tbl>
      <w:tblPr>
        <w:tblW w:w="905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5406"/>
        <w:gridCol w:w="3653"/>
      </w:tblGrid>
      <w:tr w:rsidR="002851AC" w:rsidRPr="00564412" w14:paraId="6BCA024D" w14:textId="77777777" w:rsidTr="00960238">
        <w:trPr>
          <w:trHeight w:val="368"/>
          <w:tblHeader/>
          <w:tblCellSpacing w:w="15" w:type="dxa"/>
        </w:trPr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F1FD86" w14:textId="4991FDD8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Finanční rámec </w:t>
            </w:r>
            <w:proofErr w:type="spellStart"/>
            <w:r w:rsidR="002C6E80" w:rsidRPr="0056441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ISg</w:t>
            </w:r>
            <w:proofErr w:type="spellEnd"/>
            <w:r w:rsidRPr="0056441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(položky jeho struktury)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97C0BE" w14:textId="77777777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Výše finančních prostředků (Kč)</w:t>
            </w:r>
          </w:p>
        </w:tc>
      </w:tr>
      <w:tr w:rsidR="002851AC" w:rsidRPr="00564412" w14:paraId="5F24E4F9" w14:textId="77777777" w:rsidTr="00960238">
        <w:trPr>
          <w:trHeight w:val="368"/>
          <w:tblCellSpacing w:w="15" w:type="dxa"/>
        </w:trPr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C7368A" w14:textId="77777777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sz w:val="20"/>
                <w:szCs w:val="20"/>
              </w:rPr>
              <w:t>Celkové způsobilé výdaje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841BA1" w14:textId="77777777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sz w:val="20"/>
                <w:szCs w:val="20"/>
              </w:rPr>
              <w:t>1 825 642 216,00</w:t>
            </w:r>
          </w:p>
        </w:tc>
      </w:tr>
      <w:tr w:rsidR="002851AC" w:rsidRPr="00564412" w14:paraId="106A6511" w14:textId="77777777" w:rsidTr="00960238">
        <w:trPr>
          <w:trHeight w:val="368"/>
          <w:tblCellSpacing w:w="15" w:type="dxa"/>
        </w:trPr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711D78" w14:textId="77777777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sz w:val="20"/>
                <w:szCs w:val="20"/>
              </w:rPr>
              <w:t>Příspěvek Evropské unie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84457A" w14:textId="77777777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sz w:val="20"/>
                <w:szCs w:val="20"/>
              </w:rPr>
              <w:t>1 552 295 880,10</w:t>
            </w:r>
          </w:p>
        </w:tc>
      </w:tr>
      <w:tr w:rsidR="002851AC" w:rsidRPr="00564412" w14:paraId="39D25456" w14:textId="77777777" w:rsidTr="00960238">
        <w:trPr>
          <w:trHeight w:val="368"/>
          <w:tblCellSpacing w:w="15" w:type="dxa"/>
        </w:trPr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B3E782" w14:textId="77777777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sz w:val="20"/>
                <w:szCs w:val="20"/>
              </w:rPr>
              <w:t>Národní veřejné zdroje (státní rozpočet)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C5581D" w14:textId="77777777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sz w:val="20"/>
                <w:szCs w:val="20"/>
              </w:rPr>
              <w:t>44 652 350,00</w:t>
            </w:r>
          </w:p>
        </w:tc>
      </w:tr>
      <w:tr w:rsidR="002851AC" w:rsidRPr="00564412" w14:paraId="3AB8EAEA" w14:textId="77777777" w:rsidTr="00960238">
        <w:trPr>
          <w:trHeight w:val="380"/>
          <w:tblCellSpacing w:w="15" w:type="dxa"/>
        </w:trPr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FA2E33" w14:textId="77777777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sz w:val="20"/>
                <w:szCs w:val="20"/>
              </w:rPr>
              <w:t>Národní veřejné zdroje (obce, jiné veřejné subjekty)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CB34E5" w14:textId="77777777" w:rsidR="002851AC" w:rsidRPr="00564412" w:rsidRDefault="002851AC" w:rsidP="000C2C4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64412">
              <w:rPr>
                <w:rFonts w:asciiTheme="majorBidi" w:hAnsiTheme="majorBidi" w:cstheme="majorBidi"/>
                <w:sz w:val="20"/>
                <w:szCs w:val="20"/>
              </w:rPr>
              <w:t>228 693 985,90</w:t>
            </w:r>
          </w:p>
        </w:tc>
      </w:tr>
    </w:tbl>
    <w:p w14:paraId="281F5CA2" w14:textId="77777777" w:rsidR="00564412" w:rsidRDefault="002851AC" w:rsidP="00564412">
      <w:pPr>
        <w:spacing w:before="120"/>
        <w:jc w:val="both"/>
        <w:rPr>
          <w:rFonts w:asciiTheme="majorBidi" w:hAnsiTheme="majorBidi" w:cstheme="majorBidi"/>
        </w:rPr>
      </w:pPr>
      <w:r w:rsidRPr="00B73307">
        <w:rPr>
          <w:rFonts w:asciiTheme="majorBidi" w:hAnsiTheme="majorBidi" w:cstheme="majorBidi"/>
        </w:rPr>
        <w:t xml:space="preserve">Během realizace </w:t>
      </w:r>
      <w:proofErr w:type="spellStart"/>
      <w:r w:rsidR="002C6E80" w:rsidRPr="00B73307">
        <w:rPr>
          <w:rFonts w:asciiTheme="majorBidi" w:hAnsiTheme="majorBidi" w:cstheme="majorBidi"/>
        </w:rPr>
        <w:t>ISg</w:t>
      </w:r>
      <w:proofErr w:type="spellEnd"/>
      <w:r w:rsidRPr="00B73307">
        <w:rPr>
          <w:rFonts w:asciiTheme="majorBidi" w:hAnsiTheme="majorBidi" w:cstheme="majorBidi"/>
        </w:rPr>
        <w:t xml:space="preserve"> bylo vyhlášeno celkem 41 výzev (30 v prioritní oblasti Doprava, 11 v</w:t>
      </w:r>
      <w:r w:rsidR="00DA7A0F" w:rsidRPr="00B73307">
        <w:rPr>
          <w:rFonts w:asciiTheme="majorBidi" w:hAnsiTheme="majorBidi" w:cstheme="majorBidi"/>
        </w:rPr>
        <w:t> </w:t>
      </w:r>
      <w:r w:rsidRPr="00B73307">
        <w:rPr>
          <w:rFonts w:asciiTheme="majorBidi" w:hAnsiTheme="majorBidi" w:cstheme="majorBidi"/>
        </w:rPr>
        <w:t>prioritní oblasti Vzdělávání a konkurenceschopnost)</w:t>
      </w:r>
      <w:r w:rsidR="00564412">
        <w:rPr>
          <w:rFonts w:asciiTheme="majorBidi" w:hAnsiTheme="majorBidi" w:cstheme="majorBidi"/>
        </w:rPr>
        <w:t>, s</w:t>
      </w:r>
      <w:r w:rsidRPr="00B73307">
        <w:rPr>
          <w:rFonts w:asciiTheme="majorBidi" w:hAnsiTheme="majorBidi" w:cstheme="majorBidi"/>
        </w:rPr>
        <w:t>chváleno celkem 77 projektových záměrů (42 v oblasti Doprava a 35 v oblasti Vzdělávání a</w:t>
      </w:r>
      <w:r w:rsidR="00DA7A0F" w:rsidRPr="00B73307">
        <w:rPr>
          <w:rFonts w:asciiTheme="majorBidi" w:hAnsiTheme="majorBidi" w:cstheme="majorBidi"/>
        </w:rPr>
        <w:t> </w:t>
      </w:r>
      <w:r w:rsidRPr="00B73307">
        <w:rPr>
          <w:rFonts w:asciiTheme="majorBidi" w:hAnsiTheme="majorBidi" w:cstheme="majorBidi"/>
        </w:rPr>
        <w:t xml:space="preserve">konkurenceschopnost). </w:t>
      </w:r>
    </w:p>
    <w:p w14:paraId="6318F5E9" w14:textId="4185D36D" w:rsidR="002851AC" w:rsidRPr="00B73307" w:rsidRDefault="002851AC" w:rsidP="00564412">
      <w:pPr>
        <w:spacing w:before="120"/>
        <w:jc w:val="both"/>
        <w:rPr>
          <w:rFonts w:asciiTheme="majorBidi" w:hAnsiTheme="majorBidi" w:cstheme="majorBidi"/>
        </w:rPr>
      </w:pPr>
      <w:r w:rsidRPr="00B73307">
        <w:rPr>
          <w:rFonts w:asciiTheme="majorBidi" w:hAnsiTheme="majorBidi" w:cstheme="majorBidi"/>
        </w:rPr>
        <w:t>Součástí ex-post evaluace bylo rovněž zpracování případových studií</w:t>
      </w:r>
      <w:r w:rsidR="00564412">
        <w:rPr>
          <w:rFonts w:asciiTheme="majorBidi" w:hAnsiTheme="majorBidi" w:cstheme="majorBidi"/>
        </w:rPr>
        <w:t xml:space="preserve"> (Příloha č. 2)</w:t>
      </w:r>
      <w:r w:rsidRPr="00B73307">
        <w:rPr>
          <w:rFonts w:asciiTheme="majorBidi" w:hAnsiTheme="majorBidi" w:cstheme="majorBidi"/>
        </w:rPr>
        <w:t xml:space="preserve">, které dokumentovaly vybrané konkrétní projekty realizované v rámci </w:t>
      </w:r>
      <w:proofErr w:type="spellStart"/>
      <w:r w:rsidR="002C6E80" w:rsidRPr="00B73307">
        <w:rPr>
          <w:rFonts w:asciiTheme="majorBidi" w:hAnsiTheme="majorBidi" w:cstheme="majorBidi"/>
        </w:rPr>
        <w:t>ISg</w:t>
      </w:r>
      <w:proofErr w:type="spellEnd"/>
      <w:r w:rsidRPr="00B73307">
        <w:rPr>
          <w:rFonts w:asciiTheme="majorBidi" w:hAnsiTheme="majorBidi" w:cstheme="majorBidi"/>
        </w:rPr>
        <w:t>. Případové studie umožnily na praktických příkladech doložit přínosy integrované strategie a ukázat, jak realizované intervence ovlivnily kvalitu života obyvatel a rozvoj území v oblastech dopravy a vzdělávání.</w:t>
      </w:r>
    </w:p>
    <w:p w14:paraId="4F9EE2DB" w14:textId="754D074F" w:rsidR="002851AC" w:rsidRPr="00B73307" w:rsidRDefault="002851AC" w:rsidP="000C2C49">
      <w:pPr>
        <w:jc w:val="both"/>
        <w:rPr>
          <w:rFonts w:asciiTheme="majorBidi" w:hAnsiTheme="majorBidi" w:cstheme="majorBidi"/>
        </w:rPr>
      </w:pPr>
      <w:r w:rsidRPr="00B73307">
        <w:rPr>
          <w:rFonts w:asciiTheme="majorBidi" w:hAnsiTheme="majorBidi" w:cstheme="majorBidi"/>
        </w:rPr>
        <w:t xml:space="preserve">Z pohledu relevance a implementační úspěšnosti lze konstatovat, že strategické a specifické cíle </w:t>
      </w:r>
      <w:proofErr w:type="spellStart"/>
      <w:r w:rsidR="002C6E80" w:rsidRPr="00B73307">
        <w:rPr>
          <w:rFonts w:asciiTheme="majorBidi" w:hAnsiTheme="majorBidi" w:cstheme="majorBidi"/>
        </w:rPr>
        <w:t>ISg</w:t>
      </w:r>
      <w:proofErr w:type="spellEnd"/>
      <w:r w:rsidRPr="00B73307">
        <w:rPr>
          <w:rFonts w:asciiTheme="majorBidi" w:hAnsiTheme="majorBidi" w:cstheme="majorBidi"/>
        </w:rPr>
        <w:t xml:space="preserve"> byly ve své podstatě správně nastaveny a reagovaly na identifikované problémy a potřeby území. Realizace byla velmi úspěšná v obou hlavních oblastech (doprava a vzdělávání), projekty</w:t>
      </w:r>
      <w:r w:rsidR="003042AB">
        <w:rPr>
          <w:rFonts w:asciiTheme="majorBidi" w:hAnsiTheme="majorBidi" w:cstheme="majorBidi"/>
        </w:rPr>
        <w:t xml:space="preserve"> byly</w:t>
      </w:r>
      <w:r w:rsidRPr="00B73307">
        <w:rPr>
          <w:rFonts w:asciiTheme="majorBidi" w:hAnsiTheme="majorBidi" w:cstheme="majorBidi"/>
        </w:rPr>
        <w:t xml:space="preserve"> nejen dokončeny ve vysokém počtu, ale také kvalitativně odpovídaly strategickým prioritám a územní poptávce.</w:t>
      </w:r>
    </w:p>
    <w:p w14:paraId="1D71C507" w14:textId="271E6919" w:rsidR="002851AC" w:rsidRPr="00B73307" w:rsidRDefault="002851AC" w:rsidP="000C2C49">
      <w:pPr>
        <w:jc w:val="both"/>
        <w:rPr>
          <w:rFonts w:asciiTheme="majorBidi" w:hAnsiTheme="majorBidi" w:cstheme="majorBidi"/>
        </w:rPr>
      </w:pPr>
      <w:r w:rsidRPr="00B73307">
        <w:rPr>
          <w:rFonts w:asciiTheme="majorBidi" w:hAnsiTheme="majorBidi" w:cstheme="majorBidi"/>
        </w:rPr>
        <w:t xml:space="preserve">S více než </w:t>
      </w:r>
      <w:proofErr w:type="gramStart"/>
      <w:r w:rsidRPr="00B73307">
        <w:rPr>
          <w:rFonts w:asciiTheme="majorBidi" w:hAnsiTheme="majorBidi" w:cstheme="majorBidi"/>
        </w:rPr>
        <w:t>93%</w:t>
      </w:r>
      <w:proofErr w:type="gramEnd"/>
      <w:r w:rsidRPr="00B73307">
        <w:rPr>
          <w:rFonts w:asciiTheme="majorBidi" w:hAnsiTheme="majorBidi" w:cstheme="majorBidi"/>
        </w:rPr>
        <w:t xml:space="preserve"> mírou plnění finančního </w:t>
      </w:r>
      <w:r w:rsidRPr="003042AB">
        <w:rPr>
          <w:rFonts w:asciiTheme="majorBidi" w:hAnsiTheme="majorBidi" w:cstheme="majorBidi"/>
        </w:rPr>
        <w:t xml:space="preserve">plánu </w:t>
      </w:r>
      <w:proofErr w:type="spellStart"/>
      <w:r w:rsidR="002C6E80" w:rsidRPr="003042AB">
        <w:rPr>
          <w:rFonts w:asciiTheme="majorBidi" w:hAnsiTheme="majorBidi" w:cstheme="majorBidi"/>
        </w:rPr>
        <w:t>ISg</w:t>
      </w:r>
      <w:proofErr w:type="spellEnd"/>
      <w:r w:rsidRPr="003042AB">
        <w:rPr>
          <w:rFonts w:asciiTheme="majorBidi" w:hAnsiTheme="majorBidi" w:cstheme="majorBidi"/>
        </w:rPr>
        <w:t xml:space="preserve"> lze hodnotit efektivitu využití alokovaných finančních prostředků jako</w:t>
      </w:r>
      <w:r w:rsidR="00FA40A8" w:rsidRPr="003042AB">
        <w:rPr>
          <w:rFonts w:asciiTheme="majorBidi" w:hAnsiTheme="majorBidi" w:cstheme="majorBidi"/>
        </w:rPr>
        <w:t xml:space="preserve"> výbornou</w:t>
      </w:r>
      <w:r w:rsidRPr="003042AB">
        <w:rPr>
          <w:rFonts w:asciiTheme="majorBidi" w:hAnsiTheme="majorBidi" w:cstheme="majorBidi"/>
        </w:rPr>
        <w:t xml:space="preserve">. Během realizace </w:t>
      </w:r>
      <w:proofErr w:type="spellStart"/>
      <w:r w:rsidR="002C6E80" w:rsidRPr="003042AB">
        <w:rPr>
          <w:rFonts w:asciiTheme="majorBidi" w:hAnsiTheme="majorBidi" w:cstheme="majorBidi"/>
        </w:rPr>
        <w:t>ISg</w:t>
      </w:r>
      <w:proofErr w:type="spellEnd"/>
      <w:r w:rsidRPr="003042AB">
        <w:rPr>
          <w:rFonts w:asciiTheme="majorBidi" w:hAnsiTheme="majorBidi" w:cstheme="majorBidi"/>
        </w:rPr>
        <w:t xml:space="preserve"> bylo uskutečněno několik přesunů a změn alokací mezi roky a zdroji financování. Tento přístup umožnil</w:t>
      </w:r>
      <w:r w:rsidRPr="00B73307">
        <w:rPr>
          <w:rFonts w:asciiTheme="majorBidi" w:hAnsiTheme="majorBidi" w:cstheme="majorBidi"/>
        </w:rPr>
        <w:t xml:space="preserve"> efektivnější využití zdrojů a minimalizoval riziko nevyčerpání alokovaných prostředků. Z hlediska plnění hodnot indikátorů </w:t>
      </w:r>
      <w:proofErr w:type="spellStart"/>
      <w:r w:rsidR="002C6E80" w:rsidRPr="00B73307">
        <w:rPr>
          <w:rFonts w:asciiTheme="majorBidi" w:hAnsiTheme="majorBidi" w:cstheme="majorBidi"/>
        </w:rPr>
        <w:t>ISg</w:t>
      </w:r>
      <w:proofErr w:type="spellEnd"/>
      <w:r w:rsidRPr="00B73307">
        <w:rPr>
          <w:rFonts w:asciiTheme="majorBidi" w:hAnsiTheme="majorBidi" w:cstheme="majorBidi"/>
        </w:rPr>
        <w:t xml:space="preserve"> lze realizaci hodnotit jako velmi úspěšnou (indikátory byly naplněny, v některých případech přeplněny).</w:t>
      </w:r>
    </w:p>
    <w:p w14:paraId="30A04C60" w14:textId="77777777" w:rsidR="002851AC" w:rsidRPr="00B73307" w:rsidRDefault="002851AC" w:rsidP="000C2C49">
      <w:pPr>
        <w:jc w:val="both"/>
        <w:rPr>
          <w:rFonts w:asciiTheme="majorBidi" w:hAnsiTheme="majorBidi" w:cstheme="majorBidi"/>
        </w:rPr>
      </w:pPr>
      <w:r w:rsidRPr="00B73307">
        <w:rPr>
          <w:rFonts w:asciiTheme="majorBidi" w:hAnsiTheme="majorBidi" w:cstheme="majorBidi"/>
        </w:rPr>
        <w:t xml:space="preserve">Implementační strukturu lze v hodnoceném období hodnotit jako stabilní a funkční. Kontinuita byla zajištěna především díky působení stejné osoby na pozici manažera IPRÚ, což minimalizovalo negativní dopady personálních změn spojených s politickým cyklem. Řídicí výbor plnil svou roli při schvalování projektových záměrů a dohledu nad realizací strategie. Do budoucna lze doporučit rozšíření jeho složení o environmentální aspekt a zastoupení neziskového sektoru. Komunikační strategie nositele byla v zásadě funkční, nicméně její efektivita se ukázala jako slabší ve vztahu k širší veřejnosti. </w:t>
      </w:r>
    </w:p>
    <w:p w14:paraId="109EC682" w14:textId="1646119E" w:rsidR="002851AC" w:rsidRPr="00B73307" w:rsidRDefault="002851AC" w:rsidP="000C2C49">
      <w:pPr>
        <w:jc w:val="both"/>
        <w:rPr>
          <w:rFonts w:asciiTheme="majorBidi" w:hAnsiTheme="majorBidi" w:cstheme="majorBidi"/>
        </w:rPr>
      </w:pPr>
      <w:r w:rsidRPr="00B73307">
        <w:rPr>
          <w:rFonts w:asciiTheme="majorBidi" w:hAnsiTheme="majorBidi" w:cstheme="majorBidi"/>
        </w:rPr>
        <w:t xml:space="preserve">Výsledky evaluace ukazují na potřebu </w:t>
      </w:r>
      <w:r w:rsidR="003042AB">
        <w:rPr>
          <w:rFonts w:asciiTheme="majorBidi" w:hAnsiTheme="majorBidi" w:cstheme="majorBidi"/>
        </w:rPr>
        <w:t xml:space="preserve">ještě více </w:t>
      </w:r>
      <w:r w:rsidRPr="00B73307">
        <w:rPr>
          <w:rFonts w:asciiTheme="majorBidi" w:hAnsiTheme="majorBidi" w:cstheme="majorBidi"/>
        </w:rPr>
        <w:t xml:space="preserve">posílit integrovaný a participativní přístup v budoucím období, a to zejména prostřednictvím včasného zapojení neziskového sektoru, environmentálních expertů a občanské společnosti do přípravy i hodnocení strategií. Rozvoj nástrojů práce s širokou i odbornou veřejností, jako jsou veřejné konzultace, tematická fóra či participativní workshopy, může přispět ke zvýšení kvality strategického rozhodování i jeho legitimity. Doporučit lze i zlepšení strategické komunikace, a to zavedením systematického monitoringu účinnosti komunikačních nástrojů a důrazem na medializaci přínosů </w:t>
      </w:r>
      <w:proofErr w:type="spellStart"/>
      <w:r w:rsidR="002C6E80" w:rsidRPr="00B73307">
        <w:rPr>
          <w:rFonts w:asciiTheme="majorBidi" w:hAnsiTheme="majorBidi" w:cstheme="majorBidi"/>
        </w:rPr>
        <w:t>ISg</w:t>
      </w:r>
      <w:proofErr w:type="spellEnd"/>
      <w:r w:rsidRPr="00B73307">
        <w:rPr>
          <w:rFonts w:asciiTheme="majorBidi" w:hAnsiTheme="majorBidi" w:cstheme="majorBidi"/>
        </w:rPr>
        <w:t xml:space="preserve"> formou případových studií, vizualizací či interaktivních formátů.</w:t>
      </w:r>
    </w:p>
    <w:p w14:paraId="36323594" w14:textId="1A74033F" w:rsidR="002851AC" w:rsidRPr="00B73307" w:rsidRDefault="003042AB" w:rsidP="000C2C49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Hodnotitelem je d</w:t>
      </w:r>
      <w:r w:rsidR="002851AC" w:rsidRPr="00B73307">
        <w:rPr>
          <w:rFonts w:asciiTheme="majorBidi" w:hAnsiTheme="majorBidi" w:cstheme="majorBidi"/>
        </w:rPr>
        <w:t>ále doporučeno optimalizovat proces přípravy a výběru projektů</w:t>
      </w:r>
      <w:r w:rsidR="00FA40A8" w:rsidRPr="00B73307">
        <w:rPr>
          <w:rFonts w:asciiTheme="majorBidi" w:hAnsiTheme="majorBidi" w:cstheme="majorBidi"/>
        </w:rPr>
        <w:t xml:space="preserve">. </w:t>
      </w:r>
      <w:r w:rsidR="002851AC" w:rsidRPr="00B73307">
        <w:rPr>
          <w:rFonts w:asciiTheme="majorBidi" w:hAnsiTheme="majorBidi" w:cstheme="majorBidi"/>
        </w:rPr>
        <w:t>Budoucí strategie by měla usilovat o větší provázání s inovační a výzkumnou sférou.</w:t>
      </w:r>
    </w:p>
    <w:p w14:paraId="3F3E4C20" w14:textId="75CB8380" w:rsidR="002851AC" w:rsidRPr="00B73307" w:rsidRDefault="002851AC" w:rsidP="000C2C49">
      <w:pPr>
        <w:jc w:val="both"/>
        <w:rPr>
          <w:rFonts w:asciiTheme="majorBidi" w:hAnsiTheme="majorBidi" w:cstheme="majorBidi"/>
        </w:rPr>
      </w:pPr>
      <w:r w:rsidRPr="00B73307">
        <w:rPr>
          <w:rFonts w:asciiTheme="majorBidi" w:hAnsiTheme="majorBidi" w:cstheme="majorBidi"/>
        </w:rPr>
        <w:t xml:space="preserve">Z hlediska finančního řízení se doporučuje nadále udržet flexibilní přístup k přesunům alokací v rámci </w:t>
      </w:r>
      <w:proofErr w:type="spellStart"/>
      <w:r w:rsidR="002C6E80" w:rsidRPr="00B73307">
        <w:rPr>
          <w:rFonts w:asciiTheme="majorBidi" w:hAnsiTheme="majorBidi" w:cstheme="majorBidi"/>
        </w:rPr>
        <w:t>ISg</w:t>
      </w:r>
      <w:proofErr w:type="spellEnd"/>
      <w:r w:rsidRPr="00B73307">
        <w:rPr>
          <w:rFonts w:asciiTheme="majorBidi" w:hAnsiTheme="majorBidi" w:cstheme="majorBidi"/>
        </w:rPr>
        <w:t xml:space="preserve">. Současně je potřeba usilovat o realističtější nastavení indikátorů a důslednější zohlednění technických a legislativních limitů již při přípravě dílčích výzev. Systém hodnocení dopadů </w:t>
      </w:r>
      <w:proofErr w:type="spellStart"/>
      <w:r w:rsidR="002C6E80" w:rsidRPr="00B73307">
        <w:rPr>
          <w:rFonts w:asciiTheme="majorBidi" w:hAnsiTheme="majorBidi" w:cstheme="majorBidi"/>
        </w:rPr>
        <w:t>ISg</w:t>
      </w:r>
      <w:proofErr w:type="spellEnd"/>
      <w:r w:rsidRPr="00B73307">
        <w:rPr>
          <w:rFonts w:asciiTheme="majorBidi" w:hAnsiTheme="majorBidi" w:cstheme="majorBidi"/>
        </w:rPr>
        <w:t xml:space="preserve"> by měl být méně administrativně zatěžující a více zaměřený na odborné a účinné metody měření, které umožní zachytit jak kvantitativní, tak kvalitativní přínosy realizovaných projektů.</w:t>
      </w:r>
    </w:p>
    <w:p w14:paraId="3E83ACDC" w14:textId="5A32B7C5" w:rsidR="002851AC" w:rsidRPr="00B73307" w:rsidRDefault="002851AC" w:rsidP="000C2C49">
      <w:pPr>
        <w:jc w:val="both"/>
        <w:rPr>
          <w:rFonts w:asciiTheme="majorBidi" w:hAnsiTheme="majorBidi" w:cstheme="majorBidi"/>
        </w:rPr>
      </w:pPr>
      <w:r w:rsidRPr="00B73307">
        <w:rPr>
          <w:rFonts w:asciiTheme="majorBidi" w:hAnsiTheme="majorBidi" w:cstheme="majorBidi"/>
        </w:rPr>
        <w:t>Celkově lze uzavřít, že implementace IPRÚ České Budějovice v období 2016–2024 byla funkční a efektivní, s jasně prokazatelnými pozitivními dopady na rozvoj území.</w:t>
      </w:r>
    </w:p>
    <w:sectPr w:rsidR="002851AC" w:rsidRPr="00B73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1AC"/>
    <w:rsid w:val="000C2C49"/>
    <w:rsid w:val="000E4EFF"/>
    <w:rsid w:val="001F554A"/>
    <w:rsid w:val="002851AC"/>
    <w:rsid w:val="002C6E80"/>
    <w:rsid w:val="003042AB"/>
    <w:rsid w:val="00352BFF"/>
    <w:rsid w:val="00382CC4"/>
    <w:rsid w:val="003D4764"/>
    <w:rsid w:val="00453632"/>
    <w:rsid w:val="004E37A7"/>
    <w:rsid w:val="00503D86"/>
    <w:rsid w:val="00564412"/>
    <w:rsid w:val="00667A19"/>
    <w:rsid w:val="007F3B67"/>
    <w:rsid w:val="0084316C"/>
    <w:rsid w:val="008814B7"/>
    <w:rsid w:val="008B02E0"/>
    <w:rsid w:val="008E5D0E"/>
    <w:rsid w:val="00960238"/>
    <w:rsid w:val="00B73307"/>
    <w:rsid w:val="00BD7FC4"/>
    <w:rsid w:val="00BE642F"/>
    <w:rsid w:val="00DA7A0F"/>
    <w:rsid w:val="00DB7AFA"/>
    <w:rsid w:val="00DF581F"/>
    <w:rsid w:val="00FA40A8"/>
    <w:rsid w:val="00FD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87CA4"/>
  <w15:chartTrackingRefBased/>
  <w15:docId w15:val="{404EEAB6-8C5B-481D-9A95-98F7141B5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851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851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851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851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851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851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851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851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851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51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851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851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851A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851A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851A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851A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851A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851A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851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851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851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851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851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851A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851A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851A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851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851A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851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827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Blažejová Markéta</dc:creator>
  <cp:keywords/>
  <dc:description/>
  <cp:lastModifiedBy>Baumruková Dagmar</cp:lastModifiedBy>
  <cp:revision>2</cp:revision>
  <cp:lastPrinted>2026-04-20T07:56:00Z</cp:lastPrinted>
  <dcterms:created xsi:type="dcterms:W3CDTF">2026-04-30T11:55:00Z</dcterms:created>
  <dcterms:modified xsi:type="dcterms:W3CDTF">2026-04-30T11:55:00Z</dcterms:modified>
</cp:coreProperties>
</file>