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A01" w:rsidRPr="00AA4112" w:rsidRDefault="008D5A01" w:rsidP="008D5A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4112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8D5A01" w:rsidRPr="00AA4112" w:rsidRDefault="008D5A01" w:rsidP="008D5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7D8" w:rsidRPr="00AA4112" w:rsidRDefault="001417D8" w:rsidP="00E63E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9C7" w:rsidRPr="00991A04" w:rsidRDefault="00DA1955" w:rsidP="00B439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1A04">
        <w:rPr>
          <w:rFonts w:ascii="Times New Roman" w:hAnsi="Times New Roman" w:cs="Times New Roman"/>
          <w:sz w:val="24"/>
          <w:szCs w:val="24"/>
        </w:rPr>
        <w:t xml:space="preserve">Ministerstvo pro místní rozvoj vyhlásilo výzvu k podávání žádostí o poskytnutí dotace v roce 2020 z podprogramu Podpora regenerace brownfieldů pro nepodnikatelské využití. V této výzvě mají obce nad 10 tis. obyvatel možnost získat dotaci ve výši 50 %, maximálně 30 mil. Kč. </w:t>
      </w:r>
      <w:r w:rsidR="00C63E19">
        <w:rPr>
          <w:rFonts w:ascii="Times New Roman" w:hAnsi="Times New Roman" w:cs="Times New Roman"/>
          <w:sz w:val="24"/>
          <w:szCs w:val="24"/>
        </w:rPr>
        <w:t xml:space="preserve">Aktuální uzávěrka žádostí o dotaci je </w:t>
      </w:r>
      <w:r w:rsidRPr="00991A04">
        <w:rPr>
          <w:rFonts w:ascii="Times New Roman" w:hAnsi="Times New Roman" w:cs="Times New Roman"/>
          <w:sz w:val="24"/>
          <w:szCs w:val="24"/>
        </w:rPr>
        <w:t>11.5.2020. Poskytnutá dotace může být čerpána v období tří let od přidělení dotace. Program podporuje v areálu brownfieldu demolice, výstavbu nových a rekonstrukci původních objektů soužících obecnímu zájmu, a také revitalizaci zeleně.</w:t>
      </w:r>
      <w:r w:rsidR="00B439C7">
        <w:rPr>
          <w:rFonts w:ascii="Times New Roman" w:hAnsi="Times New Roman" w:cs="Times New Roman"/>
          <w:sz w:val="24"/>
          <w:szCs w:val="24"/>
        </w:rPr>
        <w:t xml:space="preserve"> </w:t>
      </w:r>
      <w:r w:rsidR="00B439C7" w:rsidRPr="00991A04">
        <w:rPr>
          <w:rFonts w:ascii="Times New Roman" w:hAnsi="Times New Roman" w:cs="Times New Roman"/>
          <w:sz w:val="24"/>
          <w:szCs w:val="24"/>
        </w:rPr>
        <w:t>Povinnou přílohou k žádosti o dotaci je doklad o schválení projektu revitalizace</w:t>
      </w:r>
      <w:r w:rsidR="00C53001">
        <w:rPr>
          <w:rFonts w:ascii="Times New Roman" w:hAnsi="Times New Roman" w:cs="Times New Roman"/>
          <w:sz w:val="24"/>
          <w:szCs w:val="24"/>
        </w:rPr>
        <w:t>/rekonstrukce</w:t>
      </w:r>
      <w:r w:rsidR="00B439C7" w:rsidRPr="00991A04">
        <w:rPr>
          <w:rFonts w:ascii="Times New Roman" w:hAnsi="Times New Roman" w:cs="Times New Roman"/>
          <w:sz w:val="24"/>
          <w:szCs w:val="24"/>
        </w:rPr>
        <w:t xml:space="preserve"> a také schválení předložení žádosti o dotaci zastupitelstvem města. </w:t>
      </w:r>
    </w:p>
    <w:p w:rsidR="00B439C7" w:rsidRPr="00991A04" w:rsidRDefault="00896E07" w:rsidP="00DA19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</w:t>
      </w:r>
      <w:r w:rsidR="00B439C7">
        <w:rPr>
          <w:rFonts w:ascii="Times New Roman" w:hAnsi="Times New Roman" w:cs="Times New Roman"/>
          <w:sz w:val="24"/>
          <w:szCs w:val="24"/>
        </w:rPr>
        <w:t xml:space="preserve"> města </w:t>
      </w:r>
      <w:r>
        <w:rPr>
          <w:rFonts w:ascii="Times New Roman" w:hAnsi="Times New Roman" w:cs="Times New Roman"/>
          <w:sz w:val="24"/>
          <w:szCs w:val="24"/>
        </w:rPr>
        <w:t>je předkládán</w:t>
      </w:r>
      <w:r w:rsidR="00C63E19">
        <w:rPr>
          <w:rFonts w:ascii="Times New Roman" w:hAnsi="Times New Roman" w:cs="Times New Roman"/>
          <w:sz w:val="24"/>
          <w:szCs w:val="24"/>
        </w:rPr>
        <w:t xml:space="preserve"> </w:t>
      </w:r>
      <w:r w:rsidR="00B439C7">
        <w:rPr>
          <w:rFonts w:ascii="Times New Roman" w:hAnsi="Times New Roman" w:cs="Times New Roman"/>
          <w:sz w:val="24"/>
          <w:szCs w:val="24"/>
        </w:rPr>
        <w:t>záměr pod</w:t>
      </w:r>
      <w:r w:rsidR="00C63E19">
        <w:rPr>
          <w:rFonts w:ascii="Times New Roman" w:hAnsi="Times New Roman" w:cs="Times New Roman"/>
          <w:sz w:val="24"/>
          <w:szCs w:val="24"/>
        </w:rPr>
        <w:t>ání</w:t>
      </w:r>
      <w:r w:rsidR="00B439C7">
        <w:rPr>
          <w:rFonts w:ascii="Times New Roman" w:hAnsi="Times New Roman" w:cs="Times New Roman"/>
          <w:sz w:val="24"/>
          <w:szCs w:val="24"/>
        </w:rPr>
        <w:t xml:space="preserve"> žádost</w:t>
      </w:r>
      <w:r w:rsidR="00C63E19">
        <w:rPr>
          <w:rFonts w:ascii="Times New Roman" w:hAnsi="Times New Roman" w:cs="Times New Roman"/>
          <w:sz w:val="24"/>
          <w:szCs w:val="24"/>
        </w:rPr>
        <w:t xml:space="preserve">i </w:t>
      </w:r>
      <w:r w:rsidR="00B439C7">
        <w:rPr>
          <w:rFonts w:ascii="Times New Roman" w:hAnsi="Times New Roman" w:cs="Times New Roman"/>
          <w:sz w:val="24"/>
          <w:szCs w:val="24"/>
        </w:rPr>
        <w:t>o podporu na projekt „</w:t>
      </w:r>
      <w:r w:rsidR="00B439C7" w:rsidRPr="00B439C7">
        <w:rPr>
          <w:rFonts w:ascii="Times New Roman" w:hAnsi="Times New Roman" w:cs="Times New Roman"/>
          <w:b/>
          <w:bCs/>
          <w:sz w:val="24"/>
          <w:szCs w:val="24"/>
        </w:rPr>
        <w:t>Revitalizace a rekonstrukce části bývalých kasáren Jana Žižky v Českých Budějovicích</w:t>
      </w:r>
      <w:r w:rsidR="00B439C7">
        <w:rPr>
          <w:rFonts w:ascii="Times New Roman" w:hAnsi="Times New Roman" w:cs="Times New Roman"/>
          <w:sz w:val="24"/>
          <w:szCs w:val="24"/>
        </w:rPr>
        <w:t>“</w:t>
      </w:r>
      <w:r w:rsidR="00E1693B">
        <w:rPr>
          <w:rFonts w:ascii="Times New Roman" w:hAnsi="Times New Roman" w:cs="Times New Roman"/>
          <w:sz w:val="24"/>
          <w:szCs w:val="24"/>
        </w:rPr>
        <w:t>, který byl již schválen radou města, usnesením č. 417/2020. Samotnému předložení žádosti o dotaci předcházela registrace v Národní databázi brownfieldů. Žádost o dotaci bude předložena pouze v případě kladného stanoviska MMR o souladu zapsaného brownfieldu se zásadami podprogramu, které je pro podání žádosti nezbytné.</w:t>
      </w:r>
      <w:bookmarkStart w:id="0" w:name="_GoBack"/>
      <w:bookmarkEnd w:id="0"/>
    </w:p>
    <w:p w:rsidR="002E296C" w:rsidRDefault="002E296C" w:rsidP="00177F58">
      <w:pPr>
        <w:spacing w:after="0"/>
        <w:jc w:val="both"/>
        <w:rPr>
          <w:rFonts w:ascii="Arial" w:hAnsi="Arial" w:cs="Arial"/>
          <w:color w:val="333333"/>
          <w:sz w:val="23"/>
          <w:szCs w:val="23"/>
          <w:shd w:val="clear" w:color="auto" w:fill="F8F8F8"/>
        </w:rPr>
      </w:pPr>
    </w:p>
    <w:p w:rsidR="00B439C7" w:rsidRDefault="00B439C7" w:rsidP="00177F58">
      <w:pPr>
        <w:spacing w:after="0"/>
        <w:jc w:val="both"/>
        <w:rPr>
          <w:rFonts w:ascii="Arial" w:hAnsi="Arial" w:cs="Arial"/>
          <w:color w:val="333333"/>
          <w:sz w:val="23"/>
          <w:szCs w:val="23"/>
          <w:shd w:val="clear" w:color="auto" w:fill="F8F8F8"/>
        </w:rPr>
      </w:pPr>
    </w:p>
    <w:p w:rsidR="00100835" w:rsidRDefault="00100835" w:rsidP="001008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F06">
        <w:rPr>
          <w:rFonts w:ascii="Times New Roman" w:hAnsi="Times New Roman" w:cs="Times New Roman"/>
          <w:b/>
          <w:sz w:val="24"/>
          <w:szCs w:val="24"/>
        </w:rPr>
        <w:t xml:space="preserve">Popis projektu: </w:t>
      </w:r>
    </w:p>
    <w:p w:rsidR="001547B7" w:rsidRPr="001547B7" w:rsidRDefault="00991A04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řeší r</w:t>
      </w:r>
      <w:r w:rsidRPr="00991A04">
        <w:rPr>
          <w:rFonts w:ascii="Times New Roman" w:hAnsi="Times New Roman" w:cs="Times New Roman"/>
          <w:sz w:val="24"/>
          <w:szCs w:val="24"/>
        </w:rPr>
        <w:t xml:space="preserve">ekonstrukci objektu </w:t>
      </w:r>
      <w:r w:rsidR="001547B7" w:rsidRPr="001547B7">
        <w:rPr>
          <w:rFonts w:ascii="Times New Roman" w:hAnsi="Times New Roman" w:cs="Times New Roman"/>
          <w:sz w:val="24"/>
          <w:szCs w:val="24"/>
        </w:rPr>
        <w:t xml:space="preserve">kasárenské budovy na </w:t>
      </w:r>
      <w:proofErr w:type="spellStart"/>
      <w:r w:rsidR="001547B7" w:rsidRPr="001547B7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1547B7" w:rsidRPr="001547B7">
        <w:rPr>
          <w:rFonts w:ascii="Times New Roman" w:hAnsi="Times New Roman" w:cs="Times New Roman"/>
          <w:sz w:val="24"/>
          <w:szCs w:val="24"/>
        </w:rPr>
        <w:t>.</w:t>
      </w:r>
      <w:r w:rsidR="001547B7">
        <w:rPr>
          <w:rFonts w:ascii="Times New Roman" w:hAnsi="Times New Roman" w:cs="Times New Roman"/>
          <w:sz w:val="24"/>
          <w:szCs w:val="24"/>
        </w:rPr>
        <w:t xml:space="preserve"> </w:t>
      </w:r>
      <w:r w:rsidR="001547B7" w:rsidRPr="001547B7">
        <w:rPr>
          <w:rFonts w:ascii="Times New Roman" w:hAnsi="Times New Roman" w:cs="Times New Roman"/>
          <w:sz w:val="24"/>
          <w:szCs w:val="24"/>
        </w:rPr>
        <w:t xml:space="preserve">č. 280/5 s přilehlým pozemkem </w:t>
      </w:r>
      <w:proofErr w:type="spellStart"/>
      <w:r w:rsidR="001547B7" w:rsidRPr="001547B7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1547B7" w:rsidRPr="001547B7">
        <w:rPr>
          <w:rFonts w:ascii="Times New Roman" w:hAnsi="Times New Roman" w:cs="Times New Roman"/>
          <w:sz w:val="24"/>
          <w:szCs w:val="24"/>
        </w:rPr>
        <w:t>. č. 280/25. Budova svou podélnou severní stranou vymezuje uliční čáru Žižkovy třídy. Stavba se zastavěnou plochou 822</w:t>
      </w:r>
      <w:r w:rsidR="001547B7">
        <w:rPr>
          <w:rFonts w:ascii="Times New Roman" w:hAnsi="Times New Roman" w:cs="Times New Roman"/>
          <w:sz w:val="24"/>
          <w:szCs w:val="24"/>
        </w:rPr>
        <w:t xml:space="preserve"> </w:t>
      </w:r>
      <w:r w:rsidR="001547B7" w:rsidRPr="001547B7">
        <w:rPr>
          <w:rFonts w:ascii="Times New Roman" w:hAnsi="Times New Roman" w:cs="Times New Roman"/>
          <w:sz w:val="24"/>
          <w:szCs w:val="24"/>
        </w:rPr>
        <w:t>m</w:t>
      </w:r>
      <w:r w:rsidR="001547B7" w:rsidRPr="001547B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547B7" w:rsidRPr="001547B7">
        <w:rPr>
          <w:rFonts w:ascii="Times New Roman" w:hAnsi="Times New Roman" w:cs="Times New Roman"/>
          <w:sz w:val="24"/>
          <w:szCs w:val="24"/>
        </w:rPr>
        <w:t xml:space="preserve"> je postavena na obdélníkovém půdorysu se zúženou střední chodbovou částí. Budova není podsklepena a má tři nadzemní podlaží</w:t>
      </w:r>
      <w:r w:rsidR="00B439C7">
        <w:rPr>
          <w:rFonts w:ascii="Times New Roman" w:hAnsi="Times New Roman" w:cs="Times New Roman"/>
          <w:sz w:val="24"/>
          <w:szCs w:val="24"/>
        </w:rPr>
        <w:t xml:space="preserve">. </w:t>
      </w:r>
      <w:r w:rsidR="001547B7" w:rsidRPr="001547B7">
        <w:rPr>
          <w:rFonts w:ascii="Times New Roman" w:hAnsi="Times New Roman" w:cs="Times New Roman"/>
          <w:sz w:val="24"/>
          <w:szCs w:val="24"/>
        </w:rPr>
        <w:t>Střední část je zastřešena sedlovým krovem. Rozšířené ukončující části jsou zastřešeny stanovou střechou. Hlavní vstup do budovy je z vnitřního dvora, vedlejší je situován u vjezdové brány v západním průčelí.</w:t>
      </w:r>
    </w:p>
    <w:p w:rsidR="001547B7" w:rsidRPr="001547B7" w:rsidRDefault="001547B7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7B7">
        <w:rPr>
          <w:rFonts w:ascii="Times New Roman" w:hAnsi="Times New Roman" w:cs="Times New Roman"/>
          <w:sz w:val="24"/>
          <w:szCs w:val="24"/>
        </w:rPr>
        <w:t xml:space="preserve">Stavební úpravy představují nutné opravy, které zamezí další degradaci budovy a uvedou stavbu do provozuschopné stabilizované podoby. Stavba bude využívána pro vlastní účely </w:t>
      </w:r>
      <w:r w:rsidR="00682991">
        <w:rPr>
          <w:rFonts w:ascii="Times New Roman" w:hAnsi="Times New Roman" w:cs="Times New Roman"/>
          <w:sz w:val="24"/>
          <w:szCs w:val="24"/>
        </w:rPr>
        <w:t xml:space="preserve">magistrátu </w:t>
      </w:r>
      <w:r w:rsidRPr="001547B7">
        <w:rPr>
          <w:rFonts w:ascii="Times New Roman" w:hAnsi="Times New Roman" w:cs="Times New Roman"/>
          <w:sz w:val="24"/>
          <w:szCs w:val="24"/>
        </w:rPr>
        <w:t xml:space="preserve">města s převládající administrativní funkcí budovy. </w:t>
      </w:r>
    </w:p>
    <w:p w:rsidR="001547B7" w:rsidRPr="001547B7" w:rsidRDefault="001547B7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7B7">
        <w:rPr>
          <w:rFonts w:ascii="Times New Roman" w:hAnsi="Times New Roman" w:cs="Times New Roman"/>
          <w:sz w:val="24"/>
          <w:szCs w:val="24"/>
        </w:rPr>
        <w:t xml:space="preserve">V rámci dispozičního uspořádání budou nově řešeny toalety, zázemí a zpřístupnění jednotlivých podlaží pro imobilní osoby výtahem. Návrh dispozice bude respektovat původní uspořádaní budovy. </w:t>
      </w:r>
    </w:p>
    <w:p w:rsidR="001547B7" w:rsidRPr="001547B7" w:rsidRDefault="001547B7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7B7">
        <w:rPr>
          <w:rFonts w:ascii="Times New Roman" w:hAnsi="Times New Roman" w:cs="Times New Roman"/>
          <w:sz w:val="24"/>
          <w:szCs w:val="24"/>
        </w:rPr>
        <w:t>Stavební úpravy zahrnují provedení odvětrání podlah v 1.</w:t>
      </w:r>
      <w:r>
        <w:rPr>
          <w:rFonts w:ascii="Times New Roman" w:hAnsi="Times New Roman" w:cs="Times New Roman"/>
          <w:sz w:val="24"/>
          <w:szCs w:val="24"/>
        </w:rPr>
        <w:t xml:space="preserve"> NP</w:t>
      </w:r>
      <w:r w:rsidRPr="001547B7">
        <w:rPr>
          <w:rFonts w:ascii="Times New Roman" w:hAnsi="Times New Roman" w:cs="Times New Roman"/>
          <w:sz w:val="24"/>
          <w:szCs w:val="24"/>
        </w:rPr>
        <w:t xml:space="preserve"> a účinná opatření vedoucí k odstranění vlhkosti, kontrolu a ochranu dřevěných nosných prvků především u zhlaví stropních trámů ve všech podlažích. V rámci rekonstrukce budou provedeny nové povrchy podlah, stěn a stropů. Nepůvodní vnitřní dveře a výplně stavebních otvorů budou vyměněny s ohledem na historickou podobu budovy.</w:t>
      </w:r>
    </w:p>
    <w:p w:rsidR="001547B7" w:rsidRPr="001547B7" w:rsidRDefault="001547B7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7B7">
        <w:rPr>
          <w:rFonts w:ascii="Times New Roman" w:hAnsi="Times New Roman" w:cs="Times New Roman"/>
          <w:sz w:val="24"/>
          <w:szCs w:val="24"/>
        </w:rPr>
        <w:t xml:space="preserve">Bude provedena výměna uhnilých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1547B7">
        <w:rPr>
          <w:rFonts w:ascii="Times New Roman" w:hAnsi="Times New Roman" w:cs="Times New Roman"/>
          <w:sz w:val="24"/>
          <w:szCs w:val="24"/>
        </w:rPr>
        <w:t>ásti prvků konstrukce krovu a položena nová střešní krytina.</w:t>
      </w:r>
    </w:p>
    <w:p w:rsidR="001547B7" w:rsidRPr="001547B7" w:rsidRDefault="001547B7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7B7">
        <w:rPr>
          <w:rFonts w:ascii="Times New Roman" w:hAnsi="Times New Roman" w:cs="Times New Roman"/>
          <w:sz w:val="24"/>
          <w:szCs w:val="24"/>
        </w:rPr>
        <w:t>Historická fasáda se štukovou výzdobou bude opravena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547B7">
        <w:rPr>
          <w:rFonts w:ascii="Times New Roman" w:hAnsi="Times New Roman" w:cs="Times New Roman"/>
          <w:sz w:val="24"/>
          <w:szCs w:val="24"/>
        </w:rPr>
        <w:t xml:space="preserve"> v některých poškozených částech bude odstraněna a provedena nově (u podokapní římsy) podle stávající profilace. Špaletová okna </w:t>
      </w:r>
      <w:r w:rsidR="00E20D5F">
        <w:rPr>
          <w:rFonts w:ascii="Times New Roman" w:hAnsi="Times New Roman" w:cs="Times New Roman"/>
          <w:sz w:val="24"/>
          <w:szCs w:val="24"/>
        </w:rPr>
        <w:t xml:space="preserve">s trojitým zasklením </w:t>
      </w:r>
      <w:r w:rsidRPr="001547B7">
        <w:rPr>
          <w:rFonts w:ascii="Times New Roman" w:hAnsi="Times New Roman" w:cs="Times New Roman"/>
          <w:sz w:val="24"/>
          <w:szCs w:val="24"/>
        </w:rPr>
        <w:t xml:space="preserve">budou </w:t>
      </w:r>
      <w:r w:rsidR="00E20D5F">
        <w:rPr>
          <w:rFonts w:ascii="Times New Roman" w:hAnsi="Times New Roman" w:cs="Times New Roman"/>
          <w:sz w:val="24"/>
          <w:szCs w:val="24"/>
        </w:rPr>
        <w:t xml:space="preserve">opatřena těsněním a natřena. U otvorů ve schodišti budou vybourány skleněné luxferové tvarovky a budou nahrazeny okny s historickým členěním. </w:t>
      </w:r>
    </w:p>
    <w:p w:rsidR="001547B7" w:rsidRDefault="001547B7" w:rsidP="001547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7B7">
        <w:rPr>
          <w:rFonts w:ascii="Times New Roman" w:hAnsi="Times New Roman" w:cs="Times New Roman"/>
          <w:sz w:val="24"/>
          <w:szCs w:val="24"/>
        </w:rPr>
        <w:lastRenderedPageBreak/>
        <w:t>V rámci rekonstrukce budou provedeny nové vnitřní rozvody elektroinstalací, vody, kanalizace, topení, vzduchotechniky, včetně areálových rozvodů a přípojek</w:t>
      </w:r>
      <w:r w:rsidR="00E20D5F">
        <w:rPr>
          <w:rFonts w:ascii="Times New Roman" w:hAnsi="Times New Roman" w:cs="Times New Roman"/>
          <w:sz w:val="24"/>
          <w:szCs w:val="24"/>
        </w:rPr>
        <w:t xml:space="preserve"> kanalizace</w:t>
      </w:r>
      <w:r w:rsidRPr="001547B7">
        <w:rPr>
          <w:rFonts w:ascii="Times New Roman" w:hAnsi="Times New Roman" w:cs="Times New Roman"/>
          <w:sz w:val="24"/>
          <w:szCs w:val="24"/>
        </w:rPr>
        <w:t>.</w:t>
      </w:r>
      <w:r w:rsidR="00E20D5F">
        <w:rPr>
          <w:rFonts w:ascii="Times New Roman" w:hAnsi="Times New Roman" w:cs="Times New Roman"/>
          <w:sz w:val="24"/>
          <w:szCs w:val="24"/>
        </w:rPr>
        <w:t xml:space="preserve"> Na pozemku 280/25 bude vysázena náhradní zeleň. </w:t>
      </w:r>
    </w:p>
    <w:p w:rsidR="00100835" w:rsidRDefault="00100835" w:rsidP="001547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Tahoma"/>
        </w:rPr>
      </w:pPr>
    </w:p>
    <w:p w:rsidR="001547B7" w:rsidRDefault="001547B7" w:rsidP="00154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9C7" w:rsidRPr="00100835" w:rsidRDefault="00B439C7" w:rsidP="00154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ADE" w:rsidRDefault="00871ADE" w:rsidP="0010083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Termín realizace: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02C28">
        <w:rPr>
          <w:rFonts w:ascii="Times New Roman" w:hAnsi="Times New Roman" w:cs="Times New Roman"/>
          <w:bCs/>
          <w:sz w:val="24"/>
          <w:szCs w:val="24"/>
        </w:rPr>
        <w:t>v průběhu let 2021-2023</w:t>
      </w:r>
    </w:p>
    <w:p w:rsidR="00E20D5F" w:rsidRDefault="00E20D5F" w:rsidP="001008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D5F">
        <w:rPr>
          <w:rFonts w:ascii="Times New Roman" w:hAnsi="Times New Roman" w:cs="Times New Roman"/>
          <w:b/>
          <w:sz w:val="24"/>
          <w:szCs w:val="24"/>
        </w:rPr>
        <w:t>Předpokládaný rozpočet: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E20D5F">
        <w:rPr>
          <w:rFonts w:ascii="Times New Roman" w:hAnsi="Times New Roman" w:cs="Times New Roman"/>
          <w:bCs/>
          <w:sz w:val="24"/>
          <w:szCs w:val="24"/>
        </w:rPr>
        <w:t>74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E20D5F">
        <w:rPr>
          <w:rFonts w:ascii="Times New Roman" w:hAnsi="Times New Roman" w:cs="Times New Roman"/>
          <w:bCs/>
          <w:sz w:val="24"/>
          <w:szCs w:val="24"/>
        </w:rPr>
        <w:t>240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E20D5F">
        <w:rPr>
          <w:rFonts w:ascii="Times New Roman" w:hAnsi="Times New Roman" w:cs="Times New Roman"/>
          <w:bCs/>
          <w:sz w:val="24"/>
          <w:szCs w:val="24"/>
        </w:rPr>
        <w:t>715,- Kč</w:t>
      </w:r>
      <w:r>
        <w:rPr>
          <w:rFonts w:ascii="Times New Roman" w:hAnsi="Times New Roman" w:cs="Times New Roman"/>
          <w:bCs/>
          <w:sz w:val="24"/>
          <w:szCs w:val="24"/>
        </w:rPr>
        <w:t xml:space="preserve"> včetně DPH</w:t>
      </w:r>
    </w:p>
    <w:p w:rsidR="00100835" w:rsidRDefault="00100835" w:rsidP="001008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112">
        <w:rPr>
          <w:rFonts w:ascii="Times New Roman" w:hAnsi="Times New Roman" w:cs="Times New Roman"/>
          <w:b/>
          <w:sz w:val="24"/>
          <w:szCs w:val="24"/>
        </w:rPr>
        <w:t>Požadovaná výše grantu:</w:t>
      </w:r>
      <w:r w:rsidRPr="00AA4112">
        <w:rPr>
          <w:rFonts w:ascii="Times New Roman" w:hAnsi="Times New Roman" w:cs="Times New Roman"/>
          <w:b/>
          <w:sz w:val="24"/>
          <w:szCs w:val="24"/>
        </w:rPr>
        <w:tab/>
      </w:r>
      <w:r w:rsidRPr="00AA4112">
        <w:rPr>
          <w:rFonts w:ascii="Times New Roman" w:hAnsi="Times New Roman" w:cs="Times New Roman"/>
          <w:b/>
          <w:sz w:val="24"/>
          <w:szCs w:val="24"/>
        </w:rPr>
        <w:tab/>
      </w:r>
      <w:r w:rsidR="00E20D5F" w:rsidRPr="00E20D5F">
        <w:rPr>
          <w:rFonts w:ascii="Times New Roman" w:hAnsi="Times New Roman" w:cs="Times New Roman"/>
          <w:bCs/>
          <w:sz w:val="24"/>
          <w:szCs w:val="24"/>
        </w:rPr>
        <w:t>30.</w:t>
      </w:r>
      <w:r w:rsidR="00E20D5F">
        <w:rPr>
          <w:rFonts w:ascii="Times New Roman" w:hAnsi="Times New Roman" w:cs="Times New Roman"/>
          <w:bCs/>
          <w:sz w:val="24"/>
          <w:szCs w:val="24"/>
        </w:rPr>
        <w:t>000.000</w:t>
      </w:r>
      <w:r w:rsidRPr="00E20D5F">
        <w:rPr>
          <w:rFonts w:ascii="Times New Roman" w:hAnsi="Times New Roman" w:cs="Times New Roman"/>
          <w:bCs/>
          <w:sz w:val="24"/>
          <w:szCs w:val="24"/>
        </w:rPr>
        <w:t>,- Kč</w:t>
      </w:r>
    </w:p>
    <w:p w:rsidR="00100835" w:rsidRPr="00AA4112" w:rsidRDefault="001547B7" w:rsidP="00100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Realizaci projektu zajistí IO.</w:t>
      </w:r>
    </w:p>
    <w:p w:rsidR="002E296C" w:rsidRDefault="002E296C" w:rsidP="00177F58">
      <w:pPr>
        <w:spacing w:after="0"/>
        <w:jc w:val="both"/>
        <w:rPr>
          <w:rFonts w:ascii="Arial" w:hAnsi="Arial" w:cs="Arial"/>
          <w:color w:val="333333"/>
          <w:sz w:val="23"/>
          <w:szCs w:val="23"/>
          <w:shd w:val="clear" w:color="auto" w:fill="F8F8F8"/>
        </w:rPr>
      </w:pPr>
    </w:p>
    <w:sectPr w:rsidR="002E2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85D69"/>
    <w:multiLevelType w:val="hybridMultilevel"/>
    <w:tmpl w:val="1E340A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C5003"/>
    <w:multiLevelType w:val="hybridMultilevel"/>
    <w:tmpl w:val="6F9C21B4"/>
    <w:lvl w:ilvl="0" w:tplc="FA2028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3837"/>
    <w:multiLevelType w:val="hybridMultilevel"/>
    <w:tmpl w:val="EC54F2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A01"/>
    <w:rsid w:val="000A2CCA"/>
    <w:rsid w:val="00100835"/>
    <w:rsid w:val="00102C28"/>
    <w:rsid w:val="001417D8"/>
    <w:rsid w:val="001547B7"/>
    <w:rsid w:val="00177F58"/>
    <w:rsid w:val="00190AEB"/>
    <w:rsid w:val="002C4A86"/>
    <w:rsid w:val="002E296C"/>
    <w:rsid w:val="00326559"/>
    <w:rsid w:val="00332120"/>
    <w:rsid w:val="00361EC8"/>
    <w:rsid w:val="0039635C"/>
    <w:rsid w:val="003F065B"/>
    <w:rsid w:val="00421C54"/>
    <w:rsid w:val="00421F06"/>
    <w:rsid w:val="004C3C33"/>
    <w:rsid w:val="004F442D"/>
    <w:rsid w:val="005077DC"/>
    <w:rsid w:val="005C6674"/>
    <w:rsid w:val="00612DF1"/>
    <w:rsid w:val="00682991"/>
    <w:rsid w:val="00725B36"/>
    <w:rsid w:val="007A7449"/>
    <w:rsid w:val="00871ADE"/>
    <w:rsid w:val="00896E07"/>
    <w:rsid w:val="008D5A01"/>
    <w:rsid w:val="00991A04"/>
    <w:rsid w:val="009D2C2A"/>
    <w:rsid w:val="009F072D"/>
    <w:rsid w:val="00A02242"/>
    <w:rsid w:val="00A85A39"/>
    <w:rsid w:val="00AA4112"/>
    <w:rsid w:val="00B3700E"/>
    <w:rsid w:val="00B439C7"/>
    <w:rsid w:val="00B95342"/>
    <w:rsid w:val="00B96E08"/>
    <w:rsid w:val="00BC7F0B"/>
    <w:rsid w:val="00C11D47"/>
    <w:rsid w:val="00C53001"/>
    <w:rsid w:val="00C63E19"/>
    <w:rsid w:val="00CD7966"/>
    <w:rsid w:val="00D06088"/>
    <w:rsid w:val="00DA1955"/>
    <w:rsid w:val="00E1693B"/>
    <w:rsid w:val="00E20D5F"/>
    <w:rsid w:val="00E47D5D"/>
    <w:rsid w:val="00E63E6C"/>
    <w:rsid w:val="00F031FC"/>
    <w:rsid w:val="00F478AA"/>
    <w:rsid w:val="00F50B81"/>
    <w:rsid w:val="00FA4BEB"/>
    <w:rsid w:val="00FA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5E034"/>
  <w15:chartTrackingRefBased/>
  <w15:docId w15:val="{1B0E9DFC-8017-4D27-8810-79C87EC7D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8D5A0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4112"/>
    <w:pPr>
      <w:spacing w:after="80" w:line="240" w:lineRule="auto"/>
      <w:ind w:left="720"/>
      <w:contextualSpacing/>
    </w:pPr>
  </w:style>
  <w:style w:type="paragraph" w:customStyle="1" w:styleId="Zkladntext21">
    <w:name w:val="Základní text 21"/>
    <w:basedOn w:val="Normln"/>
    <w:rsid w:val="001547B7"/>
    <w:pPr>
      <w:suppressAutoHyphens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1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Gondeková Renata</dc:creator>
  <cp:keywords/>
  <dc:description/>
  <cp:lastModifiedBy>Fišerová Zuzana</cp:lastModifiedBy>
  <cp:revision>2</cp:revision>
  <cp:lastPrinted>2020-02-14T09:25:00Z</cp:lastPrinted>
  <dcterms:created xsi:type="dcterms:W3CDTF">2020-05-07T12:04:00Z</dcterms:created>
  <dcterms:modified xsi:type="dcterms:W3CDTF">2020-05-07T12:04:00Z</dcterms:modified>
</cp:coreProperties>
</file>