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A98" w:rsidRDefault="002A02F8" w:rsidP="00761E60">
      <w:pPr>
        <w:tabs>
          <w:tab w:val="left" w:pos="900"/>
        </w:tabs>
        <w:rPr>
          <w:b/>
        </w:rPr>
      </w:pPr>
      <w:bookmarkStart w:id="0" w:name="_GoBack"/>
      <w:bookmarkEnd w:id="0"/>
      <w:r>
        <w:rPr>
          <w:b/>
        </w:rPr>
        <w:t>Důvodová zpráva</w:t>
      </w:r>
    </w:p>
    <w:p w:rsidR="002A02F8" w:rsidRDefault="002A02F8" w:rsidP="00761E60">
      <w:pPr>
        <w:tabs>
          <w:tab w:val="left" w:pos="900"/>
        </w:tabs>
        <w:rPr>
          <w:b/>
        </w:rPr>
      </w:pPr>
    </w:p>
    <w:p w:rsidR="000463EA" w:rsidRDefault="000463EA" w:rsidP="000463EA">
      <w:pPr>
        <w:tabs>
          <w:tab w:val="left" w:pos="900"/>
        </w:tabs>
        <w:jc w:val="both"/>
      </w:pPr>
      <w:r w:rsidRPr="000463EA">
        <w:t>Statu</w:t>
      </w:r>
      <w:r>
        <w:t xml:space="preserve">tární město České Budějovice a Jihočeská univerzita uzavřely dne 16. 9. 2014 </w:t>
      </w:r>
      <w:r w:rsidR="00DA10BD">
        <w:t xml:space="preserve">s účinností od 1. 1. 2015 </w:t>
      </w:r>
      <w:r>
        <w:t>smlouvu o spolupráci, její</w:t>
      </w:r>
      <w:r w:rsidR="004B345D">
        <w:t>mž obsahem</w:t>
      </w:r>
      <w:r>
        <w:t xml:space="preserve"> byl mj. závazek města poskytovat univerzitě finanční podporu na zajištění činnosti Britského centra a Goethe-Zentra jakožto součást</w:t>
      </w:r>
      <w:r w:rsidR="00DA10BD">
        <w:t>em univerzity, konkrétně pak na osobní náklady odborných pracovníků těchto center</w:t>
      </w:r>
      <w:r>
        <w:t>. Na</w:t>
      </w:r>
      <w:r w:rsidR="00DA10BD">
        <w:t> </w:t>
      </w:r>
      <w:r>
        <w:t>základě této smlouvy byla na každý kalendářní rok uzavírána mezi stranami veřejnoprávní smlouva o</w:t>
      </w:r>
      <w:r w:rsidR="00DA10BD">
        <w:t> </w:t>
      </w:r>
      <w:r>
        <w:t xml:space="preserve">poskytnutí neinvestiční dotace ve výši 700 000 Kč. Jelikož činnost uvedených center má povahu tzv. ekonomické činnosti ve smyslu příslušných evropských pravidel upravujících veřejnou podporu a naplňuje tak znaky veřejné podpory dle těchto pravidel, byla </w:t>
      </w:r>
      <w:r w:rsidR="0091708A">
        <w:t xml:space="preserve">dotační </w:t>
      </w:r>
      <w:r>
        <w:t xml:space="preserve">smlouva uzavírána vždy v tzv. režimu de minimis, tj. na základě </w:t>
      </w:r>
      <w:r w:rsidRPr="000463EA">
        <w:rPr>
          <w:i/>
        </w:rPr>
        <w:t>Nařízení Komise EU č.</w:t>
      </w:r>
      <w:r w:rsidR="0091708A">
        <w:rPr>
          <w:i/>
        </w:rPr>
        <w:t> </w:t>
      </w:r>
      <w:r w:rsidRPr="000463EA">
        <w:rPr>
          <w:i/>
        </w:rPr>
        <w:t>1407/2013 ze</w:t>
      </w:r>
      <w:r w:rsidR="004B345D">
        <w:rPr>
          <w:i/>
        </w:rPr>
        <w:t> </w:t>
      </w:r>
      <w:r w:rsidRPr="000463EA">
        <w:rPr>
          <w:i/>
        </w:rPr>
        <w:t>dne 18. 12. 2013 o použití článků 107 a 108 Smlouvy o fungování Evropské unie na podporu de minimis</w:t>
      </w:r>
      <w:r>
        <w:t>.</w:t>
      </w:r>
    </w:p>
    <w:p w:rsidR="00DA10BD" w:rsidRDefault="00DA10BD" w:rsidP="000463EA">
      <w:pPr>
        <w:tabs>
          <w:tab w:val="left" w:pos="900"/>
        </w:tabs>
        <w:jc w:val="both"/>
      </w:pPr>
    </w:p>
    <w:p w:rsidR="00DA10BD" w:rsidRDefault="00DA10BD" w:rsidP="000463EA">
      <w:pPr>
        <w:tabs>
          <w:tab w:val="left" w:pos="900"/>
        </w:tabs>
        <w:jc w:val="both"/>
      </w:pPr>
      <w:r>
        <w:t xml:space="preserve">Shora uvedená smlouva </w:t>
      </w:r>
      <w:r w:rsidR="0091708A">
        <w:t xml:space="preserve">o spolupráci </w:t>
      </w:r>
      <w:r>
        <w:t xml:space="preserve">byla statutárním městem České Budějovice vypovězena, přičemž výpovědní lhůta uplyne v souladu se smlouvou ke konci letošního roku. Jako poslední dle této smlouvy tak byla zastupitelstvem města </w:t>
      </w:r>
      <w:r w:rsidR="0091708A">
        <w:t xml:space="preserve">dne 7. 11. 2016 </w:t>
      </w:r>
      <w:r>
        <w:t>přijata dotační smlouva pro</w:t>
      </w:r>
      <w:r w:rsidR="0091708A">
        <w:t> </w:t>
      </w:r>
      <w:r>
        <w:t>rok 2016.</w:t>
      </w:r>
    </w:p>
    <w:p w:rsidR="00CA5418" w:rsidRDefault="00CA5418" w:rsidP="000463EA">
      <w:pPr>
        <w:tabs>
          <w:tab w:val="left" w:pos="900"/>
        </w:tabs>
        <w:jc w:val="both"/>
      </w:pPr>
    </w:p>
    <w:p w:rsidR="00CA5418" w:rsidRDefault="00CA5418" w:rsidP="000463EA">
      <w:pPr>
        <w:tabs>
          <w:tab w:val="left" w:pos="900"/>
        </w:tabs>
        <w:jc w:val="both"/>
      </w:pPr>
      <w:r>
        <w:t xml:space="preserve">S ohledem na </w:t>
      </w:r>
      <w:r w:rsidR="002916D7">
        <w:t>výše</w:t>
      </w:r>
      <w:r>
        <w:t xml:space="preserve"> uveden</w:t>
      </w:r>
      <w:r w:rsidR="009B6025">
        <w:t>é</w:t>
      </w:r>
      <w:r>
        <w:t xml:space="preserve"> byla uskutečněna jednání mezi městem a univerzitou o možných formách vzájemné spolupráce a finanční podpory ze strany města pro budoucí roky. Na základě skutečnosti, že Jihočeská univerzita v Českých Budějovicích je důležitou veřejnoprávní vzdělávací institucí působící na území města </w:t>
      </w:r>
      <w:r w:rsidR="00D17BA4">
        <w:t xml:space="preserve">a </w:t>
      </w:r>
      <w:r>
        <w:t xml:space="preserve">významně přispívající k rozvoji města, zejména pak v oblasti výchovné a vzdělávací činnosti, </w:t>
      </w:r>
      <w:r w:rsidR="00D17BA4">
        <w:t>jejíž zajišťování v zájmu občanů</w:t>
      </w:r>
      <w:r>
        <w:t xml:space="preserve"> </w:t>
      </w:r>
      <w:r w:rsidR="00D17BA4">
        <w:t>tvoří</w:t>
      </w:r>
      <w:r>
        <w:t xml:space="preserve"> jeden ze základních úkolů města na úseku územní samosprávy, byl na základě výsledků uskutečněných jednání připraven návrh nové smlouvy o spolupráci při podpoře vzdělávání.</w:t>
      </w:r>
    </w:p>
    <w:p w:rsidR="00CA5418" w:rsidRDefault="00CA5418" w:rsidP="000463EA">
      <w:pPr>
        <w:tabs>
          <w:tab w:val="left" w:pos="900"/>
        </w:tabs>
        <w:jc w:val="both"/>
      </w:pPr>
    </w:p>
    <w:p w:rsidR="00CA5418" w:rsidRDefault="00CA5418" w:rsidP="000463EA">
      <w:pPr>
        <w:tabs>
          <w:tab w:val="left" w:pos="900"/>
        </w:tabs>
        <w:jc w:val="both"/>
      </w:pPr>
      <w:r>
        <w:t>Základní podstatou návrhu je posky</w:t>
      </w:r>
      <w:r w:rsidR="00D17BA4">
        <w:t>tování finanční podpory univerzitě, přičemž zachován je s ohledem na požadavky vyplývající ze zákona o rozpočtových pravidlech územních rozpočtů koncept rámcové smlouvy, na základě níž budou v následujících letech uzavírány jednotlivé veřejnoprávní dotační smlouvy ve smyslu tohoto zákona.</w:t>
      </w:r>
    </w:p>
    <w:p w:rsidR="00D17BA4" w:rsidRDefault="00D17BA4" w:rsidP="000463EA">
      <w:pPr>
        <w:tabs>
          <w:tab w:val="left" w:pos="900"/>
        </w:tabs>
        <w:jc w:val="both"/>
      </w:pPr>
    </w:p>
    <w:p w:rsidR="00D17BA4" w:rsidRDefault="00D17BA4" w:rsidP="000463EA">
      <w:pPr>
        <w:tabs>
          <w:tab w:val="left" w:pos="900"/>
        </w:tabs>
        <w:jc w:val="both"/>
      </w:pPr>
      <w:r>
        <w:t>Liší se však účel, na který budou dotace poskytovány, kterým jsou v předkládaném návrhu náklady na zajištění výchovné, vzdělávací a výzkumné činnosti veřejného školství financovaného obecně z veřejných prostředků. Půjde tak o obecnou vzdělávací činnost, jejíž podpora dle rozhodovací praxe příslušných orgánů nenaplňuje znaky veřejné podpory dle </w:t>
      </w:r>
      <w:r w:rsidR="004B345D">
        <w:t>e</w:t>
      </w:r>
      <w:r>
        <w:t xml:space="preserve">vropských pravidel. Nebude tedy třeba dotace poskytovat v tzv. režimu de minimis. Z dotace budou hrazeny výdaje naplňující uvedený účel, zejména tedy provozní výdaje </w:t>
      </w:r>
      <w:r w:rsidR="004B345D">
        <w:t>(</w:t>
      </w:r>
      <w:r>
        <w:t>včetně platových výdajů</w:t>
      </w:r>
      <w:r w:rsidR="004B345D">
        <w:t>)</w:t>
      </w:r>
      <w:r>
        <w:t xml:space="preserve"> na zajištění vzdělávací činnosti. Vyloučeny jsou investiční náklady, pohoštění a dary (s výjimkou studentských stipendií) a samozřejmě také ekonomické činnosti nebo jakékoliv jiné činnosti, vůči nimž by daná dotace byla veřejnou podporou ve smyslu čl.</w:t>
      </w:r>
      <w:r w:rsidR="0091708A">
        <w:t> </w:t>
      </w:r>
      <w:r>
        <w:t>107 odst. 1 Smlouvy o fungování Evropské unie (tak, aby bylo zajištěno, že univerzitě nebude poskytnuta selektivní výhoda na trhu komerčně poskytovaných zboží či služeb, což by se mohlo negativně dotknout jiných soutěžitelů na trhu – z tohoto důvodu tedy nebude možné použít dotaci ani k úhradě činnosti shora zmíněných jazykových center).</w:t>
      </w:r>
    </w:p>
    <w:p w:rsidR="002D248F" w:rsidRDefault="002D248F" w:rsidP="000463EA">
      <w:pPr>
        <w:tabs>
          <w:tab w:val="left" w:pos="900"/>
        </w:tabs>
        <w:jc w:val="both"/>
      </w:pPr>
    </w:p>
    <w:p w:rsidR="002D248F" w:rsidRDefault="002D248F" w:rsidP="000463EA">
      <w:pPr>
        <w:tabs>
          <w:tab w:val="left" w:pos="900"/>
        </w:tabs>
        <w:jc w:val="both"/>
      </w:pPr>
      <w:r>
        <w:t xml:space="preserve">Na rozdíl od dosavadní smlouvy není návrh nové smlouvy uzavírán na dobu neurčitou, ale pouze na dobu určitou dvou let, tj. za účelem poskytnutí podpory pro roky 2017 a 2018. Nově zvolené zastupitelstvo města po příštích volbách tak bude mít opět plnou možnost uvážit další podobu vzájemné spolupráce a podpory. Smlouva zajišťuje možnost města vypovědět smlouvu i </w:t>
      </w:r>
      <w:r w:rsidR="004D05B9">
        <w:t>po dobu jejího trvání</w:t>
      </w:r>
      <w:r>
        <w:t>, a to bez výpovědní doby v případech porušení povinností ze</w:t>
      </w:r>
      <w:r w:rsidR="004D05B9">
        <w:t> </w:t>
      </w:r>
      <w:r>
        <w:t>strany univerzity</w:t>
      </w:r>
      <w:r w:rsidR="00497580">
        <w:t xml:space="preserve"> (ve vztahu k  dotačním smlouvám</w:t>
      </w:r>
      <w:r w:rsidR="0091708A">
        <w:t>, které již budou ke dni výpovědi smlouvy o spolupráci podle ní uzavřeny,</w:t>
      </w:r>
      <w:r w:rsidR="00497580">
        <w:t xml:space="preserve"> by v takových případech byly uplatněny instituty dané těmito </w:t>
      </w:r>
      <w:r w:rsidR="0091708A">
        <w:t xml:space="preserve">dotačními </w:t>
      </w:r>
      <w:r w:rsidR="00497580">
        <w:t xml:space="preserve">smlouvami - uplatnění sankce za porušení rozpočtové kázně, popř. zrušení </w:t>
      </w:r>
      <w:r w:rsidR="004B345D">
        <w:t xml:space="preserve">dotační </w:t>
      </w:r>
      <w:r w:rsidR="00497580">
        <w:lastRenderedPageBreak/>
        <w:t>smlouvy)</w:t>
      </w:r>
      <w:r>
        <w:t>. Výše podpory je ujednána na</w:t>
      </w:r>
      <w:r w:rsidR="00497580">
        <w:t> </w:t>
      </w:r>
      <w:r>
        <w:t>částku (nejméně) 1 100 000 Kč na každý kalendářní rok trvání smlouvy.</w:t>
      </w:r>
    </w:p>
    <w:p w:rsidR="002D248F" w:rsidRDefault="002D248F" w:rsidP="000463EA">
      <w:pPr>
        <w:tabs>
          <w:tab w:val="left" w:pos="900"/>
        </w:tabs>
        <w:jc w:val="both"/>
      </w:pPr>
    </w:p>
    <w:p w:rsidR="002D248F" w:rsidRDefault="002D248F" w:rsidP="000463EA">
      <w:pPr>
        <w:tabs>
          <w:tab w:val="left" w:pos="900"/>
        </w:tabs>
        <w:jc w:val="both"/>
      </w:pPr>
      <w:r>
        <w:t xml:space="preserve">Procedura poskytování podpory je stanovena tak, že univerzita je povinna </w:t>
      </w:r>
      <w:r w:rsidR="004B345D">
        <w:t xml:space="preserve">vždy </w:t>
      </w:r>
      <w:r>
        <w:t>do konce března kalendářního roku, na který má být dotace poskytnuta, doručit měst</w:t>
      </w:r>
      <w:r w:rsidR="004B345D">
        <w:t>u</w:t>
      </w:r>
      <w:r>
        <w:t xml:space="preserve"> písemnou žádost ve</w:t>
      </w:r>
      <w:r w:rsidR="004B345D">
        <w:t> </w:t>
      </w:r>
      <w:r>
        <w:t>smyslu příslušného ustanovení zákona o rozpočtových pravidlech územních rozpočtů, město se pak zavazuje tuto žádost projednat a předložit univerzitě návrh dotační smlouvy tak, aby mohla být uzavřena a peněžní prostředky poskytnuty nejpozději do konce června daného roku. V dotační smlouvě bude univerzita povinna akceptovat podmínky vyplývající ze zákona (povinnost vyúčtování</w:t>
      </w:r>
      <w:r w:rsidR="00497580">
        <w:t xml:space="preserve"> </w:t>
      </w:r>
      <w:r w:rsidR="004B345D">
        <w:t xml:space="preserve">dotace </w:t>
      </w:r>
      <w:r w:rsidR="00497580">
        <w:t>ve stanovené lhůtě</w:t>
      </w:r>
      <w:r>
        <w:t>, institut rozpočtové kázně, možnost zrušení dotační smlouvy ve</w:t>
      </w:r>
      <w:r w:rsidR="00497580">
        <w:t> </w:t>
      </w:r>
      <w:r>
        <w:t>stanovených případech aj.), jinak město ne</w:t>
      </w:r>
      <w:r w:rsidR="00497580">
        <w:t>bude povinno dotační smlouvu uzavřít.</w:t>
      </w:r>
    </w:p>
    <w:p w:rsidR="002D248F" w:rsidRPr="000463EA" w:rsidRDefault="002D248F" w:rsidP="000463EA">
      <w:pPr>
        <w:tabs>
          <w:tab w:val="left" w:pos="900"/>
        </w:tabs>
        <w:jc w:val="both"/>
      </w:pPr>
    </w:p>
    <w:sectPr w:rsidR="002D248F" w:rsidRPr="000463EA">
      <w:headerReference w:type="even" r:id="rId7"/>
      <w:type w:val="continuous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560" w:rsidRDefault="00B56560">
      <w:r>
        <w:separator/>
      </w:r>
    </w:p>
  </w:endnote>
  <w:endnote w:type="continuationSeparator" w:id="0">
    <w:p w:rsidR="00B56560" w:rsidRDefault="00B5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560" w:rsidRDefault="00B56560">
      <w:r>
        <w:separator/>
      </w:r>
    </w:p>
  </w:footnote>
  <w:footnote w:type="continuationSeparator" w:id="0">
    <w:p w:rsidR="00B56560" w:rsidRDefault="00B56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156" w:rsidRDefault="00C801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D42E6"/>
    <w:multiLevelType w:val="multilevel"/>
    <w:tmpl w:val="67AA51C6"/>
    <w:lvl w:ilvl="0">
      <w:start w:val="5"/>
      <w:numFmt w:val="none"/>
      <w:lvlText w:val="%1K bodu:"/>
      <w:lvlJc w:val="left"/>
      <w:pPr>
        <w:tabs>
          <w:tab w:val="num" w:pos="1080"/>
        </w:tabs>
        <w:ind w:left="907" w:hanging="90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tabs>
          <w:tab w:val="num" w:pos="1134"/>
        </w:tabs>
        <w:ind w:left="1134" w:hanging="1077"/>
      </w:pPr>
      <w:rPr>
        <w:rFonts w:hint="default"/>
        <w:b/>
        <w:i w:val="0"/>
        <w:spacing w:val="-20"/>
      </w:rPr>
    </w:lvl>
    <w:lvl w:ilvl="2">
      <w:start w:val="1"/>
      <w:numFmt w:val="none"/>
      <w:lvlText w:val="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>
      <w:start w:val="1"/>
      <w:numFmt w:val="none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none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1302550B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2" w15:restartNumberingAfterBreak="0">
    <w:nsid w:val="14DB55D2"/>
    <w:multiLevelType w:val="hybridMultilevel"/>
    <w:tmpl w:val="5F8289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52D31"/>
    <w:multiLevelType w:val="multilevel"/>
    <w:tmpl w:val="7F7E9540"/>
    <w:lvl w:ilvl="0">
      <w:start w:val="1"/>
      <w:numFmt w:val="lowerLetter"/>
      <w:suff w:val="space"/>
      <w:lvlText w:val="%1)"/>
      <w:lvlJc w:val="left"/>
      <w:pPr>
        <w:ind w:left="1457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2268" w:hanging="81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17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37"/>
        </w:tabs>
        <w:ind w:left="253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97"/>
        </w:tabs>
        <w:ind w:left="289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257"/>
        </w:tabs>
        <w:ind w:left="325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17"/>
        </w:tabs>
        <w:ind w:left="361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77"/>
        </w:tabs>
        <w:ind w:left="397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37"/>
        </w:tabs>
        <w:ind w:left="4337" w:hanging="360"/>
      </w:pPr>
      <w:rPr>
        <w:rFonts w:hint="default"/>
      </w:rPr>
    </w:lvl>
  </w:abstractNum>
  <w:abstractNum w:abstractNumId="4" w15:restartNumberingAfterBreak="0">
    <w:nsid w:val="254801B4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5" w15:restartNumberingAfterBreak="0">
    <w:nsid w:val="34B663C6"/>
    <w:multiLevelType w:val="multilevel"/>
    <w:tmpl w:val="0ADAAFC2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95" w:hanging="79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6" w15:restartNumberingAfterBreak="0">
    <w:nsid w:val="3C8B528D"/>
    <w:multiLevelType w:val="multilevel"/>
    <w:tmpl w:val="73A6291C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7" w15:restartNumberingAfterBreak="0">
    <w:nsid w:val="456D1A15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8" w15:restartNumberingAfterBreak="0">
    <w:nsid w:val="457B3787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9" w15:restartNumberingAfterBreak="0">
    <w:nsid w:val="4753791B"/>
    <w:multiLevelType w:val="multilevel"/>
    <w:tmpl w:val="877883B4"/>
    <w:lvl w:ilvl="0">
      <w:start w:val="1"/>
      <w:numFmt w:val="none"/>
      <w:suff w:val="nothing"/>
      <w:lvlText w:val="%1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68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38" w:hanging="85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734"/>
        </w:tabs>
        <w:ind w:left="573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094"/>
        </w:tabs>
        <w:ind w:left="60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54"/>
        </w:tabs>
        <w:ind w:left="64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814"/>
        </w:tabs>
        <w:ind w:left="6814" w:hanging="360"/>
      </w:pPr>
      <w:rPr>
        <w:rFonts w:hint="default"/>
      </w:rPr>
    </w:lvl>
  </w:abstractNum>
  <w:abstractNum w:abstractNumId="10" w15:restartNumberingAfterBreak="0">
    <w:nsid w:val="51C253C0"/>
    <w:multiLevelType w:val="hybridMultilevel"/>
    <w:tmpl w:val="13D65CB8"/>
    <w:lvl w:ilvl="0" w:tplc="720EEE64">
      <w:start w:val="1"/>
      <w:numFmt w:val="decimal"/>
      <w:lvlText w:val="%1."/>
      <w:lvlJc w:val="left"/>
      <w:pPr>
        <w:tabs>
          <w:tab w:val="num" w:pos="417"/>
        </w:tabs>
        <w:ind w:left="227" w:hanging="170"/>
      </w:pPr>
      <w:rPr>
        <w:rFonts w:ascii="Arial Narrow" w:hAnsi="Arial Narrow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AE1202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62F52077"/>
    <w:multiLevelType w:val="multilevel"/>
    <w:tmpl w:val="04348EB6"/>
    <w:lvl w:ilvl="0">
      <w:start w:val="1"/>
      <w:numFmt w:val="decimal"/>
      <w:suff w:val="space"/>
      <w:lvlText w:val="%1."/>
      <w:lvlJc w:val="left"/>
      <w:pPr>
        <w:ind w:left="1021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37"/>
        </w:tabs>
        <w:ind w:left="1529" w:hanging="432"/>
      </w:pPr>
      <w:rPr>
        <w:rFonts w:hint="default"/>
      </w:rPr>
    </w:lvl>
    <w:lvl w:ilvl="2">
      <w:start w:val="1"/>
      <w:numFmt w:val="none"/>
      <w:suff w:val="space"/>
      <w:lvlText w:val="%21."/>
      <w:lvlJc w:val="left"/>
      <w:pPr>
        <w:ind w:left="102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37"/>
        </w:tabs>
        <w:ind w:left="24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7"/>
        </w:tabs>
        <w:ind w:left="29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37"/>
        </w:tabs>
        <w:ind w:left="34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57"/>
        </w:tabs>
        <w:ind w:left="39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37"/>
        </w:tabs>
        <w:ind w:left="44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57"/>
        </w:tabs>
        <w:ind w:left="5057" w:hanging="1440"/>
      </w:pPr>
      <w:rPr>
        <w:rFonts w:hint="default"/>
      </w:rPr>
    </w:lvl>
  </w:abstractNum>
  <w:abstractNum w:abstractNumId="13" w15:restartNumberingAfterBreak="0">
    <w:nsid w:val="6716730C"/>
    <w:multiLevelType w:val="multilevel"/>
    <w:tmpl w:val="EEE8EEA8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14" w15:restartNumberingAfterBreak="0">
    <w:nsid w:val="6BD87936"/>
    <w:multiLevelType w:val="hybridMultilevel"/>
    <w:tmpl w:val="538CB62E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7">
      <w:start w:val="1"/>
      <w:numFmt w:val="lowerLetter"/>
      <w:lvlText w:val="%2)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D8A18E4"/>
    <w:multiLevelType w:val="multilevel"/>
    <w:tmpl w:val="43766198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304" w:hanging="28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778" w:hanging="69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16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2705AA"/>
    <w:multiLevelType w:val="hybridMultilevel"/>
    <w:tmpl w:val="062ACA90"/>
    <w:lvl w:ilvl="0" w:tplc="95A08756">
      <w:start w:val="1"/>
      <w:numFmt w:val="decimal"/>
      <w:lvlText w:val="%1."/>
      <w:lvlJc w:val="left"/>
      <w:pPr>
        <w:tabs>
          <w:tab w:val="num" w:pos="1457"/>
        </w:tabs>
        <w:ind w:left="145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18" w15:restartNumberingAfterBreak="0">
    <w:nsid w:val="768B1575"/>
    <w:multiLevelType w:val="multilevel"/>
    <w:tmpl w:val="E378305A"/>
    <w:lvl w:ilvl="0">
      <w:start w:val="1"/>
      <w:numFmt w:val="none"/>
      <w:suff w:val="nothing"/>
      <w:lvlText w:val="%1"/>
      <w:lvlJc w:val="left"/>
      <w:pPr>
        <w:ind w:left="2098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84" w:firstLine="62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1418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934"/>
        </w:tabs>
        <w:ind w:left="39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294"/>
        </w:tabs>
        <w:ind w:left="42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654"/>
        </w:tabs>
        <w:ind w:left="46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734"/>
        </w:tabs>
        <w:ind w:left="5734" w:hanging="360"/>
      </w:pPr>
      <w:rPr>
        <w:rFonts w:hint="default"/>
      </w:rPr>
    </w:lvl>
  </w:abstractNum>
  <w:abstractNum w:abstractNumId="19" w15:restartNumberingAfterBreak="0">
    <w:nsid w:val="79520E18"/>
    <w:multiLevelType w:val="multilevel"/>
    <w:tmpl w:val="1EE6C56A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20" w15:restartNumberingAfterBreak="0">
    <w:nsid w:val="7959180D"/>
    <w:multiLevelType w:val="hybridMultilevel"/>
    <w:tmpl w:val="25B4D992"/>
    <w:lvl w:ilvl="0" w:tplc="5C8AB6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3"/>
  </w:num>
  <w:num w:numId="7">
    <w:abstractNumId w:val="0"/>
  </w:num>
  <w:num w:numId="8">
    <w:abstractNumId w:val="0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15"/>
  </w:num>
  <w:num w:numId="14">
    <w:abstractNumId w:val="0"/>
  </w:num>
  <w:num w:numId="15">
    <w:abstractNumId w:val="15"/>
  </w:num>
  <w:num w:numId="16">
    <w:abstractNumId w:val="18"/>
  </w:num>
  <w:num w:numId="17">
    <w:abstractNumId w:val="18"/>
  </w:num>
  <w:num w:numId="18">
    <w:abstractNumId w:val="0"/>
  </w:num>
  <w:num w:numId="19">
    <w:abstractNumId w:val="9"/>
  </w:num>
  <w:num w:numId="20">
    <w:abstractNumId w:val="19"/>
  </w:num>
  <w:num w:numId="21">
    <w:abstractNumId w:val="13"/>
  </w:num>
  <w:num w:numId="22">
    <w:abstractNumId w:val="17"/>
  </w:num>
  <w:num w:numId="23">
    <w:abstractNumId w:val="6"/>
  </w:num>
  <w:num w:numId="24">
    <w:abstractNumId w:val="10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20"/>
  </w:num>
  <w:num w:numId="33">
    <w:abstractNumId w:val="7"/>
  </w:num>
  <w:num w:numId="34">
    <w:abstractNumId w:val="11"/>
  </w:num>
  <w:num w:numId="35">
    <w:abstractNumId w:val="14"/>
  </w:num>
  <w:num w:numId="36">
    <w:abstractNumId w:val="8"/>
  </w:num>
  <w:num w:numId="37">
    <w:abstractNumId w:val="1"/>
  </w:num>
  <w:num w:numId="38">
    <w:abstractNumId w:val="4"/>
  </w:num>
  <w:num w:numId="39">
    <w:abstractNumId w:val="2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B37"/>
    <w:rsid w:val="000463EA"/>
    <w:rsid w:val="002855B8"/>
    <w:rsid w:val="002916D7"/>
    <w:rsid w:val="002976D3"/>
    <w:rsid w:val="002A02F8"/>
    <w:rsid w:val="002D248F"/>
    <w:rsid w:val="0030655C"/>
    <w:rsid w:val="0035061A"/>
    <w:rsid w:val="0035409E"/>
    <w:rsid w:val="0038682F"/>
    <w:rsid w:val="003B01A7"/>
    <w:rsid w:val="00446908"/>
    <w:rsid w:val="00491A98"/>
    <w:rsid w:val="00497580"/>
    <w:rsid w:val="004B345D"/>
    <w:rsid w:val="004D05B9"/>
    <w:rsid w:val="005147B1"/>
    <w:rsid w:val="00567F95"/>
    <w:rsid w:val="00583D86"/>
    <w:rsid w:val="005B5498"/>
    <w:rsid w:val="0063587D"/>
    <w:rsid w:val="006412CB"/>
    <w:rsid w:val="00654C9F"/>
    <w:rsid w:val="006A138E"/>
    <w:rsid w:val="006A49DB"/>
    <w:rsid w:val="006E709B"/>
    <w:rsid w:val="006F67C2"/>
    <w:rsid w:val="00715F30"/>
    <w:rsid w:val="00745722"/>
    <w:rsid w:val="00761E60"/>
    <w:rsid w:val="00806AA0"/>
    <w:rsid w:val="00835A59"/>
    <w:rsid w:val="00851DAC"/>
    <w:rsid w:val="00871007"/>
    <w:rsid w:val="00874495"/>
    <w:rsid w:val="0091708A"/>
    <w:rsid w:val="00937B15"/>
    <w:rsid w:val="00987DDB"/>
    <w:rsid w:val="009B6025"/>
    <w:rsid w:val="009D4079"/>
    <w:rsid w:val="009E266E"/>
    <w:rsid w:val="00A150DE"/>
    <w:rsid w:val="00A27E63"/>
    <w:rsid w:val="00A83C96"/>
    <w:rsid w:val="00A847D1"/>
    <w:rsid w:val="00AB3665"/>
    <w:rsid w:val="00AD6DD9"/>
    <w:rsid w:val="00B16B37"/>
    <w:rsid w:val="00B23CAB"/>
    <w:rsid w:val="00B56560"/>
    <w:rsid w:val="00B87A42"/>
    <w:rsid w:val="00B90C9C"/>
    <w:rsid w:val="00BA2043"/>
    <w:rsid w:val="00C65BB5"/>
    <w:rsid w:val="00C80156"/>
    <w:rsid w:val="00CA5418"/>
    <w:rsid w:val="00CC589A"/>
    <w:rsid w:val="00CC607C"/>
    <w:rsid w:val="00D17BA4"/>
    <w:rsid w:val="00DA10BD"/>
    <w:rsid w:val="00DD4CE8"/>
    <w:rsid w:val="00DF0D49"/>
    <w:rsid w:val="00E14FC9"/>
    <w:rsid w:val="00E37E7F"/>
    <w:rsid w:val="00E5607F"/>
    <w:rsid w:val="00E97D37"/>
    <w:rsid w:val="00EA4BD7"/>
    <w:rsid w:val="00ED4BB3"/>
    <w:rsid w:val="00F32361"/>
    <w:rsid w:val="00F509E1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412CB"/>
    <w:rPr>
      <w:sz w:val="24"/>
      <w:szCs w:val="24"/>
    </w:rPr>
  </w:style>
  <w:style w:type="paragraph" w:styleId="Nadpis1">
    <w:name w:val="heading 1"/>
    <w:basedOn w:val="Normln"/>
    <w:next w:val="Nadpis3"/>
    <w:qFormat/>
    <w:pPr>
      <w:keepNext/>
      <w:tabs>
        <w:tab w:val="left" w:pos="320"/>
      </w:tabs>
      <w:spacing w:before="240" w:after="60" w:line="480" w:lineRule="auto"/>
      <w:jc w:val="center"/>
      <w:outlineLvl w:val="0"/>
    </w:pPr>
    <w:rPr>
      <w:rFonts w:ascii="Arial" w:hAnsi="Arial" w:cs="Arial"/>
      <w:b/>
      <w:bCs/>
      <w:smallCaps/>
      <w:spacing w:val="80"/>
      <w:kern w:val="32"/>
      <w:sz w:val="32"/>
      <w:szCs w:val="32"/>
    </w:rPr>
  </w:style>
  <w:style w:type="paragraph" w:styleId="Nadpis3">
    <w:name w:val="heading 3"/>
    <w:basedOn w:val="Normln"/>
    <w:next w:val="Normln"/>
    <w:autoRedefine/>
    <w:qFormat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odstavec">
    <w:name w:val="Běžný odstavec"/>
    <w:basedOn w:val="Normln"/>
    <w:autoRedefine/>
    <w:rsid w:val="006412CB"/>
    <w:pPr>
      <w:tabs>
        <w:tab w:val="left" w:pos="1440"/>
        <w:tab w:val="left" w:pos="6300"/>
      </w:tabs>
      <w:spacing w:before="120" w:after="120"/>
    </w:pPr>
    <w:rPr>
      <w:szCs w:val="20"/>
    </w:rPr>
  </w:style>
  <w:style w:type="paragraph" w:customStyle="1" w:styleId="Bodyukld">
    <w:name w:val="Body ukládá"/>
    <w:basedOn w:val="Normln"/>
    <w:pPr>
      <w:numPr>
        <w:numId w:val="1"/>
      </w:numPr>
    </w:pPr>
    <w:rPr>
      <w:szCs w:val="20"/>
    </w:rPr>
  </w:style>
  <w:style w:type="paragraph" w:customStyle="1" w:styleId="Kbodu">
    <w:name w:val="K bodu"/>
    <w:basedOn w:val="Normln"/>
    <w:autoRedefine/>
    <w:rsid w:val="006412CB"/>
    <w:pPr>
      <w:tabs>
        <w:tab w:val="left" w:pos="1620"/>
      </w:tabs>
      <w:ind w:left="907"/>
    </w:pPr>
    <w:rPr>
      <w:b/>
      <w:szCs w:val="20"/>
    </w:rPr>
  </w:style>
  <w:style w:type="paragraph" w:styleId="Obsah1">
    <w:name w:val="toc 1"/>
    <w:basedOn w:val="Normln"/>
    <w:next w:val="Normln"/>
    <w:semiHidden/>
    <w:pPr>
      <w:ind w:left="900" w:hanging="900"/>
    </w:pPr>
    <w:rPr>
      <w:b/>
      <w:szCs w:val="20"/>
    </w:rPr>
  </w:style>
  <w:style w:type="paragraph" w:customStyle="1" w:styleId="Schvuk">
    <w:name w:val="Schv_uk_"/>
    <w:basedOn w:val="Normln"/>
    <w:next w:val="Normln"/>
    <w:autoRedefine/>
    <w:rsid w:val="006412CB"/>
    <w:pPr>
      <w:numPr>
        <w:ilvl w:val="1"/>
        <w:numId w:val="31"/>
      </w:numPr>
      <w:tabs>
        <w:tab w:val="left" w:pos="567"/>
      </w:tabs>
      <w:spacing w:before="120"/>
    </w:pPr>
    <w:rPr>
      <w:b/>
      <w:spacing w:val="80"/>
      <w:szCs w:val="20"/>
    </w:rPr>
  </w:style>
  <w:style w:type="paragraph" w:customStyle="1" w:styleId="odstavecsslovnm">
    <w:name w:val="odstavec s číslováním"/>
    <w:basedOn w:val="Normln"/>
    <w:autoRedefine/>
    <w:rsid w:val="002A02F8"/>
    <w:pPr>
      <w:numPr>
        <w:ilvl w:val="2"/>
        <w:numId w:val="31"/>
      </w:numPr>
      <w:tabs>
        <w:tab w:val="left" w:pos="540"/>
        <w:tab w:val="left" w:pos="720"/>
        <w:tab w:val="left" w:pos="1080"/>
      </w:tabs>
    </w:pPr>
    <w:rPr>
      <w:szCs w:val="20"/>
    </w:rPr>
  </w:style>
  <w:style w:type="paragraph" w:customStyle="1" w:styleId="Kbodu-text">
    <w:name w:val="K bodu-text"/>
    <w:basedOn w:val="Kbodu"/>
    <w:next w:val="Kbodu"/>
    <w:autoRedefine/>
    <w:rsid w:val="006412CB"/>
    <w:pPr>
      <w:suppressAutoHyphens/>
      <w:spacing w:before="240"/>
      <w:ind w:left="902" w:hanging="902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autoRedefine/>
    <w:pPr>
      <w:tabs>
        <w:tab w:val="center" w:pos="4536"/>
        <w:tab w:val="right" w:pos="9072"/>
      </w:tabs>
    </w:pPr>
    <w:rPr>
      <w:bCs/>
      <w:noProof/>
      <w:sz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customStyle="1" w:styleId="slovn21">
    <w:name w:val="číslování2(1.)"/>
    <w:basedOn w:val="Normln"/>
    <w:autoRedefine/>
    <w:rsid w:val="00567F95"/>
    <w:pPr>
      <w:numPr>
        <w:ilvl w:val="3"/>
        <w:numId w:val="31"/>
      </w:numPr>
      <w:tabs>
        <w:tab w:val="left" w:pos="720"/>
      </w:tabs>
    </w:pPr>
    <w:rPr>
      <w:szCs w:val="20"/>
    </w:rPr>
  </w:style>
  <w:style w:type="paragraph" w:customStyle="1" w:styleId="slovn3a">
    <w:name w:val="číslování3(a))"/>
    <w:basedOn w:val="slovn21"/>
    <w:autoRedefine/>
    <w:rsid w:val="00567F95"/>
    <w:pPr>
      <w:numPr>
        <w:ilvl w:val="4"/>
      </w:numPr>
    </w:pPr>
  </w:style>
  <w:style w:type="character" w:styleId="slostrnky">
    <w:name w:val="page number"/>
    <w:basedOn w:val="Standardnpsmoodstavce"/>
  </w:style>
  <w:style w:type="paragraph" w:customStyle="1" w:styleId="StylPed12b">
    <w:name w:val="Styl Před:  12 b."/>
    <w:basedOn w:val="Normln"/>
    <w:rsid w:val="006412CB"/>
    <w:pPr>
      <w:spacing w:before="240"/>
    </w:pPr>
    <w:rPr>
      <w:szCs w:val="20"/>
    </w:rPr>
  </w:style>
  <w:style w:type="paragraph" w:customStyle="1" w:styleId="StylPed6bZa6b">
    <w:name w:val="Styl Před:  6 b. Za:  6 b."/>
    <w:basedOn w:val="Normln"/>
    <w:rsid w:val="006412CB"/>
    <w:pPr>
      <w:spacing w:before="120" w:after="120"/>
    </w:pPr>
    <w:rPr>
      <w:szCs w:val="20"/>
    </w:rPr>
  </w:style>
  <w:style w:type="paragraph" w:styleId="Textbubliny">
    <w:name w:val="Balloon Text"/>
    <w:basedOn w:val="Normln"/>
    <w:link w:val="TextbublinyChar"/>
    <w:rsid w:val="003868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8682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1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1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ok&#225;ln&#237;%20&#250;lo&#382;i&#353;t&#283;\&#352;ablony%20a%20vzory\Materi&#225;l%20do%20RM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do RM</Template>
  <TotalTime>0</TotalTime>
  <Pages>1</Pages>
  <Words>703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2016-11-21T08:15:00Z</dcterms:created>
  <dcterms:modified xsi:type="dcterms:W3CDTF">2016-11-29T08:20:00Z</dcterms:modified>
</cp:coreProperties>
</file>