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4A3" w:rsidRPr="00AB3CA9" w:rsidRDefault="005C25D3" w:rsidP="005C25D3">
      <w:pPr>
        <w:jc w:val="center"/>
        <w:rPr>
          <w:rFonts w:cstheme="minorHAnsi"/>
          <w:b/>
          <w:sz w:val="24"/>
          <w:szCs w:val="24"/>
        </w:rPr>
      </w:pPr>
      <w:r w:rsidRPr="00AB3CA9">
        <w:rPr>
          <w:rFonts w:cstheme="minorHAnsi"/>
          <w:b/>
          <w:sz w:val="24"/>
          <w:szCs w:val="24"/>
        </w:rPr>
        <w:t>Důvodová zpráva</w:t>
      </w:r>
    </w:p>
    <w:p w:rsidR="004D57C7" w:rsidRDefault="004D57C7" w:rsidP="00D20FE0">
      <w:pPr>
        <w:spacing w:line="360" w:lineRule="auto"/>
        <w:jc w:val="both"/>
        <w:rPr>
          <w:rFonts w:cstheme="minorHAnsi"/>
          <w:sz w:val="24"/>
          <w:szCs w:val="24"/>
        </w:rPr>
      </w:pPr>
      <w:r>
        <w:rPr>
          <w:rFonts w:cstheme="minorHAnsi"/>
          <w:sz w:val="24"/>
          <w:szCs w:val="24"/>
        </w:rPr>
        <w:t>Od roku 2012 je pravidelně finančně podporována terénní hospicová péče pro občany města České Budějovice. V letech 2012 a 2013 tuto službu zajišťovaly dvě organizace – Městská charita České Budějovice a společnost Ledax, o.p.s. Obě tyto organizace poskytují zároveň i ošetřovatelskou službu, pečovatelskou službu a osobní asistenci, kdy se tyto služby vzájemně doplňují. Se zdravotní pojišťovnou má uzavřenou smlouvu na poskytování terénní hospicové péče pouze Městská charita České Budějovice. Společnosti Ledax se tuto smlouvu nepodařilo uzavřít, proto se rozhodla v roce 2014 tuto službu již nenabízet a o dotaci nežádat.</w:t>
      </w:r>
    </w:p>
    <w:p w:rsidR="00B54036" w:rsidRDefault="00B54036" w:rsidP="0069646D">
      <w:pPr>
        <w:spacing w:line="360" w:lineRule="auto"/>
        <w:jc w:val="both"/>
        <w:rPr>
          <w:rFonts w:cstheme="minorHAnsi"/>
          <w:sz w:val="24"/>
          <w:szCs w:val="24"/>
        </w:rPr>
      </w:pPr>
      <w:r>
        <w:rPr>
          <w:rFonts w:cstheme="minorHAnsi"/>
          <w:sz w:val="24"/>
          <w:szCs w:val="24"/>
        </w:rPr>
        <w:t xml:space="preserve">V I. pololetí 2014 byla </w:t>
      </w:r>
      <w:r w:rsidR="004D57C7">
        <w:rPr>
          <w:rFonts w:cstheme="minorHAnsi"/>
          <w:sz w:val="24"/>
          <w:szCs w:val="24"/>
        </w:rPr>
        <w:t xml:space="preserve">tak na základě žádosti podpořena pouze Městská charita České Budějovice částkou </w:t>
      </w:r>
      <w:r>
        <w:rPr>
          <w:rFonts w:cstheme="minorHAnsi"/>
          <w:sz w:val="24"/>
          <w:szCs w:val="24"/>
        </w:rPr>
        <w:t xml:space="preserve">250 tis. Kč. </w:t>
      </w:r>
      <w:r w:rsidR="004D57C7">
        <w:rPr>
          <w:rFonts w:cstheme="minorHAnsi"/>
          <w:sz w:val="24"/>
          <w:szCs w:val="24"/>
        </w:rPr>
        <w:t>Na II. pololetí pak požádala o částku 350 tis. Kč.</w:t>
      </w:r>
    </w:p>
    <w:p w:rsidR="0069646D" w:rsidRDefault="00A54B0F" w:rsidP="0069646D">
      <w:pPr>
        <w:spacing w:line="360" w:lineRule="auto"/>
        <w:jc w:val="both"/>
        <w:rPr>
          <w:rFonts w:cstheme="minorHAnsi"/>
          <w:sz w:val="24"/>
          <w:szCs w:val="24"/>
        </w:rPr>
      </w:pPr>
      <w:r w:rsidRPr="00B54036">
        <w:rPr>
          <w:rFonts w:cstheme="minorHAnsi"/>
          <w:sz w:val="24"/>
          <w:szCs w:val="24"/>
        </w:rPr>
        <w:t>Celková alokovaná částka pro rok 201</w:t>
      </w:r>
      <w:r w:rsidR="00D20FE0" w:rsidRPr="00B54036">
        <w:rPr>
          <w:rFonts w:cstheme="minorHAnsi"/>
          <w:sz w:val="24"/>
          <w:szCs w:val="24"/>
        </w:rPr>
        <w:t>4</w:t>
      </w:r>
      <w:r w:rsidRPr="00B54036">
        <w:rPr>
          <w:rFonts w:cstheme="minorHAnsi"/>
          <w:sz w:val="24"/>
          <w:szCs w:val="24"/>
        </w:rPr>
        <w:t xml:space="preserve"> na podporu terénní hospicové péče činí </w:t>
      </w:r>
      <w:r w:rsidR="00D20FE0" w:rsidRPr="00B54036">
        <w:rPr>
          <w:rFonts w:cstheme="minorHAnsi"/>
          <w:sz w:val="24"/>
          <w:szCs w:val="24"/>
        </w:rPr>
        <w:t>8</w:t>
      </w:r>
      <w:r w:rsidRPr="00B54036">
        <w:rPr>
          <w:rFonts w:cstheme="minorHAnsi"/>
          <w:sz w:val="24"/>
          <w:szCs w:val="24"/>
        </w:rPr>
        <w:t xml:space="preserve">00 tis. Kč (odpovědné místo 106, </w:t>
      </w:r>
      <w:r w:rsidR="00F12EDD" w:rsidRPr="00B54036">
        <w:rPr>
          <w:rFonts w:cstheme="minorHAnsi"/>
          <w:sz w:val="24"/>
          <w:szCs w:val="24"/>
        </w:rPr>
        <w:t>akce 3337, položka 5901, § 3545)</w:t>
      </w:r>
      <w:r w:rsidR="00DF7655" w:rsidRPr="00B54036">
        <w:rPr>
          <w:rFonts w:cstheme="minorHAnsi"/>
          <w:sz w:val="24"/>
          <w:szCs w:val="24"/>
        </w:rPr>
        <w:t xml:space="preserve">. </w:t>
      </w:r>
    </w:p>
    <w:p w:rsidR="008B0AAC" w:rsidRPr="008B0AAC" w:rsidRDefault="008B0AAC" w:rsidP="008B0AAC">
      <w:pPr>
        <w:spacing w:after="0" w:line="360" w:lineRule="auto"/>
        <w:jc w:val="both"/>
        <w:rPr>
          <w:rFonts w:ascii="Calibri" w:eastAsia="Times New Roman" w:hAnsi="Calibri" w:cs="Calibri"/>
          <w:sz w:val="24"/>
          <w:szCs w:val="24"/>
          <w:lang w:eastAsia="cs-CZ"/>
        </w:rPr>
      </w:pPr>
      <w:r w:rsidRPr="008B0AAC">
        <w:rPr>
          <w:rFonts w:ascii="Calibri" w:eastAsia="Times New Roman" w:hAnsi="Calibri" w:cs="Calibri"/>
          <w:sz w:val="24"/>
          <w:szCs w:val="24"/>
          <w:lang w:eastAsia="cs-CZ"/>
        </w:rPr>
        <w:t xml:space="preserve">Vzhledem k tomu, že poskytnutím dotace na zajištění </w:t>
      </w:r>
      <w:r>
        <w:rPr>
          <w:rFonts w:ascii="Calibri" w:eastAsia="Times New Roman" w:hAnsi="Calibri" w:cs="Calibri"/>
          <w:sz w:val="24"/>
          <w:szCs w:val="24"/>
          <w:lang w:eastAsia="cs-CZ"/>
        </w:rPr>
        <w:t>terénní hospicové péče</w:t>
      </w:r>
      <w:r w:rsidRPr="008B0AAC">
        <w:rPr>
          <w:rFonts w:ascii="Calibri" w:eastAsia="Times New Roman" w:hAnsi="Calibri" w:cs="Calibri"/>
          <w:sz w:val="24"/>
          <w:szCs w:val="24"/>
          <w:lang w:eastAsia="cs-CZ"/>
        </w:rPr>
        <w:t xml:space="preserve"> by mohlo dojít k veřejné podpoře těchto organizací, byl poskytovatel této služby pověřen poskytováním služeb obecně hospodářského zájmu, respektive služeb sociálního charakteru spočívajícího v poskytování </w:t>
      </w:r>
      <w:r w:rsidR="000F14C4">
        <w:rPr>
          <w:rFonts w:ascii="Calibri" w:eastAsia="Times New Roman" w:hAnsi="Calibri" w:cs="Calibri"/>
          <w:sz w:val="24"/>
          <w:szCs w:val="24"/>
          <w:lang w:eastAsia="cs-CZ"/>
        </w:rPr>
        <w:t>terénní hospicové péče</w:t>
      </w:r>
      <w:r w:rsidRPr="008B0AAC">
        <w:rPr>
          <w:rFonts w:ascii="Calibri" w:eastAsia="Times New Roman" w:hAnsi="Calibri" w:cs="Calibri"/>
          <w:sz w:val="24"/>
          <w:szCs w:val="24"/>
          <w:lang w:eastAsia="cs-CZ"/>
        </w:rPr>
        <w:t xml:space="preserve"> obyvatelům města České Budějovice pro rok 2014 usnesením rady města č. </w:t>
      </w:r>
      <w:r>
        <w:rPr>
          <w:rFonts w:ascii="Calibri" w:eastAsia="Times New Roman" w:hAnsi="Calibri" w:cs="Calibri"/>
          <w:sz w:val="24"/>
          <w:szCs w:val="24"/>
          <w:lang w:eastAsia="cs-CZ"/>
        </w:rPr>
        <w:t>276</w:t>
      </w:r>
      <w:r w:rsidRPr="008B0AAC">
        <w:rPr>
          <w:rFonts w:ascii="Calibri" w:eastAsia="Times New Roman" w:hAnsi="Calibri" w:cs="Calibri"/>
          <w:sz w:val="24"/>
          <w:szCs w:val="24"/>
          <w:lang w:eastAsia="cs-CZ"/>
        </w:rPr>
        <w:t>/2014 ze dne 12. 02. 2014.</w:t>
      </w:r>
    </w:p>
    <w:p w:rsidR="004D57C7" w:rsidRPr="00B54036" w:rsidRDefault="004D57C7" w:rsidP="0069646D">
      <w:pPr>
        <w:spacing w:line="360" w:lineRule="auto"/>
        <w:jc w:val="both"/>
        <w:rPr>
          <w:rFonts w:cstheme="minorHAnsi"/>
          <w:sz w:val="24"/>
          <w:szCs w:val="24"/>
        </w:rPr>
      </w:pPr>
      <w:r>
        <w:rPr>
          <w:rFonts w:cstheme="minorHAnsi"/>
          <w:sz w:val="24"/>
          <w:szCs w:val="24"/>
        </w:rPr>
        <w:t>Návrh na výši dotac</w:t>
      </w:r>
      <w:r w:rsidR="00B56FB9">
        <w:rPr>
          <w:rFonts w:cstheme="minorHAnsi"/>
          <w:sz w:val="24"/>
          <w:szCs w:val="24"/>
        </w:rPr>
        <w:t>i byl projednán sociální komisí a radou města dne 11. června 2014, která usnesením č. 11</w:t>
      </w:r>
      <w:r w:rsidR="00AE596D">
        <w:rPr>
          <w:rFonts w:cstheme="minorHAnsi"/>
          <w:sz w:val="24"/>
          <w:szCs w:val="24"/>
        </w:rPr>
        <w:t>20</w:t>
      </w:r>
      <w:bookmarkStart w:id="0" w:name="_GoBack"/>
      <w:bookmarkEnd w:id="0"/>
      <w:r w:rsidR="00B56FB9">
        <w:rPr>
          <w:rFonts w:cstheme="minorHAnsi"/>
          <w:sz w:val="24"/>
          <w:szCs w:val="24"/>
        </w:rPr>
        <w:t>/2014 doporučuje zastupitelstvu města navrženou dotaci schválit.</w:t>
      </w:r>
    </w:p>
    <w:p w:rsidR="00822143" w:rsidRPr="00B54036" w:rsidRDefault="00822143" w:rsidP="009269F6">
      <w:pPr>
        <w:spacing w:after="0" w:line="360" w:lineRule="auto"/>
        <w:ind w:firstLine="708"/>
        <w:jc w:val="both"/>
        <w:rPr>
          <w:rFonts w:eastAsia="Times New Roman" w:cstheme="minorHAnsi"/>
          <w:sz w:val="24"/>
          <w:szCs w:val="24"/>
          <w:lang w:eastAsia="cs-CZ"/>
        </w:rPr>
      </w:pPr>
    </w:p>
    <w:tbl>
      <w:tblPr>
        <w:tblStyle w:val="Mkatabulky"/>
        <w:tblW w:w="0" w:type="auto"/>
        <w:tblLook w:val="04A0" w:firstRow="1" w:lastRow="0" w:firstColumn="1" w:lastColumn="0" w:noHBand="0" w:noVBand="1"/>
      </w:tblPr>
      <w:tblGrid>
        <w:gridCol w:w="2093"/>
        <w:gridCol w:w="1559"/>
        <w:gridCol w:w="1874"/>
        <w:gridCol w:w="1670"/>
        <w:gridCol w:w="2016"/>
      </w:tblGrid>
      <w:tr w:rsidR="00185CCE" w:rsidRPr="00B54036" w:rsidTr="00185CCE">
        <w:tc>
          <w:tcPr>
            <w:tcW w:w="2093" w:type="dxa"/>
            <w:shd w:val="clear" w:color="auto" w:fill="D9D9D9" w:themeFill="background1" w:themeFillShade="D9"/>
          </w:tcPr>
          <w:p w:rsidR="00185CCE" w:rsidRPr="00B54036" w:rsidRDefault="00185CCE" w:rsidP="00822143">
            <w:pPr>
              <w:spacing w:line="360" w:lineRule="auto"/>
              <w:jc w:val="both"/>
              <w:rPr>
                <w:rFonts w:eastAsia="Times New Roman" w:cstheme="minorHAnsi"/>
                <w:i/>
                <w:sz w:val="24"/>
                <w:szCs w:val="24"/>
                <w:lang w:eastAsia="cs-CZ"/>
              </w:rPr>
            </w:pPr>
            <w:r w:rsidRPr="00B54036">
              <w:rPr>
                <w:rFonts w:eastAsia="Times New Roman" w:cstheme="minorHAnsi"/>
                <w:i/>
                <w:sz w:val="24"/>
                <w:szCs w:val="24"/>
                <w:lang w:eastAsia="cs-CZ"/>
              </w:rPr>
              <w:t>žadatel</w:t>
            </w:r>
          </w:p>
        </w:tc>
        <w:tc>
          <w:tcPr>
            <w:tcW w:w="1559" w:type="dxa"/>
            <w:shd w:val="clear" w:color="auto" w:fill="D9D9D9" w:themeFill="background1" w:themeFillShade="D9"/>
          </w:tcPr>
          <w:p w:rsidR="00185CCE" w:rsidRPr="00B54036" w:rsidRDefault="00185CCE" w:rsidP="00B54036">
            <w:pPr>
              <w:spacing w:line="360" w:lineRule="auto"/>
              <w:rPr>
                <w:rFonts w:eastAsia="Times New Roman" w:cstheme="minorHAnsi"/>
                <w:i/>
                <w:sz w:val="24"/>
                <w:szCs w:val="24"/>
                <w:lang w:eastAsia="cs-CZ"/>
              </w:rPr>
            </w:pPr>
            <w:r w:rsidRPr="00B54036">
              <w:rPr>
                <w:rFonts w:eastAsia="Times New Roman" w:cstheme="minorHAnsi"/>
                <w:i/>
                <w:sz w:val="24"/>
                <w:szCs w:val="24"/>
                <w:lang w:eastAsia="cs-CZ"/>
              </w:rPr>
              <w:t xml:space="preserve">Klienti </w:t>
            </w:r>
            <w:r w:rsidR="00B54036">
              <w:rPr>
                <w:rFonts w:eastAsia="Times New Roman" w:cstheme="minorHAnsi"/>
                <w:i/>
                <w:sz w:val="24"/>
                <w:szCs w:val="24"/>
                <w:lang w:eastAsia="cs-CZ"/>
              </w:rPr>
              <w:t>I. pololetí 2014</w:t>
            </w:r>
          </w:p>
        </w:tc>
        <w:tc>
          <w:tcPr>
            <w:tcW w:w="1874" w:type="dxa"/>
            <w:shd w:val="clear" w:color="auto" w:fill="D9D9D9" w:themeFill="background1" w:themeFillShade="D9"/>
          </w:tcPr>
          <w:p w:rsidR="00185CCE" w:rsidRPr="00B54036" w:rsidRDefault="00185CCE" w:rsidP="00B54036">
            <w:pPr>
              <w:spacing w:line="360" w:lineRule="auto"/>
              <w:rPr>
                <w:rFonts w:eastAsia="Times New Roman" w:cstheme="minorHAnsi"/>
                <w:i/>
                <w:sz w:val="24"/>
                <w:szCs w:val="24"/>
                <w:lang w:eastAsia="cs-CZ"/>
              </w:rPr>
            </w:pPr>
            <w:r w:rsidRPr="00B54036">
              <w:rPr>
                <w:rFonts w:eastAsia="Times New Roman" w:cstheme="minorHAnsi"/>
                <w:i/>
                <w:sz w:val="24"/>
                <w:szCs w:val="24"/>
                <w:lang w:eastAsia="cs-CZ"/>
              </w:rPr>
              <w:t xml:space="preserve">Dotace </w:t>
            </w:r>
            <w:r w:rsidR="00B54036">
              <w:rPr>
                <w:rFonts w:eastAsia="Times New Roman" w:cstheme="minorHAnsi"/>
                <w:i/>
                <w:sz w:val="24"/>
                <w:szCs w:val="24"/>
                <w:lang w:eastAsia="cs-CZ"/>
              </w:rPr>
              <w:t>pro I. pololetí 2014</w:t>
            </w:r>
          </w:p>
        </w:tc>
        <w:tc>
          <w:tcPr>
            <w:tcW w:w="1670" w:type="dxa"/>
            <w:shd w:val="clear" w:color="auto" w:fill="D9D9D9" w:themeFill="background1" w:themeFillShade="D9"/>
          </w:tcPr>
          <w:p w:rsidR="00185CCE" w:rsidRPr="00B54036" w:rsidRDefault="00B54036" w:rsidP="00B54036">
            <w:pPr>
              <w:spacing w:line="360" w:lineRule="auto"/>
              <w:rPr>
                <w:rFonts w:eastAsia="Times New Roman" w:cstheme="minorHAnsi"/>
                <w:i/>
                <w:sz w:val="24"/>
                <w:szCs w:val="24"/>
                <w:lang w:eastAsia="cs-CZ"/>
              </w:rPr>
            </w:pPr>
            <w:r>
              <w:rPr>
                <w:rFonts w:eastAsia="Times New Roman" w:cstheme="minorHAnsi"/>
                <w:i/>
                <w:sz w:val="24"/>
                <w:szCs w:val="24"/>
                <w:lang w:eastAsia="cs-CZ"/>
              </w:rPr>
              <w:t xml:space="preserve">Klienti II. pololetí </w:t>
            </w:r>
            <w:r w:rsidR="00185CCE" w:rsidRPr="00B54036">
              <w:rPr>
                <w:rFonts w:eastAsia="Times New Roman" w:cstheme="minorHAnsi"/>
                <w:i/>
                <w:sz w:val="24"/>
                <w:szCs w:val="24"/>
                <w:lang w:eastAsia="cs-CZ"/>
              </w:rPr>
              <w:t>2014</w:t>
            </w:r>
          </w:p>
        </w:tc>
        <w:tc>
          <w:tcPr>
            <w:tcW w:w="2016" w:type="dxa"/>
            <w:shd w:val="clear" w:color="auto" w:fill="D9D9D9" w:themeFill="background1" w:themeFillShade="D9"/>
          </w:tcPr>
          <w:p w:rsidR="00185CCE" w:rsidRPr="00B54036" w:rsidRDefault="00185CCE" w:rsidP="00B54036">
            <w:pPr>
              <w:spacing w:line="360" w:lineRule="auto"/>
              <w:rPr>
                <w:rFonts w:eastAsia="Times New Roman" w:cstheme="minorHAnsi"/>
                <w:i/>
                <w:sz w:val="24"/>
                <w:szCs w:val="24"/>
                <w:lang w:eastAsia="cs-CZ"/>
              </w:rPr>
            </w:pPr>
            <w:r w:rsidRPr="00B54036">
              <w:rPr>
                <w:rFonts w:eastAsia="Times New Roman" w:cstheme="minorHAnsi"/>
                <w:i/>
                <w:sz w:val="24"/>
                <w:szCs w:val="24"/>
                <w:lang w:eastAsia="cs-CZ"/>
              </w:rPr>
              <w:t xml:space="preserve">Dotace </w:t>
            </w:r>
            <w:r w:rsidR="00B54036">
              <w:rPr>
                <w:rFonts w:eastAsia="Times New Roman" w:cstheme="minorHAnsi"/>
                <w:i/>
                <w:sz w:val="24"/>
                <w:szCs w:val="24"/>
                <w:lang w:eastAsia="cs-CZ"/>
              </w:rPr>
              <w:t xml:space="preserve">II. pololetí </w:t>
            </w:r>
            <w:r w:rsidRPr="00B54036">
              <w:rPr>
                <w:rFonts w:eastAsia="Times New Roman" w:cstheme="minorHAnsi"/>
                <w:i/>
                <w:sz w:val="24"/>
                <w:szCs w:val="24"/>
                <w:lang w:eastAsia="cs-CZ"/>
              </w:rPr>
              <w:t>2014</w:t>
            </w:r>
          </w:p>
        </w:tc>
      </w:tr>
      <w:tr w:rsidR="00185CCE" w:rsidRPr="00B54036" w:rsidTr="00185CCE">
        <w:tc>
          <w:tcPr>
            <w:tcW w:w="2093" w:type="dxa"/>
          </w:tcPr>
          <w:p w:rsidR="00185CCE" w:rsidRPr="00B54036" w:rsidRDefault="00185CCE" w:rsidP="00822143">
            <w:pPr>
              <w:spacing w:line="360" w:lineRule="auto"/>
              <w:jc w:val="both"/>
              <w:rPr>
                <w:rFonts w:eastAsia="Times New Roman" w:cstheme="minorHAnsi"/>
                <w:sz w:val="24"/>
                <w:szCs w:val="24"/>
                <w:lang w:eastAsia="cs-CZ"/>
              </w:rPr>
            </w:pPr>
            <w:r w:rsidRPr="00B54036">
              <w:rPr>
                <w:rFonts w:eastAsia="Times New Roman" w:cstheme="minorHAnsi"/>
                <w:sz w:val="24"/>
                <w:szCs w:val="24"/>
                <w:lang w:eastAsia="cs-CZ"/>
              </w:rPr>
              <w:t>Městská charita České Budějovice</w:t>
            </w:r>
          </w:p>
        </w:tc>
        <w:tc>
          <w:tcPr>
            <w:tcW w:w="1559" w:type="dxa"/>
          </w:tcPr>
          <w:p w:rsidR="00185CCE" w:rsidRPr="00B54036" w:rsidRDefault="00185CCE" w:rsidP="00185CCE">
            <w:pPr>
              <w:spacing w:line="360" w:lineRule="auto"/>
              <w:jc w:val="center"/>
              <w:rPr>
                <w:rFonts w:eastAsia="Times New Roman" w:cstheme="minorHAnsi"/>
                <w:sz w:val="24"/>
                <w:szCs w:val="24"/>
                <w:lang w:eastAsia="cs-CZ"/>
              </w:rPr>
            </w:pPr>
          </w:p>
          <w:p w:rsidR="00185CCE" w:rsidRPr="00B54036" w:rsidRDefault="00B54036" w:rsidP="00185CCE">
            <w:pPr>
              <w:spacing w:line="360" w:lineRule="auto"/>
              <w:jc w:val="center"/>
              <w:rPr>
                <w:rFonts w:eastAsia="Times New Roman" w:cstheme="minorHAnsi"/>
                <w:sz w:val="24"/>
                <w:szCs w:val="24"/>
                <w:lang w:eastAsia="cs-CZ"/>
              </w:rPr>
            </w:pPr>
            <w:r>
              <w:rPr>
                <w:rFonts w:eastAsia="Times New Roman" w:cstheme="minorHAnsi"/>
                <w:sz w:val="24"/>
                <w:szCs w:val="24"/>
                <w:lang w:eastAsia="cs-CZ"/>
              </w:rPr>
              <w:t>44</w:t>
            </w:r>
          </w:p>
        </w:tc>
        <w:tc>
          <w:tcPr>
            <w:tcW w:w="1874" w:type="dxa"/>
          </w:tcPr>
          <w:p w:rsidR="00185CCE" w:rsidRPr="00B54036" w:rsidRDefault="00185CCE" w:rsidP="00185CCE">
            <w:pPr>
              <w:spacing w:line="360" w:lineRule="auto"/>
              <w:jc w:val="center"/>
              <w:rPr>
                <w:rFonts w:eastAsia="Times New Roman" w:cstheme="minorHAnsi"/>
                <w:sz w:val="24"/>
                <w:szCs w:val="24"/>
                <w:lang w:eastAsia="cs-CZ"/>
              </w:rPr>
            </w:pPr>
          </w:p>
          <w:p w:rsidR="00185CCE" w:rsidRPr="00B54036" w:rsidRDefault="00185CCE" w:rsidP="00185CCE">
            <w:pPr>
              <w:spacing w:line="360" w:lineRule="auto"/>
              <w:jc w:val="center"/>
              <w:rPr>
                <w:rFonts w:eastAsia="Times New Roman" w:cstheme="minorHAnsi"/>
                <w:sz w:val="24"/>
                <w:szCs w:val="24"/>
                <w:lang w:eastAsia="cs-CZ"/>
              </w:rPr>
            </w:pPr>
            <w:r w:rsidRPr="00B54036">
              <w:rPr>
                <w:rFonts w:eastAsia="Times New Roman" w:cstheme="minorHAnsi"/>
                <w:sz w:val="24"/>
                <w:szCs w:val="24"/>
                <w:lang w:eastAsia="cs-CZ"/>
              </w:rPr>
              <w:t>250.000 Kč</w:t>
            </w:r>
          </w:p>
        </w:tc>
        <w:tc>
          <w:tcPr>
            <w:tcW w:w="1670" w:type="dxa"/>
          </w:tcPr>
          <w:p w:rsidR="00185CCE" w:rsidRPr="00B54036" w:rsidRDefault="00185CCE" w:rsidP="00185CCE">
            <w:pPr>
              <w:spacing w:line="360" w:lineRule="auto"/>
              <w:jc w:val="center"/>
              <w:rPr>
                <w:rFonts w:eastAsia="Times New Roman" w:cstheme="minorHAnsi"/>
                <w:sz w:val="24"/>
                <w:szCs w:val="24"/>
                <w:lang w:eastAsia="cs-CZ"/>
              </w:rPr>
            </w:pPr>
          </w:p>
          <w:p w:rsidR="00185CCE" w:rsidRPr="00B54036" w:rsidRDefault="00185CCE" w:rsidP="00B54036">
            <w:pPr>
              <w:spacing w:line="360" w:lineRule="auto"/>
              <w:jc w:val="center"/>
              <w:rPr>
                <w:rFonts w:eastAsia="Times New Roman" w:cstheme="minorHAnsi"/>
                <w:sz w:val="24"/>
                <w:szCs w:val="24"/>
                <w:lang w:eastAsia="cs-CZ"/>
              </w:rPr>
            </w:pPr>
            <w:r w:rsidRPr="00B54036">
              <w:rPr>
                <w:rFonts w:eastAsia="Times New Roman" w:cstheme="minorHAnsi"/>
                <w:sz w:val="24"/>
                <w:szCs w:val="24"/>
                <w:lang w:eastAsia="cs-CZ"/>
              </w:rPr>
              <w:t>4</w:t>
            </w:r>
            <w:r w:rsidR="00B54036">
              <w:rPr>
                <w:rFonts w:eastAsia="Times New Roman" w:cstheme="minorHAnsi"/>
                <w:sz w:val="24"/>
                <w:szCs w:val="24"/>
                <w:lang w:eastAsia="cs-CZ"/>
              </w:rPr>
              <w:t>8</w:t>
            </w:r>
          </w:p>
        </w:tc>
        <w:tc>
          <w:tcPr>
            <w:tcW w:w="2016" w:type="dxa"/>
          </w:tcPr>
          <w:p w:rsidR="00185CCE" w:rsidRPr="00B54036" w:rsidRDefault="00185CCE" w:rsidP="00185CCE">
            <w:pPr>
              <w:spacing w:line="360" w:lineRule="auto"/>
              <w:jc w:val="center"/>
              <w:rPr>
                <w:rFonts w:eastAsia="Times New Roman" w:cstheme="minorHAnsi"/>
                <w:sz w:val="24"/>
                <w:szCs w:val="24"/>
                <w:lang w:eastAsia="cs-CZ"/>
              </w:rPr>
            </w:pPr>
          </w:p>
          <w:p w:rsidR="00185CCE" w:rsidRPr="00B54036" w:rsidRDefault="00B54036" w:rsidP="00185CCE">
            <w:pPr>
              <w:spacing w:line="360" w:lineRule="auto"/>
              <w:jc w:val="center"/>
              <w:rPr>
                <w:rFonts w:eastAsia="Times New Roman" w:cstheme="minorHAnsi"/>
                <w:sz w:val="24"/>
                <w:szCs w:val="24"/>
                <w:lang w:eastAsia="cs-CZ"/>
              </w:rPr>
            </w:pPr>
            <w:r>
              <w:rPr>
                <w:rFonts w:eastAsia="Times New Roman" w:cstheme="minorHAnsi"/>
                <w:sz w:val="24"/>
                <w:szCs w:val="24"/>
                <w:lang w:eastAsia="cs-CZ"/>
              </w:rPr>
              <w:t>3</w:t>
            </w:r>
            <w:r w:rsidR="00185CCE" w:rsidRPr="00B54036">
              <w:rPr>
                <w:rFonts w:eastAsia="Times New Roman" w:cstheme="minorHAnsi"/>
                <w:sz w:val="24"/>
                <w:szCs w:val="24"/>
                <w:lang w:eastAsia="cs-CZ"/>
              </w:rPr>
              <w:t>50.000 Kč</w:t>
            </w:r>
          </w:p>
        </w:tc>
      </w:tr>
    </w:tbl>
    <w:p w:rsidR="00A54B0F" w:rsidRPr="00F17207" w:rsidRDefault="00A54B0F" w:rsidP="005C25D3">
      <w:pPr>
        <w:jc w:val="both"/>
      </w:pPr>
    </w:p>
    <w:sectPr w:rsidR="00A54B0F" w:rsidRPr="00F172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D31"/>
    <w:rsid w:val="000F14C4"/>
    <w:rsid w:val="000F42E5"/>
    <w:rsid w:val="00185CCE"/>
    <w:rsid w:val="00412193"/>
    <w:rsid w:val="00412D31"/>
    <w:rsid w:val="00443142"/>
    <w:rsid w:val="00492B45"/>
    <w:rsid w:val="004D57C7"/>
    <w:rsid w:val="005C25D3"/>
    <w:rsid w:val="0069646D"/>
    <w:rsid w:val="00776F67"/>
    <w:rsid w:val="00805A9C"/>
    <w:rsid w:val="00822143"/>
    <w:rsid w:val="0089155F"/>
    <w:rsid w:val="008B0AAC"/>
    <w:rsid w:val="009269F6"/>
    <w:rsid w:val="00994454"/>
    <w:rsid w:val="00A01777"/>
    <w:rsid w:val="00A33301"/>
    <w:rsid w:val="00A54B0F"/>
    <w:rsid w:val="00AB3CA9"/>
    <w:rsid w:val="00AC698B"/>
    <w:rsid w:val="00AE596D"/>
    <w:rsid w:val="00B100A7"/>
    <w:rsid w:val="00B4060A"/>
    <w:rsid w:val="00B54036"/>
    <w:rsid w:val="00B56FB9"/>
    <w:rsid w:val="00BA0577"/>
    <w:rsid w:val="00C45C32"/>
    <w:rsid w:val="00C774A3"/>
    <w:rsid w:val="00D20FE0"/>
    <w:rsid w:val="00DF7655"/>
    <w:rsid w:val="00ED6926"/>
    <w:rsid w:val="00F12EDD"/>
    <w:rsid w:val="00F17207"/>
    <w:rsid w:val="00F51449"/>
    <w:rsid w:val="00F85B51"/>
    <w:rsid w:val="00FB0C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20F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0FE0"/>
    <w:rPr>
      <w:rFonts w:ascii="Tahoma" w:hAnsi="Tahoma" w:cs="Tahoma"/>
      <w:sz w:val="16"/>
      <w:szCs w:val="16"/>
    </w:rPr>
  </w:style>
  <w:style w:type="table" w:styleId="Mkatabulky">
    <w:name w:val="Table Grid"/>
    <w:basedOn w:val="Normlntabulka"/>
    <w:uiPriority w:val="59"/>
    <w:rsid w:val="00185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20F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0FE0"/>
    <w:rPr>
      <w:rFonts w:ascii="Tahoma" w:hAnsi="Tahoma" w:cs="Tahoma"/>
      <w:sz w:val="16"/>
      <w:szCs w:val="16"/>
    </w:rPr>
  </w:style>
  <w:style w:type="table" w:styleId="Mkatabulky">
    <w:name w:val="Table Grid"/>
    <w:basedOn w:val="Normlntabulka"/>
    <w:uiPriority w:val="59"/>
    <w:rsid w:val="00185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1466</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Statutární město České Budějovice</Company>
  <LinksUpToDate>false</LinksUpToDate>
  <CharactersWithSpaces>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Kovárnová Šárka</dc:creator>
  <cp:lastModifiedBy>Kovárnová Šárka</cp:lastModifiedBy>
  <cp:revision>4</cp:revision>
  <cp:lastPrinted>2013-01-30T08:18:00Z</cp:lastPrinted>
  <dcterms:created xsi:type="dcterms:W3CDTF">2014-06-12T06:52:00Z</dcterms:created>
  <dcterms:modified xsi:type="dcterms:W3CDTF">2014-06-12T07:16:00Z</dcterms:modified>
</cp:coreProperties>
</file>