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3C714" w14:textId="77777777" w:rsidR="004B1022" w:rsidRPr="00A80E64" w:rsidRDefault="004B1022" w:rsidP="00171CE0">
      <w:pPr>
        <w:spacing w:after="120"/>
        <w:jc w:val="both"/>
        <w:outlineLvl w:val="0"/>
        <w:rPr>
          <w:rFonts w:ascii="Times New Roman" w:hAnsi="Times New Roman" w:cs="Times New Roman"/>
          <w:b/>
          <w:sz w:val="24"/>
          <w:szCs w:val="24"/>
        </w:rPr>
      </w:pPr>
      <w:r w:rsidRPr="00A80E64">
        <w:rPr>
          <w:rFonts w:ascii="Times New Roman" w:hAnsi="Times New Roman" w:cs="Times New Roman"/>
          <w:b/>
          <w:sz w:val="24"/>
          <w:szCs w:val="24"/>
        </w:rPr>
        <w:t>Důvodová zpráva</w:t>
      </w:r>
    </w:p>
    <w:p w14:paraId="5938F353" w14:textId="5C5BEE97" w:rsidR="00AD14EA" w:rsidRPr="00A80E64" w:rsidRDefault="002515CB" w:rsidP="00171CE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Zastupitelstvu</w:t>
      </w:r>
      <w:r w:rsidR="002E7568" w:rsidRPr="00A80E64">
        <w:rPr>
          <w:rFonts w:ascii="Times New Roman" w:hAnsi="Times New Roman" w:cs="Times New Roman"/>
          <w:sz w:val="24"/>
          <w:szCs w:val="24"/>
        </w:rPr>
        <w:t xml:space="preserve"> města</w:t>
      </w:r>
      <w:r w:rsidR="004B1022" w:rsidRPr="00A80E64">
        <w:rPr>
          <w:rFonts w:ascii="Times New Roman" w:hAnsi="Times New Roman" w:cs="Times New Roman"/>
          <w:sz w:val="24"/>
          <w:szCs w:val="24"/>
        </w:rPr>
        <w:t xml:space="preserve"> je před</w:t>
      </w:r>
      <w:r w:rsidR="001A5297" w:rsidRPr="00A80E64">
        <w:rPr>
          <w:rFonts w:ascii="Times New Roman" w:hAnsi="Times New Roman" w:cs="Times New Roman"/>
          <w:sz w:val="24"/>
          <w:szCs w:val="24"/>
        </w:rPr>
        <w:t>kládána informace</w:t>
      </w:r>
      <w:r w:rsidR="00BA1582" w:rsidRPr="00A80E64">
        <w:rPr>
          <w:rFonts w:ascii="Times New Roman" w:hAnsi="Times New Roman" w:cs="Times New Roman"/>
          <w:sz w:val="24"/>
          <w:szCs w:val="24"/>
        </w:rPr>
        <w:t xml:space="preserve"> o realizaci Integrovaného plánu rozvoje území Če</w:t>
      </w:r>
      <w:r w:rsidR="001B1293" w:rsidRPr="00A80E64">
        <w:rPr>
          <w:rFonts w:ascii="Times New Roman" w:hAnsi="Times New Roman" w:cs="Times New Roman"/>
          <w:sz w:val="24"/>
          <w:szCs w:val="24"/>
        </w:rPr>
        <w:t>ské B</w:t>
      </w:r>
      <w:r w:rsidR="001A5297" w:rsidRPr="00A80E64">
        <w:rPr>
          <w:rFonts w:ascii="Times New Roman" w:hAnsi="Times New Roman" w:cs="Times New Roman"/>
          <w:sz w:val="24"/>
          <w:szCs w:val="24"/>
        </w:rPr>
        <w:t>udějovice (dále jen IPRÚ), která</w:t>
      </w:r>
      <w:r w:rsidR="001B1293" w:rsidRPr="00A80E64">
        <w:rPr>
          <w:rFonts w:ascii="Times New Roman" w:hAnsi="Times New Roman" w:cs="Times New Roman"/>
          <w:sz w:val="24"/>
          <w:szCs w:val="24"/>
        </w:rPr>
        <w:t xml:space="preserve"> </w:t>
      </w:r>
      <w:r w:rsidR="00BA1582" w:rsidRPr="00A80E64">
        <w:rPr>
          <w:rFonts w:ascii="Times New Roman" w:hAnsi="Times New Roman" w:cs="Times New Roman"/>
          <w:sz w:val="24"/>
          <w:szCs w:val="24"/>
        </w:rPr>
        <w:t xml:space="preserve">obsahuje </w:t>
      </w:r>
      <w:r w:rsidR="00842F93" w:rsidRPr="00A80E64">
        <w:rPr>
          <w:rFonts w:ascii="Times New Roman" w:hAnsi="Times New Roman" w:cs="Times New Roman"/>
          <w:sz w:val="24"/>
          <w:szCs w:val="24"/>
        </w:rPr>
        <w:t>následující</w:t>
      </w:r>
      <w:r w:rsidR="00BA1582" w:rsidRPr="00A80E64">
        <w:rPr>
          <w:rFonts w:ascii="Times New Roman" w:hAnsi="Times New Roman" w:cs="Times New Roman"/>
          <w:sz w:val="24"/>
          <w:szCs w:val="24"/>
        </w:rPr>
        <w:t xml:space="preserve"> body:</w:t>
      </w:r>
    </w:p>
    <w:p w14:paraId="78DBA5AB" w14:textId="77777777" w:rsidR="00AD14EA" w:rsidRPr="00A80E64" w:rsidRDefault="00AD14EA" w:rsidP="00171CE0">
      <w:pPr>
        <w:pStyle w:val="Odstavecseseznamem"/>
        <w:numPr>
          <w:ilvl w:val="0"/>
          <w:numId w:val="14"/>
        </w:numPr>
        <w:spacing w:after="120" w:line="240" w:lineRule="auto"/>
        <w:jc w:val="both"/>
        <w:rPr>
          <w:rFonts w:ascii="Times New Roman" w:hAnsi="Times New Roman" w:cs="Times New Roman"/>
          <w:b/>
          <w:sz w:val="24"/>
          <w:szCs w:val="24"/>
        </w:rPr>
      </w:pPr>
      <w:r w:rsidRPr="00A80E64">
        <w:rPr>
          <w:rFonts w:ascii="Times New Roman" w:hAnsi="Times New Roman" w:cs="Times New Roman"/>
          <w:b/>
          <w:sz w:val="24"/>
          <w:szCs w:val="24"/>
        </w:rPr>
        <w:t>Z</w:t>
      </w:r>
      <w:r w:rsidR="0071139B" w:rsidRPr="00A80E64">
        <w:rPr>
          <w:rFonts w:ascii="Times New Roman" w:hAnsi="Times New Roman" w:cs="Times New Roman"/>
          <w:b/>
          <w:sz w:val="24"/>
          <w:szCs w:val="24"/>
        </w:rPr>
        <w:t>práva</w:t>
      </w:r>
      <w:r w:rsidR="004B1022" w:rsidRPr="00A80E64">
        <w:rPr>
          <w:rFonts w:ascii="Times New Roman" w:hAnsi="Times New Roman" w:cs="Times New Roman"/>
          <w:b/>
          <w:sz w:val="24"/>
          <w:szCs w:val="24"/>
        </w:rPr>
        <w:t xml:space="preserve"> o plnění strategie </w:t>
      </w:r>
      <w:r w:rsidR="00BA1582" w:rsidRPr="00A80E64">
        <w:rPr>
          <w:rFonts w:ascii="Times New Roman" w:hAnsi="Times New Roman" w:cs="Times New Roman"/>
          <w:b/>
          <w:sz w:val="24"/>
          <w:szCs w:val="24"/>
        </w:rPr>
        <w:t>IPRÚ</w:t>
      </w:r>
      <w:r w:rsidR="00214F89" w:rsidRPr="00A80E64">
        <w:rPr>
          <w:rFonts w:ascii="Times New Roman" w:hAnsi="Times New Roman" w:cs="Times New Roman"/>
          <w:b/>
          <w:sz w:val="24"/>
          <w:szCs w:val="24"/>
        </w:rPr>
        <w:t xml:space="preserve"> </w:t>
      </w:r>
      <w:r w:rsidR="00842F93" w:rsidRPr="00A80E64">
        <w:rPr>
          <w:rFonts w:ascii="Times New Roman" w:hAnsi="Times New Roman" w:cs="Times New Roman"/>
          <w:b/>
          <w:sz w:val="24"/>
          <w:szCs w:val="24"/>
        </w:rPr>
        <w:t>k 31. 12. 20</w:t>
      </w:r>
      <w:r w:rsidR="00442863" w:rsidRPr="00A80E64">
        <w:rPr>
          <w:rFonts w:ascii="Times New Roman" w:hAnsi="Times New Roman" w:cs="Times New Roman"/>
          <w:b/>
          <w:sz w:val="24"/>
          <w:szCs w:val="24"/>
        </w:rPr>
        <w:t>20</w:t>
      </w:r>
      <w:r w:rsidR="00BA1582" w:rsidRPr="00A80E64">
        <w:rPr>
          <w:rFonts w:ascii="Times New Roman" w:hAnsi="Times New Roman" w:cs="Times New Roman"/>
          <w:b/>
          <w:sz w:val="24"/>
          <w:szCs w:val="24"/>
        </w:rPr>
        <w:t>;</w:t>
      </w:r>
    </w:p>
    <w:p w14:paraId="1D6F8E41" w14:textId="1DAA9227" w:rsidR="00BA1582" w:rsidRPr="00A80E64" w:rsidRDefault="00AD14EA" w:rsidP="00171CE0">
      <w:pPr>
        <w:pStyle w:val="Odstavecseseznamem"/>
        <w:numPr>
          <w:ilvl w:val="0"/>
          <w:numId w:val="14"/>
        </w:numPr>
        <w:spacing w:after="120" w:line="240" w:lineRule="auto"/>
        <w:jc w:val="both"/>
        <w:rPr>
          <w:rFonts w:ascii="Times New Roman" w:hAnsi="Times New Roman" w:cs="Times New Roman"/>
          <w:b/>
          <w:sz w:val="24"/>
          <w:szCs w:val="24"/>
        </w:rPr>
      </w:pPr>
      <w:r w:rsidRPr="00A80E64">
        <w:rPr>
          <w:rFonts w:ascii="Times New Roman" w:hAnsi="Times New Roman" w:cs="Times New Roman"/>
          <w:b/>
          <w:sz w:val="24"/>
          <w:szCs w:val="24"/>
        </w:rPr>
        <w:t xml:space="preserve">Změna </w:t>
      </w:r>
      <w:proofErr w:type="gramStart"/>
      <w:r w:rsidRPr="00A80E64">
        <w:rPr>
          <w:rFonts w:ascii="Times New Roman" w:hAnsi="Times New Roman" w:cs="Times New Roman"/>
          <w:b/>
          <w:sz w:val="24"/>
          <w:szCs w:val="24"/>
        </w:rPr>
        <w:t>strategie</w:t>
      </w:r>
      <w:r w:rsidR="002D029D" w:rsidRPr="00A80E64">
        <w:rPr>
          <w:rFonts w:ascii="Times New Roman" w:hAnsi="Times New Roman" w:cs="Times New Roman"/>
          <w:b/>
          <w:sz w:val="24"/>
          <w:szCs w:val="24"/>
        </w:rPr>
        <w:t xml:space="preserve"> - </w:t>
      </w:r>
      <w:r w:rsidR="00AD0489">
        <w:rPr>
          <w:rFonts w:ascii="Times New Roman" w:hAnsi="Times New Roman" w:cs="Times New Roman"/>
          <w:b/>
          <w:sz w:val="24"/>
          <w:szCs w:val="24"/>
        </w:rPr>
        <w:t>změna</w:t>
      </w:r>
      <w:proofErr w:type="gramEnd"/>
      <w:r w:rsidRPr="00A80E64">
        <w:rPr>
          <w:rFonts w:ascii="Times New Roman" w:hAnsi="Times New Roman" w:cs="Times New Roman"/>
          <w:b/>
          <w:sz w:val="24"/>
          <w:szCs w:val="24"/>
        </w:rPr>
        <w:t xml:space="preserve"> finančního plánu</w:t>
      </w:r>
      <w:r w:rsidR="00BA1582" w:rsidRPr="00A80E64">
        <w:rPr>
          <w:rFonts w:ascii="Times New Roman" w:hAnsi="Times New Roman" w:cs="Times New Roman"/>
          <w:b/>
          <w:sz w:val="24"/>
          <w:szCs w:val="24"/>
        </w:rPr>
        <w:t xml:space="preserve"> </w:t>
      </w:r>
      <w:r w:rsidR="001B1293" w:rsidRPr="00A80E64">
        <w:rPr>
          <w:rFonts w:ascii="Times New Roman" w:hAnsi="Times New Roman" w:cs="Times New Roman"/>
          <w:b/>
          <w:sz w:val="24"/>
          <w:szCs w:val="24"/>
        </w:rPr>
        <w:t>strategie 2018 až 2023</w:t>
      </w:r>
      <w:r w:rsidR="00BA1582" w:rsidRPr="00A80E64">
        <w:rPr>
          <w:rFonts w:ascii="Times New Roman" w:hAnsi="Times New Roman" w:cs="Times New Roman"/>
          <w:b/>
          <w:sz w:val="24"/>
          <w:szCs w:val="24"/>
        </w:rPr>
        <w:t>;</w:t>
      </w:r>
    </w:p>
    <w:p w14:paraId="5BB11446" w14:textId="4F92A677" w:rsidR="00BA1582" w:rsidRPr="00A80E64" w:rsidRDefault="00442863" w:rsidP="00171CE0">
      <w:pPr>
        <w:spacing w:after="120" w:line="240" w:lineRule="auto"/>
        <w:jc w:val="both"/>
        <w:rPr>
          <w:rFonts w:ascii="Times New Roman" w:hAnsi="Times New Roman" w:cs="Times New Roman"/>
          <w:sz w:val="24"/>
          <w:szCs w:val="24"/>
        </w:rPr>
      </w:pPr>
      <w:r w:rsidRPr="00A80E64">
        <w:rPr>
          <w:rFonts w:ascii="Times New Roman" w:hAnsi="Times New Roman" w:cs="Times New Roman"/>
          <w:sz w:val="24"/>
          <w:szCs w:val="24"/>
        </w:rPr>
        <w:t xml:space="preserve">V další části materiálu je </w:t>
      </w:r>
      <w:r w:rsidR="00CA0171">
        <w:rPr>
          <w:rFonts w:ascii="Times New Roman" w:hAnsi="Times New Roman" w:cs="Times New Roman"/>
          <w:sz w:val="24"/>
          <w:szCs w:val="24"/>
        </w:rPr>
        <w:t xml:space="preserve">zároveň </w:t>
      </w:r>
      <w:r w:rsidRPr="00A80E64">
        <w:rPr>
          <w:rFonts w:ascii="Times New Roman" w:hAnsi="Times New Roman" w:cs="Times New Roman"/>
          <w:sz w:val="24"/>
          <w:szCs w:val="24"/>
        </w:rPr>
        <w:t xml:space="preserve">uvedena informace o probíhající přípravě na nové programové období </w:t>
      </w:r>
      <w:proofErr w:type="gramStart"/>
      <w:r w:rsidRPr="00A80E64">
        <w:rPr>
          <w:rFonts w:ascii="Times New Roman" w:hAnsi="Times New Roman" w:cs="Times New Roman"/>
          <w:sz w:val="24"/>
          <w:szCs w:val="24"/>
        </w:rPr>
        <w:t>2021 – 2027</w:t>
      </w:r>
      <w:proofErr w:type="gramEnd"/>
      <w:r w:rsidRPr="00A80E64">
        <w:rPr>
          <w:rFonts w:ascii="Times New Roman" w:hAnsi="Times New Roman" w:cs="Times New Roman"/>
          <w:sz w:val="24"/>
          <w:szCs w:val="24"/>
        </w:rPr>
        <w:t xml:space="preserve">, kdy bude </w:t>
      </w:r>
      <w:r w:rsidR="00CA0171">
        <w:rPr>
          <w:rFonts w:ascii="Times New Roman" w:hAnsi="Times New Roman" w:cs="Times New Roman"/>
          <w:sz w:val="24"/>
          <w:szCs w:val="24"/>
        </w:rPr>
        <w:t>s</w:t>
      </w:r>
      <w:r w:rsidRPr="00A80E64">
        <w:rPr>
          <w:rFonts w:ascii="Times New Roman" w:hAnsi="Times New Roman" w:cs="Times New Roman"/>
          <w:sz w:val="24"/>
          <w:szCs w:val="24"/>
        </w:rPr>
        <w:t>tatutární město České Budějovice nositel strategie pod názvem Integrovaná teritoriální investice Českobudějovické aglomerace (dále jen ITI). Popis přípravy je uveden pod bodem:</w:t>
      </w:r>
    </w:p>
    <w:p w14:paraId="3363B844" w14:textId="77777777" w:rsidR="00442863" w:rsidRPr="00A80E64" w:rsidRDefault="00442863" w:rsidP="00442863">
      <w:pPr>
        <w:pStyle w:val="Odstavecseseznamem"/>
        <w:numPr>
          <w:ilvl w:val="0"/>
          <w:numId w:val="20"/>
        </w:numPr>
        <w:spacing w:after="120" w:line="240" w:lineRule="auto"/>
        <w:jc w:val="both"/>
        <w:rPr>
          <w:rFonts w:ascii="Times New Roman" w:hAnsi="Times New Roman" w:cs="Times New Roman"/>
          <w:b/>
          <w:bCs/>
          <w:sz w:val="24"/>
          <w:szCs w:val="24"/>
        </w:rPr>
      </w:pPr>
      <w:r w:rsidRPr="00A80E64">
        <w:rPr>
          <w:rFonts w:ascii="Times New Roman" w:hAnsi="Times New Roman" w:cs="Times New Roman"/>
          <w:b/>
          <w:bCs/>
          <w:sz w:val="24"/>
          <w:szCs w:val="24"/>
        </w:rPr>
        <w:t xml:space="preserve">Informace o přípravě ITI </w:t>
      </w:r>
    </w:p>
    <w:p w14:paraId="13A0E5B1" w14:textId="0A85959B" w:rsidR="00442863" w:rsidRDefault="002515CB" w:rsidP="00442863">
      <w:pPr>
        <w:spacing w:after="120" w:line="240" w:lineRule="auto"/>
        <w:jc w:val="both"/>
        <w:rPr>
          <w:rFonts w:ascii="Times New Roman" w:hAnsi="Times New Roman" w:cs="Times New Roman"/>
          <w:sz w:val="24"/>
          <w:szCs w:val="24"/>
        </w:rPr>
      </w:pPr>
      <w:r w:rsidRPr="002515CB">
        <w:rPr>
          <w:rFonts w:ascii="Times New Roman" w:hAnsi="Times New Roman" w:cs="Times New Roman"/>
          <w:sz w:val="24"/>
          <w:szCs w:val="24"/>
        </w:rPr>
        <w:t>Materiál byl projednán v radě města dne 25. 1. 2021 a schválen usnesením č. 59/2021.</w:t>
      </w:r>
    </w:p>
    <w:p w14:paraId="2ACCD6AB" w14:textId="77777777" w:rsidR="002515CB" w:rsidRPr="002515CB" w:rsidRDefault="002515CB" w:rsidP="00442863">
      <w:pPr>
        <w:spacing w:after="120" w:line="240" w:lineRule="auto"/>
        <w:jc w:val="both"/>
        <w:rPr>
          <w:rFonts w:ascii="Times New Roman" w:hAnsi="Times New Roman" w:cs="Times New Roman"/>
          <w:sz w:val="24"/>
          <w:szCs w:val="24"/>
        </w:rPr>
      </w:pPr>
    </w:p>
    <w:p w14:paraId="1E987ABD" w14:textId="7D891D65" w:rsidR="004B1022" w:rsidRPr="00A80E64" w:rsidRDefault="00BA1582" w:rsidP="00171CE0">
      <w:pPr>
        <w:pStyle w:val="Odstavecseseznamem"/>
        <w:numPr>
          <w:ilvl w:val="0"/>
          <w:numId w:val="9"/>
        </w:numPr>
        <w:shd w:val="clear" w:color="auto" w:fill="D9D9D9" w:themeFill="background1" w:themeFillShade="D9"/>
        <w:ind w:left="0" w:firstLine="0"/>
        <w:jc w:val="both"/>
        <w:rPr>
          <w:rFonts w:ascii="Times New Roman" w:hAnsi="Times New Roman" w:cs="Times New Roman"/>
          <w:b/>
          <w:sz w:val="24"/>
          <w:szCs w:val="24"/>
        </w:rPr>
      </w:pPr>
      <w:r w:rsidRPr="00A80E64">
        <w:rPr>
          <w:rFonts w:ascii="Times New Roman" w:hAnsi="Times New Roman" w:cs="Times New Roman"/>
          <w:b/>
          <w:sz w:val="24"/>
          <w:szCs w:val="24"/>
        </w:rPr>
        <w:t>Zpráva</w:t>
      </w:r>
      <w:r w:rsidR="004B1022" w:rsidRPr="00A80E64">
        <w:rPr>
          <w:rFonts w:ascii="Times New Roman" w:hAnsi="Times New Roman" w:cs="Times New Roman"/>
          <w:b/>
          <w:sz w:val="24"/>
          <w:szCs w:val="24"/>
        </w:rPr>
        <w:t xml:space="preserve"> o </w:t>
      </w:r>
      <w:r w:rsidR="002515CB">
        <w:rPr>
          <w:rFonts w:ascii="Times New Roman" w:hAnsi="Times New Roman" w:cs="Times New Roman"/>
          <w:b/>
          <w:sz w:val="24"/>
          <w:szCs w:val="24"/>
        </w:rPr>
        <w:t xml:space="preserve">realizaci </w:t>
      </w:r>
      <w:r w:rsidR="004B1022" w:rsidRPr="00A80E64">
        <w:rPr>
          <w:rFonts w:ascii="Times New Roman" w:hAnsi="Times New Roman" w:cs="Times New Roman"/>
          <w:b/>
          <w:sz w:val="24"/>
          <w:szCs w:val="24"/>
        </w:rPr>
        <w:t>strategie</w:t>
      </w:r>
      <w:r w:rsidRPr="00A80E64">
        <w:rPr>
          <w:rFonts w:ascii="Times New Roman" w:hAnsi="Times New Roman" w:cs="Times New Roman"/>
          <w:b/>
          <w:sz w:val="24"/>
          <w:szCs w:val="24"/>
        </w:rPr>
        <w:t xml:space="preserve"> </w:t>
      </w:r>
      <w:r w:rsidR="00814BF5" w:rsidRPr="00A80E64">
        <w:rPr>
          <w:rFonts w:ascii="Times New Roman" w:hAnsi="Times New Roman" w:cs="Times New Roman"/>
          <w:b/>
          <w:sz w:val="24"/>
          <w:szCs w:val="24"/>
        </w:rPr>
        <w:t xml:space="preserve">IPRÚ České Budějovice </w:t>
      </w:r>
      <w:r w:rsidR="00842F93" w:rsidRPr="00A80E64">
        <w:rPr>
          <w:rFonts w:ascii="Times New Roman" w:hAnsi="Times New Roman" w:cs="Times New Roman"/>
          <w:b/>
          <w:sz w:val="24"/>
          <w:szCs w:val="24"/>
        </w:rPr>
        <w:t>k 31. 12.</w:t>
      </w:r>
      <w:r w:rsidRPr="00A80E64">
        <w:rPr>
          <w:rFonts w:ascii="Times New Roman" w:hAnsi="Times New Roman" w:cs="Times New Roman"/>
          <w:b/>
          <w:sz w:val="24"/>
          <w:szCs w:val="24"/>
        </w:rPr>
        <w:t xml:space="preserve"> 20</w:t>
      </w:r>
      <w:r w:rsidR="00442863" w:rsidRPr="00A80E64">
        <w:rPr>
          <w:rFonts w:ascii="Times New Roman" w:hAnsi="Times New Roman" w:cs="Times New Roman"/>
          <w:b/>
          <w:sz w:val="24"/>
          <w:szCs w:val="24"/>
        </w:rPr>
        <w:t>20</w:t>
      </w:r>
    </w:p>
    <w:p w14:paraId="5AA96A6B" w14:textId="77777777" w:rsidR="00814BF5" w:rsidRPr="00A80E64" w:rsidRDefault="00814BF5" w:rsidP="00171CE0">
      <w:pPr>
        <w:spacing w:before="240" w:after="0" w:line="240" w:lineRule="auto"/>
        <w:jc w:val="both"/>
        <w:outlineLvl w:val="0"/>
        <w:rPr>
          <w:rFonts w:ascii="Times New Roman" w:hAnsi="Times New Roman" w:cs="Times New Roman"/>
          <w:b/>
          <w:sz w:val="24"/>
          <w:szCs w:val="24"/>
          <w:u w:val="single"/>
        </w:rPr>
      </w:pPr>
      <w:r w:rsidRPr="00A80E64">
        <w:rPr>
          <w:rFonts w:ascii="Times New Roman" w:hAnsi="Times New Roman" w:cs="Times New Roman"/>
          <w:b/>
          <w:sz w:val="24"/>
          <w:szCs w:val="24"/>
        </w:rPr>
        <w:t>Popis realizace</w:t>
      </w:r>
      <w:r w:rsidR="006742AD" w:rsidRPr="00A80E64">
        <w:rPr>
          <w:rFonts w:ascii="Times New Roman" w:hAnsi="Times New Roman" w:cs="Times New Roman"/>
          <w:b/>
          <w:sz w:val="24"/>
          <w:szCs w:val="24"/>
        </w:rPr>
        <w:t xml:space="preserve"> (</w:t>
      </w:r>
      <w:r w:rsidR="00447690" w:rsidRPr="00A80E64">
        <w:rPr>
          <w:rFonts w:ascii="Times New Roman" w:hAnsi="Times New Roman" w:cs="Times New Roman"/>
          <w:bCs/>
          <w:sz w:val="24"/>
          <w:szCs w:val="24"/>
        </w:rPr>
        <w:t>všechny čá</w:t>
      </w:r>
      <w:r w:rsidR="001A5297" w:rsidRPr="00A80E64">
        <w:rPr>
          <w:rFonts w:ascii="Times New Roman" w:hAnsi="Times New Roman" w:cs="Times New Roman"/>
          <w:bCs/>
          <w:sz w:val="24"/>
          <w:szCs w:val="24"/>
        </w:rPr>
        <w:t>stky jsou uváděny jako podíl EU</w:t>
      </w:r>
      <w:r w:rsidR="006742AD" w:rsidRPr="00A80E64">
        <w:rPr>
          <w:rFonts w:ascii="Times New Roman" w:hAnsi="Times New Roman" w:cs="Times New Roman"/>
          <w:bCs/>
          <w:sz w:val="24"/>
          <w:szCs w:val="24"/>
        </w:rPr>
        <w:t>)</w:t>
      </w:r>
    </w:p>
    <w:p w14:paraId="306468D5" w14:textId="77777777" w:rsidR="004B1022" w:rsidRPr="00A80E64" w:rsidRDefault="004B1022" w:rsidP="00171CE0">
      <w:pPr>
        <w:spacing w:before="240" w:after="0" w:line="240" w:lineRule="auto"/>
        <w:jc w:val="both"/>
        <w:outlineLvl w:val="0"/>
        <w:rPr>
          <w:rFonts w:ascii="Times New Roman" w:hAnsi="Times New Roman" w:cs="Times New Roman"/>
          <w:sz w:val="24"/>
          <w:szCs w:val="24"/>
        </w:rPr>
      </w:pPr>
      <w:r w:rsidRPr="00A80E64">
        <w:rPr>
          <w:rFonts w:ascii="Times New Roman" w:hAnsi="Times New Roman" w:cs="Times New Roman"/>
          <w:b/>
          <w:sz w:val="24"/>
          <w:szCs w:val="24"/>
        </w:rPr>
        <w:t>OP Doprava SC 1.4</w:t>
      </w:r>
      <w:r w:rsidRPr="00A80E64">
        <w:rPr>
          <w:rFonts w:ascii="Times New Roman" w:hAnsi="Times New Roman" w:cs="Times New Roman"/>
          <w:sz w:val="24"/>
          <w:szCs w:val="24"/>
        </w:rPr>
        <w:t xml:space="preserve"> – </w:t>
      </w:r>
      <w:r w:rsidRPr="00A80E64">
        <w:rPr>
          <w:rFonts w:ascii="Times New Roman" w:hAnsi="Times New Roman" w:cs="Times New Roman"/>
          <w:b/>
          <w:sz w:val="24"/>
          <w:szCs w:val="24"/>
        </w:rPr>
        <w:t>Projekty na vybudování infrastruktury MHD</w:t>
      </w:r>
      <w:r w:rsidRPr="00A80E64">
        <w:rPr>
          <w:rFonts w:ascii="Times New Roman" w:hAnsi="Times New Roman" w:cs="Times New Roman"/>
          <w:sz w:val="24"/>
          <w:szCs w:val="24"/>
        </w:rPr>
        <w:t>.</w:t>
      </w:r>
    </w:p>
    <w:p w14:paraId="171684AE" w14:textId="77777777" w:rsidR="00F3635A" w:rsidRPr="00A80E64" w:rsidRDefault="00F3635A" w:rsidP="00171CE0">
      <w:pPr>
        <w:pStyle w:val="Odstavecseseznamem"/>
        <w:numPr>
          <w:ilvl w:val="0"/>
          <w:numId w:val="8"/>
        </w:numPr>
        <w:spacing w:after="0" w:line="240" w:lineRule="auto"/>
        <w:ind w:left="0" w:firstLine="0"/>
        <w:jc w:val="both"/>
        <w:rPr>
          <w:rFonts w:ascii="Times New Roman" w:hAnsi="Times New Roman" w:cs="Times New Roman"/>
          <w:sz w:val="24"/>
          <w:szCs w:val="24"/>
        </w:rPr>
      </w:pPr>
      <w:r w:rsidRPr="00A80E64">
        <w:rPr>
          <w:rFonts w:ascii="Times New Roman" w:hAnsi="Times New Roman" w:cs="Times New Roman"/>
          <w:b/>
          <w:sz w:val="24"/>
          <w:szCs w:val="24"/>
        </w:rPr>
        <w:t xml:space="preserve">Opatření strategie - 1.1.4.2 trolejbusové tratě, měnírny </w:t>
      </w:r>
    </w:p>
    <w:p w14:paraId="55ECBDC2" w14:textId="77777777" w:rsidR="00442863" w:rsidRPr="00A80E64" w:rsidRDefault="00947A21" w:rsidP="00442863">
      <w:pPr>
        <w:spacing w:after="0" w:line="240" w:lineRule="auto"/>
        <w:jc w:val="both"/>
        <w:rPr>
          <w:rFonts w:ascii="Times New Roman" w:hAnsi="Times New Roman" w:cs="Times New Roman"/>
          <w:sz w:val="24"/>
          <w:szCs w:val="24"/>
        </w:rPr>
      </w:pPr>
      <w:r w:rsidRPr="00A80E64">
        <w:rPr>
          <w:rFonts w:ascii="Times New Roman" w:hAnsi="Times New Roman" w:cs="Times New Roman"/>
          <w:sz w:val="24"/>
          <w:szCs w:val="24"/>
        </w:rPr>
        <w:t>V tomto specifickém cíli, zaměřeném na modernizaci infrastruktury veřejné dopravy</w:t>
      </w:r>
      <w:r w:rsidR="00B349A5" w:rsidRPr="00A80E64">
        <w:rPr>
          <w:rFonts w:ascii="Times New Roman" w:hAnsi="Times New Roman" w:cs="Times New Roman"/>
          <w:sz w:val="24"/>
          <w:szCs w:val="24"/>
        </w:rPr>
        <w:t>,</w:t>
      </w:r>
      <w:r w:rsidRPr="00A80E64">
        <w:rPr>
          <w:rFonts w:ascii="Times New Roman" w:hAnsi="Times New Roman" w:cs="Times New Roman"/>
          <w:sz w:val="24"/>
          <w:szCs w:val="24"/>
        </w:rPr>
        <w:t xml:space="preserve"> </w:t>
      </w:r>
      <w:r w:rsidR="002D029D" w:rsidRPr="00A80E64">
        <w:rPr>
          <w:rFonts w:ascii="Times New Roman" w:hAnsi="Times New Roman" w:cs="Times New Roman"/>
          <w:sz w:val="24"/>
          <w:szCs w:val="24"/>
        </w:rPr>
        <w:t xml:space="preserve">se </w:t>
      </w:r>
      <w:r w:rsidR="00E90E9A" w:rsidRPr="00A80E64">
        <w:rPr>
          <w:rFonts w:ascii="Times New Roman" w:hAnsi="Times New Roman" w:cs="Times New Roman"/>
          <w:sz w:val="24"/>
          <w:szCs w:val="24"/>
        </w:rPr>
        <w:t xml:space="preserve">městu </w:t>
      </w:r>
      <w:r w:rsidR="002D029D" w:rsidRPr="00A80E64">
        <w:rPr>
          <w:rFonts w:ascii="Times New Roman" w:hAnsi="Times New Roman" w:cs="Times New Roman"/>
          <w:sz w:val="24"/>
          <w:szCs w:val="24"/>
        </w:rPr>
        <w:t>v </w:t>
      </w:r>
      <w:r w:rsidR="00442863" w:rsidRPr="00A80E64">
        <w:rPr>
          <w:rFonts w:ascii="Times New Roman" w:hAnsi="Times New Roman" w:cs="Times New Roman"/>
          <w:sz w:val="24"/>
          <w:szCs w:val="24"/>
        </w:rPr>
        <w:t>roce</w:t>
      </w:r>
      <w:r w:rsidR="002D029D" w:rsidRPr="00A80E64">
        <w:rPr>
          <w:rFonts w:ascii="Times New Roman" w:hAnsi="Times New Roman" w:cs="Times New Roman"/>
          <w:sz w:val="24"/>
          <w:szCs w:val="24"/>
        </w:rPr>
        <w:t xml:space="preserve"> 2019 podařilo navýšit alokaci z </w:t>
      </w:r>
      <w:r w:rsidR="007A3850" w:rsidRPr="00A80E64">
        <w:rPr>
          <w:rFonts w:ascii="Times New Roman" w:hAnsi="Times New Roman" w:cs="Times New Roman"/>
          <w:sz w:val="24"/>
          <w:szCs w:val="24"/>
        </w:rPr>
        <w:t>10</w:t>
      </w:r>
      <w:r w:rsidR="002D029D" w:rsidRPr="00A80E64">
        <w:rPr>
          <w:rFonts w:ascii="Times New Roman" w:hAnsi="Times New Roman" w:cs="Times New Roman"/>
          <w:sz w:val="24"/>
          <w:szCs w:val="24"/>
        </w:rPr>
        <w:t>4 499 600 na 198 499 600</w:t>
      </w:r>
      <w:r w:rsidRPr="00A80E64">
        <w:rPr>
          <w:rFonts w:ascii="Times New Roman" w:hAnsi="Times New Roman" w:cs="Times New Roman"/>
          <w:sz w:val="24"/>
          <w:szCs w:val="24"/>
        </w:rPr>
        <w:t xml:space="preserve"> Kč.</w:t>
      </w:r>
      <w:r w:rsidR="00442863" w:rsidRPr="00A80E64">
        <w:rPr>
          <w:rFonts w:ascii="Times New Roman" w:hAnsi="Times New Roman" w:cs="Times New Roman"/>
          <w:sz w:val="24"/>
          <w:szCs w:val="24"/>
        </w:rPr>
        <w:t xml:space="preserve"> V květnu 2019 byly Dopravním podnikem předloženy 2 žádosti o dotaci </w:t>
      </w:r>
      <w:r w:rsidR="006742AD" w:rsidRPr="00A80E64">
        <w:rPr>
          <w:rFonts w:ascii="Times New Roman" w:hAnsi="Times New Roman" w:cs="Times New Roman"/>
          <w:sz w:val="24"/>
          <w:szCs w:val="24"/>
        </w:rPr>
        <w:t xml:space="preserve">na přestavbu 3 měníren ve výši 101,964 mil. Kč a druhá </w:t>
      </w:r>
      <w:proofErr w:type="spellStart"/>
      <w:r w:rsidR="006742AD" w:rsidRPr="00A80E64">
        <w:rPr>
          <w:rFonts w:ascii="Times New Roman" w:hAnsi="Times New Roman" w:cs="Times New Roman"/>
          <w:sz w:val="24"/>
          <w:szCs w:val="24"/>
        </w:rPr>
        <w:t>ŽoD</w:t>
      </w:r>
      <w:proofErr w:type="spellEnd"/>
      <w:r w:rsidR="006742AD" w:rsidRPr="00A80E64">
        <w:rPr>
          <w:rFonts w:ascii="Times New Roman" w:hAnsi="Times New Roman" w:cs="Times New Roman"/>
          <w:sz w:val="24"/>
          <w:szCs w:val="24"/>
        </w:rPr>
        <w:t xml:space="preserve"> na projekt vybudování nové měnírny MRS a nové trolejbusové trati Strakonická – Nádražní ve výši 83,334 mil. Kč. </w:t>
      </w:r>
      <w:r w:rsidR="00442863" w:rsidRPr="00A80E64">
        <w:rPr>
          <w:rFonts w:ascii="Times New Roman" w:hAnsi="Times New Roman" w:cs="Times New Roman"/>
          <w:sz w:val="24"/>
          <w:szCs w:val="24"/>
        </w:rPr>
        <w:t xml:space="preserve">V roce 2020 probíhala realizace </w:t>
      </w:r>
      <w:r w:rsidR="006742AD" w:rsidRPr="00A80E64">
        <w:rPr>
          <w:rFonts w:ascii="Times New Roman" w:hAnsi="Times New Roman" w:cs="Times New Roman"/>
          <w:sz w:val="24"/>
          <w:szCs w:val="24"/>
        </w:rPr>
        <w:t xml:space="preserve">obou </w:t>
      </w:r>
      <w:r w:rsidR="00442863" w:rsidRPr="00A80E64">
        <w:rPr>
          <w:rFonts w:ascii="Times New Roman" w:hAnsi="Times New Roman" w:cs="Times New Roman"/>
          <w:sz w:val="24"/>
          <w:szCs w:val="24"/>
        </w:rPr>
        <w:t>projektů</w:t>
      </w:r>
      <w:r w:rsidR="006742AD" w:rsidRPr="00A80E64">
        <w:rPr>
          <w:rFonts w:ascii="Times New Roman" w:hAnsi="Times New Roman" w:cs="Times New Roman"/>
          <w:sz w:val="24"/>
          <w:szCs w:val="24"/>
        </w:rPr>
        <w:t>, která není dosud dokončena.</w:t>
      </w:r>
      <w:r w:rsidR="00442863" w:rsidRPr="00A80E64">
        <w:rPr>
          <w:rFonts w:ascii="Times New Roman" w:hAnsi="Times New Roman" w:cs="Times New Roman"/>
          <w:sz w:val="24"/>
          <w:szCs w:val="24"/>
        </w:rPr>
        <w:t xml:space="preserve"> Celková výše předložených žádostí o dotaci vyčerpala celou alokaci opatření a po dokončení realizace těchto projektů bude opatření uzavřeno. Indikátor opatření bude realizovanými projekty splněn. splněn.</w:t>
      </w:r>
    </w:p>
    <w:p w14:paraId="76389E4E" w14:textId="77777777" w:rsidR="00F3635A" w:rsidRPr="00A80E64" w:rsidRDefault="00F3635A" w:rsidP="00171CE0">
      <w:pPr>
        <w:spacing w:line="240" w:lineRule="auto"/>
        <w:jc w:val="both"/>
        <w:rPr>
          <w:rFonts w:ascii="Times New Roman" w:hAnsi="Times New Roman" w:cs="Times New Roman"/>
          <w:sz w:val="24"/>
          <w:szCs w:val="24"/>
        </w:rPr>
      </w:pPr>
    </w:p>
    <w:p w14:paraId="751E0693" w14:textId="77777777" w:rsidR="004B1022" w:rsidRPr="00A80E64" w:rsidRDefault="004B1022" w:rsidP="00171CE0">
      <w:pPr>
        <w:spacing w:before="120" w:after="0" w:line="240" w:lineRule="auto"/>
        <w:jc w:val="both"/>
        <w:rPr>
          <w:rFonts w:ascii="Times New Roman" w:hAnsi="Times New Roman" w:cs="Times New Roman"/>
          <w:b/>
          <w:sz w:val="24"/>
          <w:szCs w:val="24"/>
        </w:rPr>
      </w:pPr>
      <w:r w:rsidRPr="00A80E64">
        <w:rPr>
          <w:rFonts w:ascii="Times New Roman" w:hAnsi="Times New Roman" w:cs="Times New Roman"/>
          <w:b/>
          <w:sz w:val="24"/>
          <w:szCs w:val="24"/>
        </w:rPr>
        <w:t>OP Doprava SC 2.3 – Projekty na vybudování telematiky pro individuální automobilovou dopravu.</w:t>
      </w:r>
    </w:p>
    <w:p w14:paraId="1BEF3981" w14:textId="77777777" w:rsidR="00E90E9A" w:rsidRPr="00A80E64" w:rsidRDefault="00E90E9A" w:rsidP="00171CE0">
      <w:pPr>
        <w:pStyle w:val="Odstavecseseznamem"/>
        <w:numPr>
          <w:ilvl w:val="0"/>
          <w:numId w:val="8"/>
        </w:numPr>
        <w:spacing w:after="0" w:line="240" w:lineRule="auto"/>
        <w:ind w:left="0" w:firstLine="0"/>
        <w:jc w:val="both"/>
        <w:rPr>
          <w:rFonts w:ascii="Times New Roman" w:hAnsi="Times New Roman" w:cs="Times New Roman"/>
          <w:sz w:val="24"/>
          <w:szCs w:val="24"/>
        </w:rPr>
      </w:pPr>
      <w:r w:rsidRPr="00A80E64">
        <w:rPr>
          <w:rFonts w:ascii="Times New Roman" w:hAnsi="Times New Roman" w:cs="Times New Roman"/>
          <w:b/>
          <w:sz w:val="24"/>
          <w:szCs w:val="24"/>
        </w:rPr>
        <w:t>Opatření strategie - 1.1.</w:t>
      </w:r>
      <w:r w:rsidR="001A5297" w:rsidRPr="00A80E64">
        <w:rPr>
          <w:rFonts w:ascii="Times New Roman" w:hAnsi="Times New Roman" w:cs="Times New Roman"/>
          <w:b/>
          <w:sz w:val="24"/>
          <w:szCs w:val="24"/>
        </w:rPr>
        <w:t>1 T</w:t>
      </w:r>
      <w:r w:rsidRPr="00A80E64">
        <w:rPr>
          <w:rFonts w:ascii="Times New Roman" w:hAnsi="Times New Roman" w:cs="Times New Roman"/>
          <w:b/>
          <w:sz w:val="24"/>
          <w:szCs w:val="24"/>
        </w:rPr>
        <w:t xml:space="preserve">elematika individuální automobilové dopravy </w:t>
      </w:r>
    </w:p>
    <w:p w14:paraId="437DC655" w14:textId="77777777" w:rsidR="006742AD" w:rsidRPr="00A80E64" w:rsidRDefault="00D77138" w:rsidP="006742AD">
      <w:pPr>
        <w:spacing w:after="0" w:line="240" w:lineRule="auto"/>
        <w:jc w:val="both"/>
        <w:rPr>
          <w:rFonts w:ascii="Times New Roman" w:hAnsi="Times New Roman" w:cs="Times New Roman"/>
          <w:sz w:val="24"/>
          <w:szCs w:val="24"/>
        </w:rPr>
      </w:pPr>
      <w:r w:rsidRPr="00A80E64">
        <w:rPr>
          <w:rFonts w:ascii="Times New Roman" w:hAnsi="Times New Roman" w:cs="Times New Roman"/>
          <w:sz w:val="24"/>
          <w:szCs w:val="24"/>
        </w:rPr>
        <w:t xml:space="preserve">V Opatření 1.1.1 </w:t>
      </w:r>
      <w:r w:rsidR="001A5297" w:rsidRPr="00A80E64">
        <w:rPr>
          <w:rFonts w:ascii="Times New Roman" w:hAnsi="Times New Roman" w:cs="Times New Roman"/>
          <w:sz w:val="24"/>
          <w:szCs w:val="24"/>
        </w:rPr>
        <w:t>– T</w:t>
      </w:r>
      <w:r w:rsidR="00817AE1" w:rsidRPr="00A80E64">
        <w:rPr>
          <w:rFonts w:ascii="Times New Roman" w:hAnsi="Times New Roman" w:cs="Times New Roman"/>
          <w:sz w:val="24"/>
          <w:szCs w:val="24"/>
        </w:rPr>
        <w:t xml:space="preserve">elematika </w:t>
      </w:r>
      <w:r w:rsidR="008752E6" w:rsidRPr="00A80E64">
        <w:rPr>
          <w:rFonts w:ascii="Times New Roman" w:hAnsi="Times New Roman" w:cs="Times New Roman"/>
          <w:sz w:val="24"/>
          <w:szCs w:val="24"/>
        </w:rPr>
        <w:t>byl v r. 2019 dokončen 1 projekt (Strategické detektory a kamery</w:t>
      </w:r>
      <w:r w:rsidR="006742AD" w:rsidRPr="00A80E64">
        <w:rPr>
          <w:rFonts w:ascii="Times New Roman" w:hAnsi="Times New Roman" w:cs="Times New Roman"/>
          <w:sz w:val="24"/>
          <w:szCs w:val="24"/>
        </w:rPr>
        <w:t xml:space="preserve"> I. etapa. a byly podány žádosti o dotaci na 3 projekty.</w:t>
      </w:r>
      <w:r w:rsidR="008752E6" w:rsidRPr="00A80E64">
        <w:rPr>
          <w:rFonts w:ascii="Times New Roman" w:hAnsi="Times New Roman" w:cs="Times New Roman"/>
          <w:sz w:val="24"/>
          <w:szCs w:val="24"/>
        </w:rPr>
        <w:t xml:space="preserve"> V</w:t>
      </w:r>
      <w:r w:rsidR="00652416" w:rsidRPr="00A80E64">
        <w:rPr>
          <w:rFonts w:ascii="Times New Roman" w:hAnsi="Times New Roman" w:cs="Times New Roman"/>
          <w:sz w:val="24"/>
          <w:szCs w:val="24"/>
        </w:rPr>
        <w:t> </w:t>
      </w:r>
      <w:r w:rsidR="006742AD" w:rsidRPr="00A80E64">
        <w:rPr>
          <w:rFonts w:ascii="Times New Roman" w:hAnsi="Times New Roman" w:cs="Times New Roman"/>
          <w:sz w:val="24"/>
          <w:szCs w:val="24"/>
        </w:rPr>
        <w:t>roce</w:t>
      </w:r>
      <w:r w:rsidR="00652416" w:rsidRPr="00A80E64">
        <w:rPr>
          <w:rFonts w:ascii="Times New Roman" w:hAnsi="Times New Roman" w:cs="Times New Roman"/>
          <w:sz w:val="24"/>
          <w:szCs w:val="24"/>
        </w:rPr>
        <w:t xml:space="preserve"> 20</w:t>
      </w:r>
      <w:r w:rsidR="006742AD" w:rsidRPr="00A80E64">
        <w:rPr>
          <w:rFonts w:ascii="Times New Roman" w:hAnsi="Times New Roman" w:cs="Times New Roman"/>
          <w:sz w:val="24"/>
          <w:szCs w:val="24"/>
        </w:rPr>
        <w:t>20</w:t>
      </w:r>
      <w:r w:rsidR="00652416" w:rsidRPr="00A80E64">
        <w:rPr>
          <w:rFonts w:ascii="Times New Roman" w:hAnsi="Times New Roman" w:cs="Times New Roman"/>
          <w:sz w:val="24"/>
          <w:szCs w:val="24"/>
        </w:rPr>
        <w:t xml:space="preserve"> byly předloženy městem žádosti o dotace na </w:t>
      </w:r>
      <w:r w:rsidR="006742AD" w:rsidRPr="00A80E64">
        <w:rPr>
          <w:rFonts w:ascii="Times New Roman" w:hAnsi="Times New Roman" w:cs="Times New Roman"/>
          <w:sz w:val="24"/>
          <w:szCs w:val="24"/>
        </w:rPr>
        <w:t>2 projekty (Strategické detektory a kamerový dohledový systém a Parkovací, informační a dohledový systém). V roce 2020 probíhala realizace celkem 5 projektů:</w:t>
      </w:r>
    </w:p>
    <w:p w14:paraId="4B2E74C2" w14:textId="77777777" w:rsidR="006742AD" w:rsidRPr="00A80E64" w:rsidRDefault="006742AD" w:rsidP="006742AD">
      <w:pPr>
        <w:pStyle w:val="Odstavecseseznamem"/>
        <w:numPr>
          <w:ilvl w:val="0"/>
          <w:numId w:val="21"/>
        </w:numPr>
        <w:spacing w:after="0" w:line="240" w:lineRule="auto"/>
        <w:jc w:val="both"/>
        <w:rPr>
          <w:rFonts w:ascii="Times New Roman" w:hAnsi="Times New Roman" w:cs="Times New Roman"/>
          <w:sz w:val="24"/>
          <w:szCs w:val="24"/>
        </w:rPr>
      </w:pPr>
      <w:r w:rsidRPr="00A80E64">
        <w:rPr>
          <w:rFonts w:ascii="Times New Roman" w:hAnsi="Times New Roman" w:cs="Times New Roman"/>
          <w:sz w:val="24"/>
          <w:szCs w:val="24"/>
        </w:rPr>
        <w:t>Modernizace systému řízení dopravy v ČB – I. etapa (žádost o dotaci byla podána v r. 2019);</w:t>
      </w:r>
    </w:p>
    <w:p w14:paraId="50421410" w14:textId="77777777" w:rsidR="006742AD" w:rsidRPr="00A80E64" w:rsidRDefault="006742AD" w:rsidP="006742AD">
      <w:pPr>
        <w:pStyle w:val="Odstavecseseznamem"/>
        <w:numPr>
          <w:ilvl w:val="0"/>
          <w:numId w:val="21"/>
        </w:numPr>
        <w:spacing w:after="0" w:line="240" w:lineRule="auto"/>
        <w:jc w:val="both"/>
        <w:rPr>
          <w:rFonts w:ascii="Times New Roman" w:hAnsi="Times New Roman" w:cs="Times New Roman"/>
          <w:sz w:val="24"/>
          <w:szCs w:val="24"/>
        </w:rPr>
      </w:pPr>
      <w:r w:rsidRPr="00A80E64">
        <w:rPr>
          <w:rFonts w:ascii="Times New Roman" w:hAnsi="Times New Roman" w:cs="Times New Roman"/>
          <w:sz w:val="24"/>
          <w:szCs w:val="24"/>
        </w:rPr>
        <w:t>Dopravní a řídící informační centrum, (žádost o dotaci byla podána v r. 2019);</w:t>
      </w:r>
    </w:p>
    <w:p w14:paraId="12087EA2" w14:textId="77777777" w:rsidR="006742AD" w:rsidRPr="00A80E64" w:rsidRDefault="006742AD" w:rsidP="006742AD">
      <w:pPr>
        <w:pStyle w:val="Odstavecseseznamem"/>
        <w:numPr>
          <w:ilvl w:val="0"/>
          <w:numId w:val="21"/>
        </w:numPr>
        <w:spacing w:after="0" w:line="240" w:lineRule="auto"/>
        <w:jc w:val="both"/>
        <w:rPr>
          <w:rFonts w:ascii="Times New Roman" w:hAnsi="Times New Roman" w:cs="Times New Roman"/>
          <w:sz w:val="24"/>
          <w:szCs w:val="24"/>
        </w:rPr>
      </w:pPr>
      <w:proofErr w:type="spellStart"/>
      <w:r w:rsidRPr="00A80E64">
        <w:rPr>
          <w:rFonts w:ascii="Times New Roman" w:hAnsi="Times New Roman" w:cs="Times New Roman"/>
          <w:sz w:val="24"/>
          <w:szCs w:val="24"/>
        </w:rPr>
        <w:t>Meteosystémy</w:t>
      </w:r>
      <w:proofErr w:type="spellEnd"/>
      <w:r w:rsidRPr="00A80E64">
        <w:rPr>
          <w:rFonts w:ascii="Times New Roman" w:hAnsi="Times New Roman" w:cs="Times New Roman"/>
          <w:sz w:val="24"/>
          <w:szCs w:val="24"/>
        </w:rPr>
        <w:t xml:space="preserve"> v Českých Budějovicích, (žádost o dotaci byla podána v r. 2019);</w:t>
      </w:r>
    </w:p>
    <w:p w14:paraId="6AEED801" w14:textId="77777777" w:rsidR="006742AD" w:rsidRPr="00A80E64" w:rsidRDefault="006742AD" w:rsidP="006742AD">
      <w:pPr>
        <w:pStyle w:val="Odstavecseseznamem"/>
        <w:numPr>
          <w:ilvl w:val="0"/>
          <w:numId w:val="21"/>
        </w:numPr>
        <w:spacing w:after="0" w:line="240" w:lineRule="auto"/>
        <w:jc w:val="both"/>
        <w:rPr>
          <w:rFonts w:ascii="Times New Roman" w:hAnsi="Times New Roman" w:cs="Times New Roman"/>
          <w:sz w:val="24"/>
          <w:szCs w:val="24"/>
        </w:rPr>
      </w:pPr>
      <w:r w:rsidRPr="00A80E64">
        <w:rPr>
          <w:rFonts w:ascii="Times New Roman" w:hAnsi="Times New Roman" w:cs="Times New Roman"/>
          <w:sz w:val="24"/>
          <w:szCs w:val="24"/>
        </w:rPr>
        <w:t xml:space="preserve">Strategické detektory a kamerový dohledový systém v Českých </w:t>
      </w:r>
      <w:proofErr w:type="gramStart"/>
      <w:r w:rsidRPr="00A80E64">
        <w:rPr>
          <w:rFonts w:ascii="Times New Roman" w:hAnsi="Times New Roman" w:cs="Times New Roman"/>
          <w:sz w:val="24"/>
          <w:szCs w:val="24"/>
        </w:rPr>
        <w:t>Budějovicích - II</w:t>
      </w:r>
      <w:proofErr w:type="gramEnd"/>
      <w:r w:rsidRPr="00A80E64">
        <w:rPr>
          <w:rFonts w:ascii="Times New Roman" w:hAnsi="Times New Roman" w:cs="Times New Roman"/>
          <w:sz w:val="24"/>
          <w:szCs w:val="24"/>
        </w:rPr>
        <w:t>. etapa (žádost o dotaci byla podána v dubnu 2020);</w:t>
      </w:r>
    </w:p>
    <w:p w14:paraId="67E17F52" w14:textId="77777777" w:rsidR="006742AD" w:rsidRPr="00A80E64" w:rsidRDefault="006742AD" w:rsidP="006742AD">
      <w:pPr>
        <w:pStyle w:val="Odstavecseseznamem"/>
        <w:numPr>
          <w:ilvl w:val="0"/>
          <w:numId w:val="21"/>
        </w:numPr>
        <w:spacing w:after="0" w:line="240" w:lineRule="auto"/>
        <w:jc w:val="both"/>
        <w:rPr>
          <w:rFonts w:ascii="Times New Roman" w:hAnsi="Times New Roman" w:cs="Times New Roman"/>
          <w:sz w:val="24"/>
          <w:szCs w:val="24"/>
        </w:rPr>
      </w:pPr>
      <w:r w:rsidRPr="00A80E64">
        <w:rPr>
          <w:rFonts w:ascii="Times New Roman" w:hAnsi="Times New Roman" w:cs="Times New Roman"/>
          <w:sz w:val="24"/>
          <w:szCs w:val="24"/>
        </w:rPr>
        <w:t>Parkovací informační a navigační systémy v Českých Budějovicích (žádost o dotaci byla podána v dubnu 2020)</w:t>
      </w:r>
    </w:p>
    <w:p w14:paraId="50DE486D" w14:textId="77777777" w:rsidR="004B1022" w:rsidRPr="00A80E64" w:rsidRDefault="006742AD" w:rsidP="006742AD">
      <w:pPr>
        <w:spacing w:after="0" w:line="240" w:lineRule="auto"/>
        <w:jc w:val="both"/>
        <w:rPr>
          <w:rFonts w:ascii="Times New Roman" w:hAnsi="Times New Roman" w:cs="Times New Roman"/>
          <w:sz w:val="24"/>
          <w:szCs w:val="24"/>
        </w:rPr>
      </w:pPr>
      <w:r w:rsidRPr="00A80E64">
        <w:rPr>
          <w:rFonts w:ascii="Times New Roman" w:hAnsi="Times New Roman" w:cs="Times New Roman"/>
          <w:sz w:val="24"/>
          <w:szCs w:val="24"/>
        </w:rPr>
        <w:t>V tomto opatření již nebude řídícím orgánem vyhlášena další výzva. Po dokončení výše uvedených projektů bude opatření strategie uzavřeno.</w:t>
      </w:r>
    </w:p>
    <w:p w14:paraId="7A8D5D0E" w14:textId="77777777" w:rsidR="006742AD" w:rsidRPr="00A80E64" w:rsidRDefault="006742AD">
      <w:pPr>
        <w:spacing w:after="160" w:line="259" w:lineRule="auto"/>
        <w:rPr>
          <w:rFonts w:ascii="Times New Roman" w:hAnsi="Times New Roman" w:cs="Times New Roman"/>
          <w:sz w:val="24"/>
          <w:szCs w:val="24"/>
        </w:rPr>
      </w:pPr>
      <w:r w:rsidRPr="00A80E64">
        <w:rPr>
          <w:rFonts w:ascii="Times New Roman" w:hAnsi="Times New Roman" w:cs="Times New Roman"/>
          <w:sz w:val="24"/>
          <w:szCs w:val="24"/>
        </w:rPr>
        <w:br w:type="page"/>
      </w:r>
    </w:p>
    <w:p w14:paraId="1C37CBAA" w14:textId="77777777" w:rsidR="004B1022" w:rsidRPr="00A80E64" w:rsidRDefault="004B1022" w:rsidP="00171CE0">
      <w:pPr>
        <w:spacing w:before="120" w:after="120" w:line="240" w:lineRule="auto"/>
        <w:jc w:val="both"/>
        <w:outlineLvl w:val="0"/>
        <w:rPr>
          <w:rFonts w:ascii="Times New Roman" w:hAnsi="Times New Roman" w:cs="Times New Roman"/>
          <w:b/>
          <w:sz w:val="24"/>
          <w:szCs w:val="24"/>
        </w:rPr>
      </w:pPr>
      <w:r w:rsidRPr="00A80E64">
        <w:rPr>
          <w:rFonts w:ascii="Times New Roman" w:hAnsi="Times New Roman" w:cs="Times New Roman"/>
          <w:b/>
          <w:sz w:val="24"/>
          <w:szCs w:val="24"/>
        </w:rPr>
        <w:lastRenderedPageBreak/>
        <w:t xml:space="preserve">IROP SC 1.1 – Projekty na vybudování </w:t>
      </w:r>
      <w:r w:rsidR="00685F06" w:rsidRPr="00A80E64">
        <w:rPr>
          <w:rFonts w:ascii="Times New Roman" w:hAnsi="Times New Roman" w:cs="Times New Roman"/>
          <w:b/>
          <w:sz w:val="24"/>
          <w:szCs w:val="24"/>
        </w:rPr>
        <w:t>silnic II.</w:t>
      </w:r>
      <w:r w:rsidRPr="00A80E64">
        <w:rPr>
          <w:rFonts w:ascii="Times New Roman" w:hAnsi="Times New Roman" w:cs="Times New Roman"/>
          <w:b/>
          <w:sz w:val="24"/>
          <w:szCs w:val="24"/>
        </w:rPr>
        <w:t xml:space="preserve"> a III. třídy.</w:t>
      </w:r>
    </w:p>
    <w:p w14:paraId="238CE9B0" w14:textId="77777777" w:rsidR="00632D36" w:rsidRPr="00A80E64" w:rsidRDefault="00D77138" w:rsidP="00171CE0">
      <w:pPr>
        <w:pStyle w:val="Odstavecseseznamem"/>
        <w:numPr>
          <w:ilvl w:val="0"/>
          <w:numId w:val="8"/>
        </w:numPr>
        <w:spacing w:after="0" w:line="240" w:lineRule="auto"/>
        <w:ind w:left="0" w:firstLine="0"/>
        <w:jc w:val="both"/>
        <w:rPr>
          <w:rFonts w:ascii="Times New Roman" w:hAnsi="Times New Roman" w:cs="Times New Roman"/>
          <w:sz w:val="24"/>
          <w:szCs w:val="24"/>
        </w:rPr>
      </w:pPr>
      <w:r w:rsidRPr="00A80E64">
        <w:rPr>
          <w:rFonts w:ascii="Times New Roman" w:hAnsi="Times New Roman" w:cs="Times New Roman"/>
          <w:b/>
          <w:sz w:val="24"/>
          <w:szCs w:val="24"/>
        </w:rPr>
        <w:t>Opatření</w:t>
      </w:r>
      <w:r w:rsidR="004B1022" w:rsidRPr="00A80E64">
        <w:rPr>
          <w:rFonts w:ascii="Times New Roman" w:hAnsi="Times New Roman" w:cs="Times New Roman"/>
          <w:b/>
          <w:sz w:val="24"/>
          <w:szCs w:val="24"/>
        </w:rPr>
        <w:t xml:space="preserve"> 1.2.1</w:t>
      </w:r>
      <w:r w:rsidR="00685F06" w:rsidRPr="00A80E64">
        <w:rPr>
          <w:rFonts w:ascii="Times New Roman" w:hAnsi="Times New Roman" w:cs="Times New Roman"/>
          <w:b/>
          <w:sz w:val="24"/>
          <w:szCs w:val="24"/>
        </w:rPr>
        <w:t xml:space="preserve"> </w:t>
      </w:r>
      <w:r w:rsidR="004B1022" w:rsidRPr="00A80E64">
        <w:rPr>
          <w:rFonts w:ascii="Times New Roman" w:hAnsi="Times New Roman" w:cs="Times New Roman"/>
          <w:b/>
          <w:sz w:val="24"/>
          <w:szCs w:val="24"/>
        </w:rPr>
        <w:t xml:space="preserve">vybudování obchvatů. </w:t>
      </w:r>
    </w:p>
    <w:p w14:paraId="6FEDCFDD" w14:textId="77777777" w:rsidR="006742AD" w:rsidRPr="00A80E64" w:rsidRDefault="006742AD" w:rsidP="006742AD">
      <w:pPr>
        <w:spacing w:after="120" w:line="240" w:lineRule="auto"/>
        <w:jc w:val="both"/>
        <w:rPr>
          <w:rFonts w:ascii="Times New Roman" w:hAnsi="Times New Roman" w:cs="Times New Roman"/>
          <w:sz w:val="24"/>
          <w:szCs w:val="24"/>
        </w:rPr>
      </w:pPr>
      <w:r w:rsidRPr="00A80E64">
        <w:rPr>
          <w:rFonts w:ascii="Times New Roman" w:hAnsi="Times New Roman" w:cs="Times New Roman"/>
          <w:sz w:val="24"/>
          <w:szCs w:val="24"/>
        </w:rPr>
        <w:t>V tomto opatření byly předloženy 4 žádosti o dotaci na tyto projekty:</w:t>
      </w:r>
    </w:p>
    <w:p w14:paraId="114C43B4" w14:textId="77777777" w:rsidR="006742AD" w:rsidRPr="00A80E64" w:rsidRDefault="006742AD" w:rsidP="006742AD">
      <w:pPr>
        <w:pStyle w:val="Odstavecseseznamem"/>
        <w:numPr>
          <w:ilvl w:val="0"/>
          <w:numId w:val="22"/>
        </w:numPr>
        <w:spacing w:after="0" w:line="240" w:lineRule="auto"/>
        <w:jc w:val="both"/>
        <w:rPr>
          <w:rFonts w:ascii="Times New Roman" w:hAnsi="Times New Roman" w:cs="Times New Roman"/>
          <w:sz w:val="24"/>
          <w:szCs w:val="24"/>
        </w:rPr>
      </w:pPr>
      <w:r w:rsidRPr="00A80E64">
        <w:rPr>
          <w:rFonts w:ascii="Times New Roman" w:hAnsi="Times New Roman" w:cs="Times New Roman"/>
          <w:sz w:val="24"/>
          <w:szCs w:val="24"/>
        </w:rPr>
        <w:t>Most ev. č. 146-003 za obcí Hluboká nad Vltavou (duben 2020)</w:t>
      </w:r>
    </w:p>
    <w:p w14:paraId="35CE11F4" w14:textId="77777777" w:rsidR="006742AD" w:rsidRPr="00A80E64" w:rsidRDefault="006742AD" w:rsidP="006742AD">
      <w:pPr>
        <w:pStyle w:val="Odstavecseseznamem"/>
        <w:numPr>
          <w:ilvl w:val="0"/>
          <w:numId w:val="22"/>
        </w:numPr>
        <w:spacing w:after="0" w:line="240" w:lineRule="auto"/>
        <w:jc w:val="both"/>
        <w:rPr>
          <w:rFonts w:ascii="Times New Roman" w:hAnsi="Times New Roman" w:cs="Times New Roman"/>
          <w:sz w:val="24"/>
          <w:szCs w:val="24"/>
        </w:rPr>
      </w:pPr>
      <w:r w:rsidRPr="00A80E64">
        <w:rPr>
          <w:rFonts w:ascii="Times New Roman" w:hAnsi="Times New Roman" w:cs="Times New Roman"/>
          <w:sz w:val="24"/>
          <w:szCs w:val="24"/>
        </w:rPr>
        <w:t>Most ev. č. 156-008 Nová Ves (duben 2020)</w:t>
      </w:r>
    </w:p>
    <w:p w14:paraId="3D939502" w14:textId="77777777" w:rsidR="006742AD" w:rsidRPr="00A80E64" w:rsidRDefault="006742AD" w:rsidP="006742AD">
      <w:pPr>
        <w:pStyle w:val="Odstavecseseznamem"/>
        <w:numPr>
          <w:ilvl w:val="0"/>
          <w:numId w:val="22"/>
        </w:numPr>
        <w:spacing w:after="0" w:line="240" w:lineRule="auto"/>
        <w:jc w:val="both"/>
        <w:rPr>
          <w:rFonts w:ascii="Times New Roman" w:hAnsi="Times New Roman" w:cs="Times New Roman"/>
          <w:sz w:val="24"/>
          <w:szCs w:val="24"/>
        </w:rPr>
      </w:pPr>
      <w:r w:rsidRPr="00A80E64">
        <w:rPr>
          <w:rFonts w:ascii="Times New Roman" w:hAnsi="Times New Roman" w:cs="Times New Roman"/>
          <w:sz w:val="24"/>
          <w:szCs w:val="24"/>
        </w:rPr>
        <w:t>Jižní Tangenta České Budějovice - 1. etapa</w:t>
      </w:r>
      <w:r w:rsidR="00CA0171">
        <w:rPr>
          <w:rFonts w:ascii="Times New Roman" w:hAnsi="Times New Roman" w:cs="Times New Roman"/>
          <w:sz w:val="24"/>
          <w:szCs w:val="24"/>
        </w:rPr>
        <w:t xml:space="preserve"> </w:t>
      </w:r>
      <w:r w:rsidRPr="00A80E64">
        <w:rPr>
          <w:rFonts w:ascii="Times New Roman" w:hAnsi="Times New Roman" w:cs="Times New Roman"/>
          <w:sz w:val="24"/>
          <w:szCs w:val="24"/>
        </w:rPr>
        <w:t>(duben 2020)</w:t>
      </w:r>
    </w:p>
    <w:p w14:paraId="61C83F9F" w14:textId="77777777" w:rsidR="006742AD" w:rsidRPr="00A80E64" w:rsidRDefault="006742AD" w:rsidP="006742AD">
      <w:pPr>
        <w:pStyle w:val="Odstavecseseznamem"/>
        <w:numPr>
          <w:ilvl w:val="0"/>
          <w:numId w:val="22"/>
        </w:numPr>
        <w:spacing w:after="120" w:line="240" w:lineRule="auto"/>
        <w:ind w:left="714" w:hanging="357"/>
        <w:jc w:val="both"/>
        <w:rPr>
          <w:rFonts w:ascii="Times New Roman" w:hAnsi="Times New Roman" w:cs="Times New Roman"/>
          <w:sz w:val="24"/>
          <w:szCs w:val="24"/>
        </w:rPr>
      </w:pPr>
      <w:r w:rsidRPr="00A80E64">
        <w:rPr>
          <w:rFonts w:ascii="Times New Roman" w:hAnsi="Times New Roman" w:cs="Times New Roman"/>
          <w:sz w:val="24"/>
          <w:szCs w:val="24"/>
        </w:rPr>
        <w:t>Přeložka silnice II/156 v obci Strážkovice (říjen 2020)</w:t>
      </w:r>
    </w:p>
    <w:p w14:paraId="5A3DA50E" w14:textId="77777777" w:rsidR="006742AD" w:rsidRPr="00A80E64" w:rsidRDefault="006742AD" w:rsidP="006742AD">
      <w:pPr>
        <w:spacing w:before="120" w:after="120" w:line="240" w:lineRule="auto"/>
        <w:jc w:val="both"/>
        <w:rPr>
          <w:rFonts w:ascii="Times New Roman" w:hAnsi="Times New Roman" w:cs="Times New Roman"/>
          <w:sz w:val="24"/>
          <w:szCs w:val="24"/>
        </w:rPr>
      </w:pPr>
      <w:r w:rsidRPr="00A80E64">
        <w:rPr>
          <w:rFonts w:ascii="Times New Roman" w:hAnsi="Times New Roman" w:cs="Times New Roman"/>
          <w:sz w:val="24"/>
          <w:szCs w:val="24"/>
        </w:rPr>
        <w:t>Projekty Most ev. č. 146-003 za obcí Hluboká nad Vltavou a Most ev. č. 156-008 Nová Ves byly v r. 2020 dokončeny. Projekt Jižní tangenta a Přeložka silnice v obci Strážkovice budou dokončeny v r. 2021 a v r. 2023. Alokace opatření je vyčerpána a po dokončení projektů bude opatření uzavřeno. Zásadním předpokladem pro úspěšné dokončení realizace tohoto opatření je dodržení harmonogramu realizace u projektů Jižní tangenta z hlediska plnění finančního plánu strategie. Indikátor opatření bude dokončenými a realizovanými projekty splněn. splněn.</w:t>
      </w:r>
    </w:p>
    <w:p w14:paraId="09F1F251" w14:textId="77777777" w:rsidR="006742AD" w:rsidRPr="00A80E64" w:rsidRDefault="006742AD" w:rsidP="006742AD">
      <w:pPr>
        <w:spacing w:before="120" w:after="120" w:line="240" w:lineRule="auto"/>
        <w:jc w:val="both"/>
        <w:rPr>
          <w:rFonts w:ascii="Times New Roman" w:hAnsi="Times New Roman" w:cs="Times New Roman"/>
          <w:sz w:val="24"/>
          <w:szCs w:val="24"/>
        </w:rPr>
      </w:pPr>
    </w:p>
    <w:p w14:paraId="21E9B3F1" w14:textId="77777777" w:rsidR="004B1022" w:rsidRPr="00A80E64" w:rsidRDefault="004B1022" w:rsidP="006742AD">
      <w:pPr>
        <w:spacing w:before="120" w:after="120" w:line="240" w:lineRule="auto"/>
        <w:jc w:val="both"/>
        <w:rPr>
          <w:rFonts w:ascii="Times New Roman" w:hAnsi="Times New Roman" w:cs="Times New Roman"/>
          <w:b/>
          <w:sz w:val="24"/>
          <w:szCs w:val="24"/>
        </w:rPr>
      </w:pPr>
      <w:r w:rsidRPr="00A80E64">
        <w:rPr>
          <w:rFonts w:ascii="Times New Roman" w:hAnsi="Times New Roman" w:cs="Times New Roman"/>
          <w:b/>
          <w:sz w:val="24"/>
          <w:szCs w:val="24"/>
        </w:rPr>
        <w:t>IROP SC 1.2 – Projekty na budování záchytných parkovišť, cyklostezek, přestupních uzlů (terminálů), nákup vozů MHD, telematika pro MHD.</w:t>
      </w:r>
    </w:p>
    <w:p w14:paraId="1DA8E5F7" w14:textId="77777777" w:rsidR="00173F2E" w:rsidRPr="00A80E64" w:rsidRDefault="004B1022" w:rsidP="00171CE0">
      <w:pPr>
        <w:pStyle w:val="Odstavecseseznamem"/>
        <w:numPr>
          <w:ilvl w:val="0"/>
          <w:numId w:val="5"/>
        </w:numPr>
        <w:spacing w:after="0" w:line="240" w:lineRule="auto"/>
        <w:ind w:left="0" w:firstLine="0"/>
        <w:jc w:val="both"/>
        <w:rPr>
          <w:rFonts w:ascii="Times New Roman" w:hAnsi="Times New Roman" w:cs="Times New Roman"/>
          <w:sz w:val="24"/>
          <w:szCs w:val="24"/>
        </w:rPr>
      </w:pPr>
      <w:r w:rsidRPr="00A80E64">
        <w:rPr>
          <w:rFonts w:ascii="Times New Roman" w:hAnsi="Times New Roman" w:cs="Times New Roman"/>
          <w:b/>
          <w:sz w:val="24"/>
          <w:szCs w:val="24"/>
        </w:rPr>
        <w:t>Opatření 1.1.2</w:t>
      </w:r>
      <w:r w:rsidR="00173F2E" w:rsidRPr="00A80E64">
        <w:rPr>
          <w:rFonts w:ascii="Times New Roman" w:hAnsi="Times New Roman" w:cs="Times New Roman"/>
          <w:b/>
          <w:sz w:val="24"/>
          <w:szCs w:val="24"/>
        </w:rPr>
        <w:t xml:space="preserve"> – záchytná parkoviště</w:t>
      </w:r>
    </w:p>
    <w:p w14:paraId="738AFE28" w14:textId="3E76688B" w:rsidR="00C6571E" w:rsidRPr="00A80E64" w:rsidRDefault="00C6571E" w:rsidP="00C6571E">
      <w:pPr>
        <w:spacing w:after="0" w:line="240" w:lineRule="auto"/>
        <w:jc w:val="both"/>
        <w:rPr>
          <w:rFonts w:ascii="Times New Roman" w:hAnsi="Times New Roman" w:cs="Times New Roman"/>
          <w:sz w:val="24"/>
          <w:szCs w:val="24"/>
        </w:rPr>
      </w:pPr>
      <w:r w:rsidRPr="00A80E64">
        <w:rPr>
          <w:rFonts w:ascii="Times New Roman" w:hAnsi="Times New Roman" w:cs="Times New Roman"/>
          <w:sz w:val="24"/>
          <w:szCs w:val="24"/>
        </w:rPr>
        <w:t xml:space="preserve">V 1. pololetí r. 2020 byl dokončen projekt Parkoviště Jírovcova II. Žádost o platbu byla podána v červenci 2020. Celkem jsou dokončeny a proplaceny 2 projekty (Parkoviště Jírovcova I a Parkoviště Jírovcova II). V dubnu 2020 byla vyhlášena na vyčerpání zbytku alokace (4.729.583,00 Kč) Výzva č. 36 na předkládání projektů na záchytná parkoviště. Do této výzvy nebyl předložen žádný projektový záměr. Výzva byla ukončena 30. 11. 2020. Není naplněn indikátor Počet parkovacích míst. Cílová hodnota je 694 parkovacích míst. Dva výše uvedené projekty naplnily hodnotu indikátoru ve výši 418 parkovacích míst. V tomto směru jsou vyvíjeny aktivity </w:t>
      </w:r>
      <w:r w:rsidR="00CA0171">
        <w:rPr>
          <w:rFonts w:ascii="Times New Roman" w:hAnsi="Times New Roman" w:cs="Times New Roman"/>
          <w:sz w:val="24"/>
          <w:szCs w:val="24"/>
        </w:rPr>
        <w:t>vedoucí ke</w:t>
      </w:r>
      <w:r w:rsidRPr="00A80E64">
        <w:rPr>
          <w:rFonts w:ascii="Times New Roman" w:hAnsi="Times New Roman" w:cs="Times New Roman"/>
          <w:sz w:val="24"/>
          <w:szCs w:val="24"/>
        </w:rPr>
        <w:t xml:space="preserve"> snížení indikátoru prostřednictvím převzetí chybějících parkovacích míst nositelem jiné strategie, který bude v rámci tohoto indikátoru ve stavu přeplnění hodnoty. Současně je </w:t>
      </w:r>
      <w:r w:rsidR="00CA0171">
        <w:rPr>
          <w:rFonts w:ascii="Times New Roman" w:hAnsi="Times New Roman" w:cs="Times New Roman"/>
          <w:sz w:val="24"/>
          <w:szCs w:val="24"/>
        </w:rPr>
        <w:t xml:space="preserve">přímo </w:t>
      </w:r>
      <w:r w:rsidRPr="00A80E64">
        <w:rPr>
          <w:rFonts w:ascii="Times New Roman" w:hAnsi="Times New Roman" w:cs="Times New Roman"/>
          <w:sz w:val="24"/>
          <w:szCs w:val="24"/>
        </w:rPr>
        <w:t>s řídícím orgánem projednávána možnost snížení indikátoru u tohoto opatření.</w:t>
      </w:r>
    </w:p>
    <w:p w14:paraId="36454509" w14:textId="77777777" w:rsidR="00173F2E" w:rsidRPr="00A80E64" w:rsidRDefault="00173F2E" w:rsidP="00C6571E">
      <w:pPr>
        <w:pStyle w:val="Odstavecseseznamem"/>
        <w:numPr>
          <w:ilvl w:val="0"/>
          <w:numId w:val="8"/>
        </w:numPr>
        <w:spacing w:before="120" w:after="0" w:line="240" w:lineRule="auto"/>
        <w:ind w:left="0" w:firstLine="0"/>
        <w:jc w:val="both"/>
        <w:rPr>
          <w:rFonts w:ascii="Times New Roman" w:hAnsi="Times New Roman" w:cs="Times New Roman"/>
          <w:b/>
          <w:sz w:val="24"/>
          <w:szCs w:val="24"/>
        </w:rPr>
      </w:pPr>
      <w:r w:rsidRPr="00A80E64">
        <w:rPr>
          <w:rFonts w:ascii="Times New Roman" w:hAnsi="Times New Roman" w:cs="Times New Roman"/>
          <w:b/>
          <w:sz w:val="24"/>
          <w:szCs w:val="24"/>
        </w:rPr>
        <w:t>Opatření 1.1.3 - cyklostezky</w:t>
      </w:r>
    </w:p>
    <w:p w14:paraId="1A763187" w14:textId="458C9D2C" w:rsidR="00C6571E" w:rsidRPr="00A80E64" w:rsidRDefault="00C6571E" w:rsidP="00C6571E">
      <w:pPr>
        <w:spacing w:after="0" w:line="240" w:lineRule="auto"/>
        <w:jc w:val="both"/>
        <w:rPr>
          <w:rFonts w:ascii="Times New Roman" w:hAnsi="Times New Roman" w:cs="Times New Roman"/>
          <w:sz w:val="24"/>
          <w:szCs w:val="24"/>
        </w:rPr>
      </w:pPr>
      <w:r w:rsidRPr="00A80E64">
        <w:rPr>
          <w:rFonts w:ascii="Times New Roman" w:hAnsi="Times New Roman" w:cs="Times New Roman"/>
          <w:sz w:val="24"/>
          <w:szCs w:val="24"/>
        </w:rPr>
        <w:t xml:space="preserve">V opatření 1.1.3 byly v r. 2020 předloženy 3 žádosti o dotaci. Jedná se o 2 projekty v Hluboké nad Vltavou – výstavba chodníků a 1 projekt </w:t>
      </w:r>
      <w:r w:rsidR="00CA0171">
        <w:rPr>
          <w:rFonts w:ascii="Times New Roman" w:hAnsi="Times New Roman" w:cs="Times New Roman"/>
          <w:sz w:val="24"/>
          <w:szCs w:val="24"/>
        </w:rPr>
        <w:t>s</w:t>
      </w:r>
      <w:r w:rsidRPr="00A80E64">
        <w:rPr>
          <w:rFonts w:ascii="Times New Roman" w:hAnsi="Times New Roman" w:cs="Times New Roman"/>
          <w:sz w:val="24"/>
          <w:szCs w:val="24"/>
        </w:rPr>
        <w:t xml:space="preserve">tatutárního města </w:t>
      </w:r>
      <w:proofErr w:type="gramStart"/>
      <w:r w:rsidRPr="00A80E64">
        <w:rPr>
          <w:rFonts w:ascii="Times New Roman" w:hAnsi="Times New Roman" w:cs="Times New Roman"/>
          <w:sz w:val="24"/>
          <w:szCs w:val="24"/>
        </w:rPr>
        <w:t>ČB - bezpečnostní</w:t>
      </w:r>
      <w:proofErr w:type="gramEnd"/>
      <w:r w:rsidRPr="00A80E64">
        <w:rPr>
          <w:rFonts w:ascii="Times New Roman" w:hAnsi="Times New Roman" w:cs="Times New Roman"/>
          <w:sz w:val="24"/>
          <w:szCs w:val="24"/>
        </w:rPr>
        <w:t xml:space="preserve"> opatření u hřbitova sv. Otylie. V realizaci bylo ve sledovaném období 5 projektů a 1 projekt ve fázi přípravy (Cyklostezka Boršov n. Vltavou):</w:t>
      </w:r>
    </w:p>
    <w:p w14:paraId="4356D7EB" w14:textId="77777777" w:rsidR="00C6571E" w:rsidRPr="00A80E64" w:rsidRDefault="00C6571E" w:rsidP="00C6571E">
      <w:pPr>
        <w:pStyle w:val="Odstavecseseznamem"/>
        <w:numPr>
          <w:ilvl w:val="0"/>
          <w:numId w:val="8"/>
        </w:numPr>
        <w:spacing w:after="0" w:line="240" w:lineRule="auto"/>
        <w:jc w:val="both"/>
        <w:rPr>
          <w:rFonts w:ascii="Times New Roman" w:hAnsi="Times New Roman" w:cs="Times New Roman"/>
          <w:sz w:val="24"/>
          <w:szCs w:val="24"/>
        </w:rPr>
      </w:pPr>
      <w:r w:rsidRPr="00A80E64">
        <w:rPr>
          <w:rFonts w:ascii="Times New Roman" w:hAnsi="Times New Roman" w:cs="Times New Roman"/>
          <w:sz w:val="24"/>
          <w:szCs w:val="24"/>
        </w:rPr>
        <w:t>2 projekty v Hluboké nad Vltavou – výstavba chodníků</w:t>
      </w:r>
    </w:p>
    <w:p w14:paraId="75A61DF9" w14:textId="77777777" w:rsidR="00C6571E" w:rsidRPr="00A80E64" w:rsidRDefault="00C6571E" w:rsidP="00C6571E">
      <w:pPr>
        <w:pStyle w:val="Odstavecseseznamem"/>
        <w:numPr>
          <w:ilvl w:val="0"/>
          <w:numId w:val="8"/>
        </w:numPr>
        <w:spacing w:after="0" w:line="240" w:lineRule="auto"/>
        <w:jc w:val="both"/>
        <w:rPr>
          <w:rFonts w:ascii="Times New Roman" w:hAnsi="Times New Roman" w:cs="Times New Roman"/>
          <w:sz w:val="24"/>
          <w:szCs w:val="24"/>
        </w:rPr>
      </w:pPr>
      <w:r w:rsidRPr="00A80E64">
        <w:rPr>
          <w:rFonts w:ascii="Times New Roman" w:hAnsi="Times New Roman" w:cs="Times New Roman"/>
          <w:sz w:val="24"/>
          <w:szCs w:val="24"/>
        </w:rPr>
        <w:t xml:space="preserve">2 projekty SM ČB – bezpečnostní opatření u hřbitova sv. Otylie a Cyklotrasa E, </w:t>
      </w:r>
    </w:p>
    <w:p w14:paraId="00D8BDDD" w14:textId="77777777" w:rsidR="00C6571E" w:rsidRPr="00A80E64" w:rsidRDefault="00C6571E" w:rsidP="00C6571E">
      <w:pPr>
        <w:pStyle w:val="Odstavecseseznamem"/>
        <w:numPr>
          <w:ilvl w:val="0"/>
          <w:numId w:val="8"/>
        </w:numPr>
        <w:spacing w:after="0" w:line="240" w:lineRule="auto"/>
        <w:jc w:val="both"/>
        <w:rPr>
          <w:rFonts w:ascii="Times New Roman" w:hAnsi="Times New Roman" w:cs="Times New Roman"/>
          <w:sz w:val="24"/>
          <w:szCs w:val="24"/>
        </w:rPr>
      </w:pPr>
      <w:r w:rsidRPr="00A80E64">
        <w:rPr>
          <w:rFonts w:ascii="Times New Roman" w:hAnsi="Times New Roman" w:cs="Times New Roman"/>
          <w:sz w:val="24"/>
          <w:szCs w:val="24"/>
        </w:rPr>
        <w:t xml:space="preserve">1 projekt obce </w:t>
      </w:r>
      <w:proofErr w:type="gramStart"/>
      <w:r w:rsidRPr="00A80E64">
        <w:rPr>
          <w:rFonts w:ascii="Times New Roman" w:hAnsi="Times New Roman" w:cs="Times New Roman"/>
          <w:sz w:val="24"/>
          <w:szCs w:val="24"/>
        </w:rPr>
        <w:t>Ledenice - Cyklostezka</w:t>
      </w:r>
      <w:proofErr w:type="gramEnd"/>
      <w:r w:rsidRPr="00A80E64">
        <w:rPr>
          <w:rFonts w:ascii="Times New Roman" w:hAnsi="Times New Roman" w:cs="Times New Roman"/>
          <w:sz w:val="24"/>
          <w:szCs w:val="24"/>
        </w:rPr>
        <w:t xml:space="preserve"> Ledenice.</w:t>
      </w:r>
    </w:p>
    <w:p w14:paraId="15F88A0D" w14:textId="37BF4DDD" w:rsidR="00C6571E" w:rsidRPr="00A80E64" w:rsidRDefault="00C6571E" w:rsidP="00C6571E">
      <w:pPr>
        <w:spacing w:after="0" w:line="240" w:lineRule="auto"/>
        <w:jc w:val="both"/>
        <w:rPr>
          <w:rFonts w:ascii="Times New Roman" w:hAnsi="Times New Roman" w:cs="Times New Roman"/>
          <w:sz w:val="24"/>
          <w:szCs w:val="24"/>
        </w:rPr>
      </w:pPr>
      <w:r w:rsidRPr="00A80E64">
        <w:rPr>
          <w:rFonts w:ascii="Times New Roman" w:hAnsi="Times New Roman" w:cs="Times New Roman"/>
          <w:sz w:val="24"/>
          <w:szCs w:val="24"/>
        </w:rPr>
        <w:t xml:space="preserve">Na začátku roku 2021 bude předložena žádost o dotaci na projekt Cyklostezka Boršov n. Vltavou, který je zatím ve fázi předloženého projektového záměru. Indikátor opatření bude dokončenými a realizovanými projekty splněn. </w:t>
      </w:r>
    </w:p>
    <w:p w14:paraId="7AD4C221" w14:textId="77777777" w:rsidR="00173F2E" w:rsidRPr="00A80E64" w:rsidRDefault="00173F2E" w:rsidP="00C6571E">
      <w:pPr>
        <w:pStyle w:val="Odstavecseseznamem"/>
        <w:numPr>
          <w:ilvl w:val="0"/>
          <w:numId w:val="6"/>
        </w:numPr>
        <w:spacing w:before="120" w:after="0" w:line="240" w:lineRule="auto"/>
        <w:ind w:left="0" w:firstLine="0"/>
        <w:jc w:val="both"/>
        <w:rPr>
          <w:rFonts w:ascii="Times New Roman" w:hAnsi="Times New Roman" w:cs="Times New Roman"/>
          <w:sz w:val="24"/>
          <w:szCs w:val="24"/>
        </w:rPr>
      </w:pPr>
      <w:r w:rsidRPr="00A80E64">
        <w:rPr>
          <w:rFonts w:ascii="Times New Roman" w:hAnsi="Times New Roman" w:cs="Times New Roman"/>
          <w:b/>
          <w:sz w:val="24"/>
          <w:szCs w:val="24"/>
        </w:rPr>
        <w:t xml:space="preserve">Opatření 1.1.4.1 - </w:t>
      </w:r>
      <w:r w:rsidR="004B1022" w:rsidRPr="00A80E64">
        <w:rPr>
          <w:rFonts w:ascii="Times New Roman" w:hAnsi="Times New Roman" w:cs="Times New Roman"/>
          <w:b/>
          <w:sz w:val="24"/>
          <w:szCs w:val="24"/>
        </w:rPr>
        <w:t>přestupní</w:t>
      </w:r>
      <w:r w:rsidRPr="00A80E64">
        <w:rPr>
          <w:rFonts w:ascii="Times New Roman" w:hAnsi="Times New Roman" w:cs="Times New Roman"/>
          <w:b/>
          <w:sz w:val="24"/>
          <w:szCs w:val="24"/>
        </w:rPr>
        <w:t xml:space="preserve"> uzly (terminály)</w:t>
      </w:r>
    </w:p>
    <w:p w14:paraId="4F28542D" w14:textId="411AE3A3" w:rsidR="00C6571E" w:rsidRPr="00A80E64" w:rsidRDefault="00C6571E" w:rsidP="00C6571E">
      <w:pPr>
        <w:spacing w:after="120" w:line="240" w:lineRule="auto"/>
        <w:jc w:val="both"/>
        <w:rPr>
          <w:rFonts w:ascii="Times New Roman" w:hAnsi="Times New Roman" w:cs="Times New Roman"/>
          <w:sz w:val="24"/>
          <w:szCs w:val="24"/>
        </w:rPr>
      </w:pPr>
      <w:r w:rsidRPr="00A80E64">
        <w:rPr>
          <w:rFonts w:ascii="Times New Roman" w:hAnsi="Times New Roman" w:cs="Times New Roman"/>
          <w:b/>
          <w:bCs/>
          <w:sz w:val="24"/>
          <w:szCs w:val="24"/>
        </w:rPr>
        <w:t>Terminály</w:t>
      </w:r>
      <w:r w:rsidRPr="00A80E64">
        <w:rPr>
          <w:rFonts w:ascii="Times New Roman" w:hAnsi="Times New Roman" w:cs="Times New Roman"/>
          <w:sz w:val="24"/>
          <w:szCs w:val="24"/>
        </w:rPr>
        <w:t xml:space="preserve"> – v r. 2020 byla předložena 1 žádost o dotaci – </w:t>
      </w:r>
      <w:r w:rsidR="00CA0171">
        <w:rPr>
          <w:rFonts w:ascii="Times New Roman" w:hAnsi="Times New Roman" w:cs="Times New Roman"/>
          <w:sz w:val="24"/>
          <w:szCs w:val="24"/>
        </w:rPr>
        <w:t>s</w:t>
      </w:r>
      <w:r w:rsidRPr="00A80E64">
        <w:rPr>
          <w:rFonts w:ascii="Times New Roman" w:hAnsi="Times New Roman" w:cs="Times New Roman"/>
          <w:sz w:val="24"/>
          <w:szCs w:val="24"/>
        </w:rPr>
        <w:t>tatutárním městem ČB na realizaci projektu Terminál Mariánské náměstí.</w:t>
      </w:r>
    </w:p>
    <w:p w14:paraId="59321F08" w14:textId="77777777" w:rsidR="00C6571E" w:rsidRPr="00A80E64" w:rsidRDefault="00C6571E" w:rsidP="00C6571E">
      <w:pPr>
        <w:spacing w:after="0" w:line="240" w:lineRule="auto"/>
        <w:jc w:val="both"/>
        <w:rPr>
          <w:rFonts w:ascii="Times New Roman" w:hAnsi="Times New Roman" w:cs="Times New Roman"/>
          <w:sz w:val="24"/>
          <w:szCs w:val="24"/>
        </w:rPr>
      </w:pPr>
      <w:r w:rsidRPr="00A80E64">
        <w:rPr>
          <w:rFonts w:ascii="Times New Roman" w:hAnsi="Times New Roman" w:cs="Times New Roman"/>
          <w:b/>
          <w:bCs/>
          <w:sz w:val="24"/>
          <w:szCs w:val="24"/>
        </w:rPr>
        <w:t>Vozy MHD</w:t>
      </w:r>
      <w:r w:rsidRPr="00A80E64">
        <w:rPr>
          <w:rFonts w:ascii="Times New Roman" w:hAnsi="Times New Roman" w:cs="Times New Roman"/>
          <w:sz w:val="24"/>
          <w:szCs w:val="24"/>
        </w:rPr>
        <w:t xml:space="preserve"> – pro tuto aktivitu je finanční alokace vyčerpána a indikátor (35 vozů) je naplněn. V roce 2018 byla Dopravním podnikem města ČB kompletně dokončena realizace 3 projektů na pořízení vozů MHD:</w:t>
      </w:r>
    </w:p>
    <w:p w14:paraId="72DD6A31" w14:textId="77777777" w:rsidR="00C6571E" w:rsidRPr="00A80E64" w:rsidRDefault="00C6571E" w:rsidP="00C6571E">
      <w:pPr>
        <w:pStyle w:val="Odstavecseseznamem"/>
        <w:numPr>
          <w:ilvl w:val="0"/>
          <w:numId w:val="6"/>
        </w:numPr>
        <w:spacing w:after="0" w:line="240" w:lineRule="auto"/>
        <w:jc w:val="both"/>
        <w:rPr>
          <w:rFonts w:ascii="Times New Roman" w:hAnsi="Times New Roman" w:cs="Times New Roman"/>
          <w:sz w:val="24"/>
          <w:szCs w:val="24"/>
        </w:rPr>
      </w:pPr>
      <w:r w:rsidRPr="00A80E64">
        <w:rPr>
          <w:rFonts w:ascii="Times New Roman" w:hAnsi="Times New Roman" w:cs="Times New Roman"/>
          <w:sz w:val="24"/>
          <w:szCs w:val="24"/>
        </w:rPr>
        <w:t>o</w:t>
      </w:r>
      <w:r w:rsidRPr="00A80E64">
        <w:rPr>
          <w:rFonts w:ascii="Times New Roman" w:hAnsi="Times New Roman" w:cs="Times New Roman"/>
          <w:sz w:val="24"/>
          <w:szCs w:val="24"/>
        </w:rPr>
        <w:tab/>
        <w:t>16 CNG vozů</w:t>
      </w:r>
    </w:p>
    <w:p w14:paraId="333FD668" w14:textId="77777777" w:rsidR="00C6571E" w:rsidRPr="00A80E64" w:rsidRDefault="00C6571E" w:rsidP="00C6571E">
      <w:pPr>
        <w:pStyle w:val="Odstavecseseznamem"/>
        <w:numPr>
          <w:ilvl w:val="0"/>
          <w:numId w:val="6"/>
        </w:numPr>
        <w:spacing w:after="0" w:line="240" w:lineRule="auto"/>
        <w:jc w:val="both"/>
        <w:rPr>
          <w:rFonts w:ascii="Times New Roman" w:hAnsi="Times New Roman" w:cs="Times New Roman"/>
          <w:sz w:val="24"/>
          <w:szCs w:val="24"/>
        </w:rPr>
      </w:pPr>
      <w:r w:rsidRPr="00A80E64">
        <w:rPr>
          <w:rFonts w:ascii="Times New Roman" w:hAnsi="Times New Roman" w:cs="Times New Roman"/>
          <w:sz w:val="24"/>
          <w:szCs w:val="24"/>
        </w:rPr>
        <w:lastRenderedPageBreak/>
        <w:t>o</w:t>
      </w:r>
      <w:r w:rsidRPr="00A80E64">
        <w:rPr>
          <w:rFonts w:ascii="Times New Roman" w:hAnsi="Times New Roman" w:cs="Times New Roman"/>
          <w:sz w:val="24"/>
          <w:szCs w:val="24"/>
        </w:rPr>
        <w:tab/>
        <w:t>8 CNG vozů;</w:t>
      </w:r>
    </w:p>
    <w:p w14:paraId="33113052" w14:textId="77777777" w:rsidR="00C6571E" w:rsidRPr="00A80E64" w:rsidRDefault="00C6571E" w:rsidP="00C6571E">
      <w:pPr>
        <w:pStyle w:val="Odstavecseseznamem"/>
        <w:numPr>
          <w:ilvl w:val="0"/>
          <w:numId w:val="6"/>
        </w:numPr>
        <w:spacing w:after="0" w:line="240" w:lineRule="auto"/>
        <w:jc w:val="both"/>
        <w:rPr>
          <w:rFonts w:ascii="Times New Roman" w:hAnsi="Times New Roman" w:cs="Times New Roman"/>
          <w:sz w:val="24"/>
          <w:szCs w:val="24"/>
        </w:rPr>
      </w:pPr>
      <w:r w:rsidRPr="00A80E64">
        <w:rPr>
          <w:rFonts w:ascii="Times New Roman" w:hAnsi="Times New Roman" w:cs="Times New Roman"/>
          <w:sz w:val="24"/>
          <w:szCs w:val="24"/>
        </w:rPr>
        <w:t>o</w:t>
      </w:r>
      <w:r w:rsidRPr="00A80E64">
        <w:rPr>
          <w:rFonts w:ascii="Times New Roman" w:hAnsi="Times New Roman" w:cs="Times New Roman"/>
          <w:sz w:val="24"/>
          <w:szCs w:val="24"/>
        </w:rPr>
        <w:tab/>
        <w:t>11 trolejbusů</w:t>
      </w:r>
    </w:p>
    <w:p w14:paraId="357779C7" w14:textId="77777777" w:rsidR="00C6571E" w:rsidRPr="00A80E64" w:rsidRDefault="00C6571E" w:rsidP="00C6571E">
      <w:pPr>
        <w:spacing w:after="120" w:line="240" w:lineRule="auto"/>
        <w:ind w:left="360"/>
        <w:jc w:val="both"/>
        <w:rPr>
          <w:rFonts w:ascii="Times New Roman" w:hAnsi="Times New Roman" w:cs="Times New Roman"/>
          <w:sz w:val="24"/>
          <w:szCs w:val="24"/>
        </w:rPr>
      </w:pPr>
      <w:r w:rsidRPr="00A80E64">
        <w:rPr>
          <w:rFonts w:ascii="Times New Roman" w:hAnsi="Times New Roman" w:cs="Times New Roman"/>
          <w:sz w:val="24"/>
          <w:szCs w:val="24"/>
        </w:rPr>
        <w:t>v celkovém objemu 289.868.981 Kč (podíl EU). Alokace opatření pro vozy veřejné hromadné dopravy je vyčerpána, indikátor je naplněn.</w:t>
      </w:r>
    </w:p>
    <w:p w14:paraId="4387A5C7" w14:textId="77777777" w:rsidR="004B1022" w:rsidRPr="00A80E64" w:rsidRDefault="00C6571E" w:rsidP="00C6571E">
      <w:pPr>
        <w:spacing w:line="240" w:lineRule="auto"/>
        <w:jc w:val="both"/>
        <w:rPr>
          <w:rFonts w:ascii="Times New Roman" w:hAnsi="Times New Roman" w:cs="Times New Roman"/>
          <w:sz w:val="24"/>
          <w:szCs w:val="24"/>
        </w:rPr>
      </w:pPr>
      <w:r w:rsidRPr="00A80E64">
        <w:rPr>
          <w:rFonts w:ascii="Times New Roman" w:hAnsi="Times New Roman" w:cs="Times New Roman"/>
          <w:b/>
          <w:bCs/>
          <w:sz w:val="24"/>
          <w:szCs w:val="24"/>
        </w:rPr>
        <w:t>Telematika MHD</w:t>
      </w:r>
      <w:r w:rsidRPr="00A80E64">
        <w:rPr>
          <w:rFonts w:ascii="Times New Roman" w:hAnsi="Times New Roman" w:cs="Times New Roman"/>
          <w:sz w:val="24"/>
          <w:szCs w:val="24"/>
        </w:rPr>
        <w:t xml:space="preserve"> –předložena 1 žádost Dopravním podnikem města ČB na pořízení telematiky pro MHD.</w:t>
      </w:r>
    </w:p>
    <w:p w14:paraId="45EF9F01" w14:textId="77777777" w:rsidR="004B1022" w:rsidRPr="00A80E64" w:rsidRDefault="004B1022" w:rsidP="00171CE0">
      <w:pPr>
        <w:spacing w:before="120" w:after="120" w:line="240" w:lineRule="auto"/>
        <w:jc w:val="both"/>
        <w:rPr>
          <w:rFonts w:ascii="Times New Roman" w:hAnsi="Times New Roman" w:cs="Times New Roman"/>
          <w:b/>
          <w:sz w:val="24"/>
          <w:szCs w:val="24"/>
        </w:rPr>
      </w:pPr>
      <w:r w:rsidRPr="00A80E64">
        <w:rPr>
          <w:rFonts w:ascii="Times New Roman" w:hAnsi="Times New Roman" w:cs="Times New Roman"/>
          <w:b/>
          <w:color w:val="000000" w:themeColor="text1"/>
          <w:sz w:val="24"/>
          <w:szCs w:val="24"/>
        </w:rPr>
        <w:t xml:space="preserve">IROP SC 2.4 – Projekty na vybudování infrastruktury základních a středních škol (technické učebny) a projekty na navýšení </w:t>
      </w:r>
      <w:r w:rsidR="007C4040" w:rsidRPr="00A80E64">
        <w:rPr>
          <w:rFonts w:ascii="Times New Roman" w:hAnsi="Times New Roman" w:cs="Times New Roman"/>
          <w:b/>
          <w:color w:val="000000" w:themeColor="text1"/>
          <w:sz w:val="24"/>
          <w:szCs w:val="24"/>
        </w:rPr>
        <w:t xml:space="preserve">mateřských škol </w:t>
      </w:r>
      <w:r w:rsidRPr="00A80E64">
        <w:rPr>
          <w:rFonts w:ascii="Times New Roman" w:hAnsi="Times New Roman" w:cs="Times New Roman"/>
          <w:b/>
          <w:color w:val="000000" w:themeColor="text1"/>
          <w:sz w:val="24"/>
          <w:szCs w:val="24"/>
        </w:rPr>
        <w:t>kapacity</w:t>
      </w:r>
      <w:r w:rsidRPr="00A80E64">
        <w:rPr>
          <w:rFonts w:ascii="Times New Roman" w:hAnsi="Times New Roman" w:cs="Times New Roman"/>
          <w:b/>
          <w:color w:val="2E74B5" w:themeColor="accent1" w:themeShade="BF"/>
          <w:sz w:val="24"/>
          <w:szCs w:val="24"/>
        </w:rPr>
        <w:t xml:space="preserve"> </w:t>
      </w:r>
    </w:p>
    <w:p w14:paraId="14B3CFCB" w14:textId="77777777" w:rsidR="00173F2E" w:rsidRPr="00A80E64" w:rsidRDefault="004B1022" w:rsidP="00171CE0">
      <w:pPr>
        <w:pStyle w:val="Odstavecseseznamem"/>
        <w:numPr>
          <w:ilvl w:val="0"/>
          <w:numId w:val="7"/>
        </w:numPr>
        <w:spacing w:after="0" w:line="240" w:lineRule="auto"/>
        <w:ind w:left="0" w:firstLine="0"/>
        <w:jc w:val="both"/>
        <w:rPr>
          <w:rFonts w:ascii="Times New Roman" w:hAnsi="Times New Roman" w:cs="Times New Roman"/>
          <w:sz w:val="24"/>
          <w:szCs w:val="24"/>
        </w:rPr>
      </w:pPr>
      <w:r w:rsidRPr="00A80E64">
        <w:rPr>
          <w:rFonts w:ascii="Times New Roman" w:hAnsi="Times New Roman" w:cs="Times New Roman"/>
          <w:b/>
          <w:sz w:val="24"/>
          <w:szCs w:val="24"/>
        </w:rPr>
        <w:t>Opatření 2.1.1</w:t>
      </w:r>
      <w:r w:rsidRPr="00A80E64">
        <w:rPr>
          <w:rFonts w:ascii="Times New Roman" w:hAnsi="Times New Roman" w:cs="Times New Roman"/>
          <w:sz w:val="24"/>
          <w:szCs w:val="24"/>
        </w:rPr>
        <w:t xml:space="preserve"> </w:t>
      </w:r>
      <w:r w:rsidR="00173F2E" w:rsidRPr="00A80E64">
        <w:rPr>
          <w:rFonts w:ascii="Times New Roman" w:hAnsi="Times New Roman" w:cs="Times New Roman"/>
          <w:sz w:val="24"/>
          <w:szCs w:val="24"/>
        </w:rPr>
        <w:t xml:space="preserve">- </w:t>
      </w:r>
      <w:r w:rsidRPr="00A80E64">
        <w:rPr>
          <w:rFonts w:ascii="Times New Roman" w:hAnsi="Times New Roman" w:cs="Times New Roman"/>
          <w:b/>
          <w:sz w:val="24"/>
          <w:szCs w:val="24"/>
        </w:rPr>
        <w:t>vybudování infrastruktury základních škol (technické učebny)</w:t>
      </w:r>
      <w:r w:rsidRPr="00A80E64">
        <w:rPr>
          <w:rFonts w:ascii="Times New Roman" w:hAnsi="Times New Roman" w:cs="Times New Roman"/>
          <w:sz w:val="24"/>
          <w:szCs w:val="24"/>
        </w:rPr>
        <w:t xml:space="preserve"> </w:t>
      </w:r>
    </w:p>
    <w:p w14:paraId="51375DD6" w14:textId="77777777" w:rsidR="00C6571E" w:rsidRPr="00A80E64" w:rsidRDefault="00C6571E" w:rsidP="00C6571E">
      <w:pPr>
        <w:pStyle w:val="Odstavecseseznamem"/>
        <w:spacing w:after="120" w:line="240" w:lineRule="auto"/>
        <w:ind w:left="0"/>
        <w:contextualSpacing w:val="0"/>
        <w:jc w:val="both"/>
        <w:rPr>
          <w:rFonts w:ascii="Times New Roman" w:hAnsi="Times New Roman" w:cs="Times New Roman"/>
          <w:sz w:val="24"/>
          <w:szCs w:val="24"/>
        </w:rPr>
      </w:pPr>
      <w:r w:rsidRPr="00A80E64">
        <w:rPr>
          <w:rFonts w:ascii="Times New Roman" w:hAnsi="Times New Roman" w:cs="Times New Roman"/>
          <w:sz w:val="24"/>
          <w:szCs w:val="24"/>
        </w:rPr>
        <w:t>Ve sledovaném období byla zahájena realizace projektu ZŠ Bezdrevská a 3 projektů ZŠ, které byly zahájeny v r. 2019. Všechny projekty byly v r. 2020 dokončeny a proplaceny. Indikátor opatření je splněn.</w:t>
      </w:r>
    </w:p>
    <w:p w14:paraId="5417B255" w14:textId="77777777" w:rsidR="00896A66" w:rsidRPr="00A80E64" w:rsidRDefault="00D77138" w:rsidP="00C6571E">
      <w:pPr>
        <w:pStyle w:val="Odstavecseseznamem"/>
        <w:numPr>
          <w:ilvl w:val="0"/>
          <w:numId w:val="7"/>
        </w:numPr>
        <w:spacing w:before="120" w:after="0" w:line="240" w:lineRule="auto"/>
        <w:jc w:val="both"/>
        <w:rPr>
          <w:rFonts w:ascii="Times New Roman" w:hAnsi="Times New Roman" w:cs="Times New Roman"/>
          <w:sz w:val="24"/>
          <w:szCs w:val="24"/>
        </w:rPr>
      </w:pPr>
      <w:r w:rsidRPr="00A80E64">
        <w:rPr>
          <w:rFonts w:ascii="Times New Roman" w:hAnsi="Times New Roman" w:cs="Times New Roman"/>
          <w:b/>
          <w:sz w:val="24"/>
          <w:szCs w:val="24"/>
        </w:rPr>
        <w:t>Opatření</w:t>
      </w:r>
      <w:r w:rsidR="004B1022" w:rsidRPr="00A80E64">
        <w:rPr>
          <w:rFonts w:ascii="Times New Roman" w:hAnsi="Times New Roman" w:cs="Times New Roman"/>
          <w:b/>
          <w:sz w:val="24"/>
          <w:szCs w:val="24"/>
        </w:rPr>
        <w:t xml:space="preserve"> 2.1.2</w:t>
      </w:r>
      <w:r w:rsidR="004B1022" w:rsidRPr="00A80E64">
        <w:rPr>
          <w:rFonts w:ascii="Times New Roman" w:hAnsi="Times New Roman" w:cs="Times New Roman"/>
          <w:sz w:val="24"/>
          <w:szCs w:val="24"/>
        </w:rPr>
        <w:t xml:space="preserve"> </w:t>
      </w:r>
      <w:r w:rsidR="00896A66" w:rsidRPr="00A80E64">
        <w:rPr>
          <w:rFonts w:ascii="Times New Roman" w:hAnsi="Times New Roman" w:cs="Times New Roman"/>
          <w:b/>
          <w:sz w:val="24"/>
          <w:szCs w:val="24"/>
        </w:rPr>
        <w:t>-</w:t>
      </w:r>
      <w:r w:rsidR="004B1022" w:rsidRPr="00A80E64">
        <w:rPr>
          <w:rFonts w:ascii="Times New Roman" w:hAnsi="Times New Roman" w:cs="Times New Roman"/>
          <w:b/>
          <w:sz w:val="24"/>
          <w:szCs w:val="24"/>
        </w:rPr>
        <w:t xml:space="preserve"> vybudování infrastruktury středních škol (technické učebny)</w:t>
      </w:r>
    </w:p>
    <w:p w14:paraId="2C214DAF" w14:textId="77777777" w:rsidR="00C6571E" w:rsidRPr="00A80E64" w:rsidRDefault="00C6571E" w:rsidP="00C6571E">
      <w:pPr>
        <w:spacing w:after="0" w:line="240" w:lineRule="auto"/>
        <w:jc w:val="both"/>
        <w:rPr>
          <w:rFonts w:ascii="Times New Roman" w:hAnsi="Times New Roman" w:cs="Times New Roman"/>
          <w:sz w:val="24"/>
          <w:szCs w:val="24"/>
        </w:rPr>
      </w:pPr>
      <w:r w:rsidRPr="00A80E64">
        <w:rPr>
          <w:rFonts w:ascii="Times New Roman" w:hAnsi="Times New Roman" w:cs="Times New Roman"/>
          <w:sz w:val="24"/>
          <w:szCs w:val="24"/>
        </w:rPr>
        <w:t xml:space="preserve">Ve sledovaném období probíhala realizace 7 projektů, podaných do 25. výzvy IPRÚ. Realizace všech projektů byla dokončena a 5 projektů již bylo proplaceno a 2 projekty jsou ve fázi schválení podané </w:t>
      </w:r>
      <w:proofErr w:type="spellStart"/>
      <w:r w:rsidRPr="00A80E64">
        <w:rPr>
          <w:rFonts w:ascii="Times New Roman" w:hAnsi="Times New Roman" w:cs="Times New Roman"/>
          <w:sz w:val="24"/>
          <w:szCs w:val="24"/>
        </w:rPr>
        <w:t>ŽoP</w:t>
      </w:r>
      <w:proofErr w:type="spellEnd"/>
      <w:r w:rsidRPr="00A80E64">
        <w:rPr>
          <w:rFonts w:ascii="Times New Roman" w:hAnsi="Times New Roman" w:cs="Times New Roman"/>
          <w:sz w:val="24"/>
          <w:szCs w:val="24"/>
        </w:rPr>
        <w:t>. Alokace Opatření 2.1.2 je vyčerpána. Indikátor opatření je splněn.</w:t>
      </w:r>
    </w:p>
    <w:p w14:paraId="14ADEE25" w14:textId="77777777" w:rsidR="00896A66" w:rsidRPr="00A80E64" w:rsidRDefault="004B1022" w:rsidP="00171CE0">
      <w:pPr>
        <w:pStyle w:val="Odstavecseseznamem"/>
        <w:numPr>
          <w:ilvl w:val="0"/>
          <w:numId w:val="7"/>
        </w:numPr>
        <w:spacing w:before="120" w:after="0" w:line="240" w:lineRule="auto"/>
        <w:ind w:left="0" w:firstLine="0"/>
        <w:jc w:val="both"/>
        <w:rPr>
          <w:rFonts w:ascii="Times New Roman" w:hAnsi="Times New Roman" w:cs="Times New Roman"/>
          <w:b/>
          <w:sz w:val="24"/>
          <w:szCs w:val="24"/>
        </w:rPr>
      </w:pPr>
      <w:r w:rsidRPr="00A80E64">
        <w:rPr>
          <w:rFonts w:ascii="Times New Roman" w:hAnsi="Times New Roman" w:cs="Times New Roman"/>
          <w:b/>
          <w:sz w:val="24"/>
          <w:szCs w:val="24"/>
        </w:rPr>
        <w:t xml:space="preserve">Opatření 2.1.3 </w:t>
      </w:r>
      <w:r w:rsidR="00896A66" w:rsidRPr="00A80E64">
        <w:rPr>
          <w:rFonts w:ascii="Times New Roman" w:hAnsi="Times New Roman" w:cs="Times New Roman"/>
          <w:b/>
          <w:sz w:val="24"/>
          <w:szCs w:val="24"/>
        </w:rPr>
        <w:t>-</w:t>
      </w:r>
      <w:r w:rsidRPr="00A80E64">
        <w:rPr>
          <w:rFonts w:ascii="Times New Roman" w:hAnsi="Times New Roman" w:cs="Times New Roman"/>
          <w:b/>
          <w:sz w:val="24"/>
          <w:szCs w:val="24"/>
        </w:rPr>
        <w:t xml:space="preserve"> navýšení kapacity mateřských škol </w:t>
      </w:r>
    </w:p>
    <w:p w14:paraId="6F95C46D" w14:textId="297D4353" w:rsidR="007C4040" w:rsidRPr="00A80E64" w:rsidRDefault="00C6571E" w:rsidP="00171CE0">
      <w:pPr>
        <w:spacing w:line="240" w:lineRule="auto"/>
        <w:jc w:val="both"/>
        <w:rPr>
          <w:rFonts w:ascii="Times New Roman" w:hAnsi="Times New Roman" w:cs="Times New Roman"/>
          <w:sz w:val="24"/>
          <w:szCs w:val="24"/>
        </w:rPr>
      </w:pPr>
      <w:r w:rsidRPr="00A80E64">
        <w:rPr>
          <w:rFonts w:ascii="Times New Roman" w:hAnsi="Times New Roman" w:cs="Times New Roman"/>
          <w:sz w:val="24"/>
          <w:szCs w:val="24"/>
        </w:rPr>
        <w:t>V</w:t>
      </w:r>
      <w:r w:rsidR="00AD0489">
        <w:rPr>
          <w:rFonts w:ascii="Times New Roman" w:hAnsi="Times New Roman" w:cs="Times New Roman"/>
          <w:sz w:val="24"/>
          <w:szCs w:val="24"/>
        </w:rPr>
        <w:t xml:space="preserve"> </w:t>
      </w:r>
      <w:r w:rsidRPr="00A80E64">
        <w:rPr>
          <w:rFonts w:ascii="Times New Roman" w:hAnsi="Times New Roman" w:cs="Times New Roman"/>
          <w:sz w:val="24"/>
          <w:szCs w:val="24"/>
        </w:rPr>
        <w:t xml:space="preserve">r roce 2020 nebyl žádný projekt realizován. Alokace opatření byla vyčerpána již k 31. 12. 2019, indikátor opatření je splněn. </w:t>
      </w:r>
      <w:r w:rsidR="00583EFA" w:rsidRPr="00A80E64">
        <w:rPr>
          <w:rFonts w:ascii="Times New Roman" w:hAnsi="Times New Roman" w:cs="Times New Roman"/>
          <w:sz w:val="24"/>
          <w:szCs w:val="24"/>
        </w:rPr>
        <w:t>Celkem je dokončeno 6 projektů (MŠ E. Destinové, MŠ Nemanice, MŠ Plav, MŠ Suché Vrbné, M</w:t>
      </w:r>
      <w:r w:rsidR="008829F1" w:rsidRPr="00A80E64">
        <w:rPr>
          <w:rFonts w:ascii="Times New Roman" w:hAnsi="Times New Roman" w:cs="Times New Roman"/>
          <w:sz w:val="24"/>
          <w:szCs w:val="24"/>
        </w:rPr>
        <w:t>Š Radošovice, MŠ Doudleby). Uvedené</w:t>
      </w:r>
      <w:r w:rsidR="00583EFA" w:rsidRPr="00A80E64">
        <w:rPr>
          <w:rFonts w:ascii="Times New Roman" w:hAnsi="Times New Roman" w:cs="Times New Roman"/>
          <w:sz w:val="24"/>
          <w:szCs w:val="24"/>
        </w:rPr>
        <w:t xml:space="preserve"> projekty naplnily finanční plán částkou 97 250 233 Kč a indikátor počet zařízení SŠ ve výši 6 zařízení. </w:t>
      </w:r>
      <w:r w:rsidR="007C4040" w:rsidRPr="00A80E64">
        <w:rPr>
          <w:rFonts w:ascii="Times New Roman" w:hAnsi="Times New Roman" w:cs="Times New Roman"/>
          <w:sz w:val="24"/>
          <w:szCs w:val="24"/>
        </w:rPr>
        <w:t xml:space="preserve">Zbytková alokace ve výši 393 517 Kč </w:t>
      </w:r>
      <w:r w:rsidRPr="00A80E64">
        <w:rPr>
          <w:rFonts w:ascii="Times New Roman" w:hAnsi="Times New Roman" w:cs="Times New Roman"/>
          <w:sz w:val="24"/>
          <w:szCs w:val="24"/>
        </w:rPr>
        <w:t xml:space="preserve">byla </w:t>
      </w:r>
      <w:r w:rsidR="007C4040" w:rsidRPr="00A80E64">
        <w:rPr>
          <w:rFonts w:ascii="Times New Roman" w:hAnsi="Times New Roman" w:cs="Times New Roman"/>
          <w:sz w:val="24"/>
          <w:szCs w:val="24"/>
        </w:rPr>
        <w:t>přesun</w:t>
      </w:r>
      <w:r w:rsidRPr="00A80E64">
        <w:rPr>
          <w:rFonts w:ascii="Times New Roman" w:hAnsi="Times New Roman" w:cs="Times New Roman"/>
          <w:sz w:val="24"/>
          <w:szCs w:val="24"/>
        </w:rPr>
        <w:t>uta</w:t>
      </w:r>
      <w:r w:rsidR="007C4040" w:rsidRPr="00A80E64">
        <w:rPr>
          <w:rFonts w:ascii="Times New Roman" w:hAnsi="Times New Roman" w:cs="Times New Roman"/>
          <w:sz w:val="24"/>
          <w:szCs w:val="24"/>
        </w:rPr>
        <w:t xml:space="preserve"> do Opatření 2.1.1.</w:t>
      </w:r>
      <w:r w:rsidR="00817AE1" w:rsidRPr="00A80E64">
        <w:rPr>
          <w:rFonts w:ascii="Times New Roman" w:hAnsi="Times New Roman" w:cs="Times New Roman"/>
          <w:sz w:val="24"/>
          <w:szCs w:val="24"/>
        </w:rPr>
        <w:t xml:space="preserve"> </w:t>
      </w:r>
      <w:r w:rsidR="007C4040" w:rsidRPr="00A80E64">
        <w:rPr>
          <w:rFonts w:ascii="Times New Roman" w:hAnsi="Times New Roman" w:cs="Times New Roman"/>
          <w:sz w:val="24"/>
          <w:szCs w:val="24"/>
        </w:rPr>
        <w:t>I</w:t>
      </w:r>
      <w:r w:rsidR="00583EFA" w:rsidRPr="00A80E64">
        <w:rPr>
          <w:rFonts w:ascii="Times New Roman" w:hAnsi="Times New Roman" w:cs="Times New Roman"/>
          <w:sz w:val="24"/>
          <w:szCs w:val="24"/>
        </w:rPr>
        <w:t>ndikátor Počet zařízení MŠ je p</w:t>
      </w:r>
      <w:r w:rsidR="008829F1" w:rsidRPr="00A80E64">
        <w:rPr>
          <w:rFonts w:ascii="Times New Roman" w:hAnsi="Times New Roman" w:cs="Times New Roman"/>
          <w:sz w:val="24"/>
          <w:szCs w:val="24"/>
        </w:rPr>
        <w:t>řekročen o 2 zařízení (plánováno</w:t>
      </w:r>
      <w:r w:rsidR="00583EFA" w:rsidRPr="00A80E64">
        <w:rPr>
          <w:rFonts w:ascii="Times New Roman" w:hAnsi="Times New Roman" w:cs="Times New Roman"/>
          <w:sz w:val="24"/>
          <w:szCs w:val="24"/>
        </w:rPr>
        <w:t xml:space="preserve"> 4</w:t>
      </w:r>
      <w:r w:rsidR="008829F1" w:rsidRPr="00A80E64">
        <w:rPr>
          <w:rFonts w:ascii="Times New Roman" w:hAnsi="Times New Roman" w:cs="Times New Roman"/>
          <w:sz w:val="24"/>
          <w:szCs w:val="24"/>
        </w:rPr>
        <w:t xml:space="preserve"> zařízení, skutečnost</w:t>
      </w:r>
      <w:r w:rsidR="00583EFA" w:rsidRPr="00A80E64">
        <w:rPr>
          <w:rFonts w:ascii="Times New Roman" w:hAnsi="Times New Roman" w:cs="Times New Roman"/>
          <w:sz w:val="24"/>
          <w:szCs w:val="24"/>
        </w:rPr>
        <w:t xml:space="preserve"> 6).</w:t>
      </w:r>
    </w:p>
    <w:p w14:paraId="5F9D7245" w14:textId="77777777" w:rsidR="007C4040" w:rsidRPr="00A80E64" w:rsidRDefault="007C4040">
      <w:pPr>
        <w:spacing w:after="160" w:line="259" w:lineRule="auto"/>
        <w:rPr>
          <w:rFonts w:ascii="Times New Roman" w:hAnsi="Times New Roman" w:cs="Times New Roman"/>
          <w:sz w:val="24"/>
          <w:szCs w:val="24"/>
        </w:rPr>
      </w:pPr>
      <w:r w:rsidRPr="00A80E64">
        <w:rPr>
          <w:rFonts w:ascii="Times New Roman" w:hAnsi="Times New Roman" w:cs="Times New Roman"/>
          <w:sz w:val="24"/>
          <w:szCs w:val="24"/>
        </w:rPr>
        <w:br w:type="page"/>
      </w:r>
    </w:p>
    <w:p w14:paraId="3635B7D4" w14:textId="77777777" w:rsidR="00842F93" w:rsidRPr="00D355AD" w:rsidRDefault="000E69B1" w:rsidP="00171CE0">
      <w:pPr>
        <w:spacing w:before="120" w:after="120" w:line="240" w:lineRule="auto"/>
        <w:jc w:val="both"/>
        <w:outlineLvl w:val="0"/>
        <w:rPr>
          <w:rFonts w:ascii="Times New Roman" w:hAnsi="Times New Roman" w:cs="Times New Roman"/>
          <w:b/>
          <w:sz w:val="24"/>
          <w:szCs w:val="24"/>
          <w:u w:val="single"/>
        </w:rPr>
      </w:pPr>
      <w:r w:rsidRPr="00D355AD">
        <w:rPr>
          <w:rFonts w:ascii="Times New Roman" w:hAnsi="Times New Roman" w:cs="Times New Roman"/>
          <w:b/>
          <w:sz w:val="24"/>
          <w:szCs w:val="24"/>
          <w:u w:val="single"/>
        </w:rPr>
        <w:lastRenderedPageBreak/>
        <w:t>Zhodnocení realizace.</w:t>
      </w:r>
    </w:p>
    <w:p w14:paraId="45DA1609" w14:textId="77777777" w:rsidR="00CA2DD5" w:rsidRPr="00D355AD" w:rsidRDefault="00CA2DD5" w:rsidP="00CA2DD5">
      <w:pPr>
        <w:rPr>
          <w:rFonts w:ascii="Times New Roman" w:hAnsi="Times New Roman" w:cs="Times New Roman"/>
          <w:b/>
          <w:sz w:val="24"/>
          <w:szCs w:val="24"/>
        </w:rPr>
      </w:pPr>
      <w:r w:rsidRPr="00D355AD">
        <w:rPr>
          <w:rFonts w:ascii="Times New Roman" w:hAnsi="Times New Roman" w:cs="Times New Roman"/>
          <w:b/>
          <w:sz w:val="24"/>
          <w:szCs w:val="24"/>
        </w:rPr>
        <w:t>Přehled celkového plnění k 31. 10. 20</w:t>
      </w:r>
      <w:r w:rsidR="00A80E64" w:rsidRPr="00D355AD">
        <w:rPr>
          <w:rFonts w:ascii="Times New Roman" w:hAnsi="Times New Roman" w:cs="Times New Roman"/>
          <w:b/>
          <w:sz w:val="24"/>
          <w:szCs w:val="24"/>
        </w:rPr>
        <w:t>20</w:t>
      </w:r>
      <w:r w:rsidRPr="00D355AD">
        <w:rPr>
          <w:rFonts w:ascii="Times New Roman" w:hAnsi="Times New Roman" w:cs="Times New Roman"/>
          <w:b/>
          <w:sz w:val="24"/>
          <w:szCs w:val="24"/>
        </w:rPr>
        <w:t xml:space="preserve"> (IROP dle specifických cílů).</w:t>
      </w:r>
    </w:p>
    <w:p w14:paraId="5A8C1ED3" w14:textId="4BA5A58C" w:rsidR="00CA2DD5" w:rsidRPr="00D355AD" w:rsidRDefault="00DE0C24" w:rsidP="009E3E60">
      <w:pPr>
        <w:spacing w:line="240" w:lineRule="auto"/>
        <w:jc w:val="both"/>
        <w:rPr>
          <w:rFonts w:ascii="Times New Roman" w:hAnsi="Times New Roman" w:cs="Times New Roman"/>
          <w:sz w:val="24"/>
          <w:szCs w:val="24"/>
        </w:rPr>
      </w:pPr>
      <w:r w:rsidRPr="00D355AD">
        <w:rPr>
          <w:rFonts w:ascii="Times New Roman" w:hAnsi="Times New Roman" w:cs="Times New Roman"/>
          <w:sz w:val="24"/>
          <w:szCs w:val="24"/>
        </w:rPr>
        <w:t xml:space="preserve">MMR ČR nastavilo pro nositele strategií v rámci čerpání IROP k 31. 10. 2020 </w:t>
      </w:r>
      <w:r w:rsidRPr="00D355AD">
        <w:rPr>
          <w:rFonts w:ascii="Times New Roman" w:hAnsi="Times New Roman" w:cs="Times New Roman"/>
          <w:b/>
          <w:bCs/>
          <w:sz w:val="24"/>
          <w:szCs w:val="24"/>
        </w:rPr>
        <w:t xml:space="preserve">povinou minimální hranici </w:t>
      </w:r>
      <w:r w:rsidRPr="00D355AD">
        <w:rPr>
          <w:rFonts w:ascii="Times New Roman" w:hAnsi="Times New Roman" w:cs="Times New Roman"/>
          <w:sz w:val="24"/>
          <w:szCs w:val="24"/>
        </w:rPr>
        <w:t xml:space="preserve">čerpání z celkového finančního plánu ve výši </w:t>
      </w:r>
      <w:r w:rsidRPr="00D355AD">
        <w:rPr>
          <w:rFonts w:ascii="Times New Roman" w:hAnsi="Times New Roman" w:cs="Times New Roman"/>
          <w:b/>
          <w:bCs/>
          <w:sz w:val="24"/>
          <w:szCs w:val="24"/>
        </w:rPr>
        <w:t>55,4 %</w:t>
      </w:r>
      <w:r w:rsidRPr="00D355AD">
        <w:rPr>
          <w:rFonts w:ascii="Times New Roman" w:hAnsi="Times New Roman" w:cs="Times New Roman"/>
          <w:sz w:val="24"/>
          <w:szCs w:val="24"/>
        </w:rPr>
        <w:t xml:space="preserve">. V případě nesplnění nebude ministerstvo, v souvislosti s celkovou ztíženou situací v ČR přistupovat při nesplnění finančního plánu k odebrání alokace. Do čerpání alokace jsou započítávány všechny předložené Žádosti o platbu k 31. 10. 2020. Město České Budějovice prostřednictvím předložených Žádostí o platbu dosáhlo plnění ve výši </w:t>
      </w:r>
      <w:r w:rsidRPr="00D355AD">
        <w:rPr>
          <w:rFonts w:ascii="Times New Roman" w:hAnsi="Times New Roman" w:cs="Times New Roman"/>
          <w:b/>
          <w:bCs/>
          <w:sz w:val="24"/>
          <w:szCs w:val="24"/>
        </w:rPr>
        <w:t>55,7 %</w:t>
      </w:r>
      <w:r w:rsidRPr="00D355AD">
        <w:rPr>
          <w:rFonts w:ascii="Times New Roman" w:hAnsi="Times New Roman" w:cs="Times New Roman"/>
          <w:sz w:val="24"/>
          <w:szCs w:val="24"/>
        </w:rPr>
        <w:t xml:space="preserve"> celkového finančního plánu a jako jediné město z územní dimenze (IPRÚ a ITI) v ČR splnilo finanční plán ve všech dosavadních letech (2018-2020) implementace strategií. Následující přehled znázorňuje plnění finančního plánu k 31. 10. 2020. Splnění plánovaných ukazatelů (finančního plánu a indikátorů) je prioritním úkolem v současné fázi realizace strategie (částky jsou uvedeny ve výši dotace EU).</w:t>
      </w:r>
    </w:p>
    <w:p w14:paraId="4C877066" w14:textId="1CB8772A" w:rsidR="00CA2DD5" w:rsidRPr="00D355AD" w:rsidRDefault="00CA2DD5" w:rsidP="00CA2DD5">
      <w:pPr>
        <w:jc w:val="both"/>
        <w:rPr>
          <w:rFonts w:ascii="Times New Roman" w:hAnsi="Times New Roman" w:cs="Times New Roman"/>
          <w:b/>
          <w:sz w:val="24"/>
          <w:szCs w:val="24"/>
        </w:rPr>
      </w:pPr>
      <w:r w:rsidRPr="00D355AD">
        <w:rPr>
          <w:rFonts w:ascii="Times New Roman" w:hAnsi="Times New Roman" w:cs="Times New Roman"/>
          <w:b/>
          <w:sz w:val="24"/>
          <w:szCs w:val="24"/>
        </w:rPr>
        <w:t xml:space="preserve">Přehled o </w:t>
      </w:r>
      <w:r w:rsidR="000B6253" w:rsidRPr="00D355AD">
        <w:rPr>
          <w:rFonts w:ascii="Times New Roman" w:hAnsi="Times New Roman" w:cs="Times New Roman"/>
          <w:b/>
          <w:sz w:val="24"/>
          <w:szCs w:val="24"/>
        </w:rPr>
        <w:t xml:space="preserve">finančním </w:t>
      </w:r>
      <w:r w:rsidRPr="00D355AD">
        <w:rPr>
          <w:rFonts w:ascii="Times New Roman" w:hAnsi="Times New Roman" w:cs="Times New Roman"/>
          <w:b/>
          <w:sz w:val="24"/>
          <w:szCs w:val="24"/>
        </w:rPr>
        <w:t>plnění strategie k 31. 10. 20</w:t>
      </w:r>
      <w:r w:rsidR="00A80E64" w:rsidRPr="00D355AD">
        <w:rPr>
          <w:rFonts w:ascii="Times New Roman" w:hAnsi="Times New Roman" w:cs="Times New Roman"/>
          <w:b/>
          <w:sz w:val="24"/>
          <w:szCs w:val="24"/>
        </w:rPr>
        <w:t>20</w:t>
      </w:r>
      <w:r w:rsidR="00CF1054">
        <w:rPr>
          <w:rFonts w:ascii="Times New Roman" w:hAnsi="Times New Roman" w:cs="Times New Roman"/>
          <w:b/>
          <w:sz w:val="24"/>
          <w:szCs w:val="24"/>
        </w:rPr>
        <w:t xml:space="preserve"> (IROP)</w:t>
      </w:r>
      <w:r w:rsidRPr="00D355AD">
        <w:rPr>
          <w:rFonts w:ascii="Times New Roman" w:hAnsi="Times New Roman" w:cs="Times New Roman"/>
          <w:b/>
          <w:sz w:val="24"/>
          <w:szCs w:val="24"/>
        </w:rPr>
        <w:t>:</w:t>
      </w:r>
    </w:p>
    <w:tbl>
      <w:tblPr>
        <w:tblStyle w:val="Mkatabulky"/>
        <w:tblW w:w="9177" w:type="dxa"/>
        <w:tblLook w:val="04A0" w:firstRow="1" w:lastRow="0" w:firstColumn="1" w:lastColumn="0" w:noHBand="0" w:noVBand="1"/>
      </w:tblPr>
      <w:tblGrid>
        <w:gridCol w:w="1665"/>
        <w:gridCol w:w="1676"/>
        <w:gridCol w:w="2232"/>
        <w:gridCol w:w="1935"/>
        <w:gridCol w:w="1669"/>
      </w:tblGrid>
      <w:tr w:rsidR="00D355AD" w:rsidRPr="00D355AD" w14:paraId="179EA1D6" w14:textId="77777777" w:rsidTr="002E5F6D">
        <w:trPr>
          <w:trHeight w:val="1235"/>
        </w:trPr>
        <w:tc>
          <w:tcPr>
            <w:tcW w:w="1665" w:type="dxa"/>
            <w:shd w:val="clear" w:color="auto" w:fill="D9D9D9" w:themeFill="background1" w:themeFillShade="D9"/>
            <w:vAlign w:val="center"/>
          </w:tcPr>
          <w:p w14:paraId="02EFDA8A" w14:textId="77777777" w:rsidR="00CA2DD5" w:rsidRPr="00D355AD" w:rsidRDefault="00CA2DD5" w:rsidP="00567429">
            <w:pPr>
              <w:jc w:val="center"/>
              <w:rPr>
                <w:rFonts w:ascii="Times New Roman" w:hAnsi="Times New Roman" w:cs="Times New Roman"/>
                <w:b/>
                <w:sz w:val="24"/>
                <w:szCs w:val="24"/>
              </w:rPr>
            </w:pPr>
            <w:r w:rsidRPr="00D355AD">
              <w:rPr>
                <w:rFonts w:ascii="Times New Roman" w:hAnsi="Times New Roman" w:cs="Times New Roman"/>
                <w:b/>
                <w:sz w:val="24"/>
                <w:szCs w:val="24"/>
              </w:rPr>
              <w:t>Specifický cíl operačního programu</w:t>
            </w:r>
          </w:p>
        </w:tc>
        <w:tc>
          <w:tcPr>
            <w:tcW w:w="1676" w:type="dxa"/>
            <w:shd w:val="clear" w:color="auto" w:fill="D9D9D9" w:themeFill="background1" w:themeFillShade="D9"/>
            <w:vAlign w:val="center"/>
          </w:tcPr>
          <w:p w14:paraId="469F9FAC" w14:textId="77777777" w:rsidR="00CA2DD5" w:rsidRPr="00D355AD" w:rsidRDefault="00CA2DD5" w:rsidP="00567429">
            <w:pPr>
              <w:jc w:val="center"/>
              <w:rPr>
                <w:rFonts w:ascii="Times New Roman" w:hAnsi="Times New Roman" w:cs="Times New Roman"/>
                <w:b/>
                <w:sz w:val="24"/>
                <w:szCs w:val="24"/>
              </w:rPr>
            </w:pPr>
            <w:r w:rsidRPr="00D355AD">
              <w:rPr>
                <w:rFonts w:ascii="Times New Roman" w:hAnsi="Times New Roman" w:cs="Times New Roman"/>
                <w:b/>
                <w:sz w:val="24"/>
                <w:szCs w:val="24"/>
              </w:rPr>
              <w:t>Finanční plán celkem v Kč</w:t>
            </w:r>
          </w:p>
        </w:tc>
        <w:tc>
          <w:tcPr>
            <w:tcW w:w="2232" w:type="dxa"/>
            <w:shd w:val="clear" w:color="auto" w:fill="D9D9D9" w:themeFill="background1" w:themeFillShade="D9"/>
            <w:vAlign w:val="center"/>
          </w:tcPr>
          <w:p w14:paraId="74BD6486" w14:textId="087F3806" w:rsidR="00CA2DD5" w:rsidRPr="00D355AD" w:rsidRDefault="00CA2DD5" w:rsidP="00567429">
            <w:pPr>
              <w:jc w:val="center"/>
              <w:rPr>
                <w:rFonts w:ascii="Times New Roman" w:hAnsi="Times New Roman" w:cs="Times New Roman"/>
                <w:b/>
                <w:sz w:val="24"/>
                <w:szCs w:val="24"/>
              </w:rPr>
            </w:pPr>
            <w:r w:rsidRPr="00D355AD">
              <w:rPr>
                <w:rFonts w:ascii="Times New Roman" w:hAnsi="Times New Roman" w:cs="Times New Roman"/>
                <w:b/>
                <w:sz w:val="24"/>
                <w:szCs w:val="24"/>
              </w:rPr>
              <w:t>Povinné plnění k 31. 10.20</w:t>
            </w:r>
            <w:r w:rsidR="00F53264" w:rsidRPr="00D355AD">
              <w:rPr>
                <w:rFonts w:ascii="Times New Roman" w:hAnsi="Times New Roman" w:cs="Times New Roman"/>
                <w:b/>
                <w:sz w:val="24"/>
                <w:szCs w:val="24"/>
              </w:rPr>
              <w:t>20</w:t>
            </w:r>
            <w:r w:rsidRPr="00D355AD">
              <w:rPr>
                <w:rFonts w:ascii="Times New Roman" w:hAnsi="Times New Roman" w:cs="Times New Roman"/>
                <w:b/>
                <w:sz w:val="24"/>
                <w:szCs w:val="24"/>
              </w:rPr>
              <w:t xml:space="preserve"> v Kč)</w:t>
            </w:r>
          </w:p>
          <w:p w14:paraId="20C64DC3" w14:textId="77777777" w:rsidR="00CA2DD5" w:rsidRPr="00D355AD" w:rsidRDefault="00CA2DD5" w:rsidP="00567429">
            <w:pPr>
              <w:jc w:val="center"/>
              <w:rPr>
                <w:rFonts w:ascii="Times New Roman" w:hAnsi="Times New Roman" w:cs="Times New Roman"/>
                <w:b/>
                <w:sz w:val="24"/>
                <w:szCs w:val="24"/>
              </w:rPr>
            </w:pPr>
            <w:r w:rsidRPr="00D355AD">
              <w:rPr>
                <w:rFonts w:ascii="Times New Roman" w:hAnsi="Times New Roman" w:cs="Times New Roman"/>
                <w:b/>
                <w:sz w:val="24"/>
                <w:szCs w:val="24"/>
              </w:rPr>
              <w:t>(</w:t>
            </w:r>
            <w:r w:rsidR="00A80E64" w:rsidRPr="00D355AD">
              <w:rPr>
                <w:rFonts w:ascii="Times New Roman" w:hAnsi="Times New Roman" w:cs="Times New Roman"/>
                <w:b/>
                <w:sz w:val="24"/>
                <w:szCs w:val="24"/>
              </w:rPr>
              <w:t>55,4</w:t>
            </w:r>
            <w:r w:rsidRPr="00D355AD">
              <w:rPr>
                <w:rFonts w:ascii="Times New Roman" w:hAnsi="Times New Roman" w:cs="Times New Roman"/>
                <w:b/>
                <w:sz w:val="24"/>
                <w:szCs w:val="24"/>
              </w:rPr>
              <w:t xml:space="preserve"> z celkového FP)</w:t>
            </w:r>
          </w:p>
        </w:tc>
        <w:tc>
          <w:tcPr>
            <w:tcW w:w="1935" w:type="dxa"/>
            <w:shd w:val="clear" w:color="auto" w:fill="D9D9D9" w:themeFill="background1" w:themeFillShade="D9"/>
            <w:vAlign w:val="center"/>
          </w:tcPr>
          <w:p w14:paraId="72A1E6A9" w14:textId="553D8F67" w:rsidR="00CA2DD5" w:rsidRPr="00D355AD" w:rsidRDefault="00CA2DD5" w:rsidP="00567429">
            <w:pPr>
              <w:jc w:val="center"/>
              <w:rPr>
                <w:rFonts w:ascii="Times New Roman" w:hAnsi="Times New Roman" w:cs="Times New Roman"/>
                <w:b/>
                <w:sz w:val="24"/>
                <w:szCs w:val="24"/>
              </w:rPr>
            </w:pPr>
            <w:r w:rsidRPr="00D355AD">
              <w:rPr>
                <w:rFonts w:ascii="Times New Roman" w:hAnsi="Times New Roman" w:cs="Times New Roman"/>
                <w:b/>
                <w:sz w:val="24"/>
                <w:szCs w:val="24"/>
              </w:rPr>
              <w:t>Čerpání k 31. 10. 20</w:t>
            </w:r>
            <w:r w:rsidR="00F53264" w:rsidRPr="00D355AD">
              <w:rPr>
                <w:rFonts w:ascii="Times New Roman" w:hAnsi="Times New Roman" w:cs="Times New Roman"/>
                <w:b/>
                <w:sz w:val="24"/>
                <w:szCs w:val="24"/>
              </w:rPr>
              <w:t>20</w:t>
            </w:r>
          </w:p>
          <w:p w14:paraId="481AE3C5" w14:textId="225766D7" w:rsidR="00CA2DD5" w:rsidRPr="00D355AD" w:rsidRDefault="00CA2DD5" w:rsidP="00567429">
            <w:pPr>
              <w:jc w:val="center"/>
              <w:rPr>
                <w:rFonts w:ascii="Times New Roman" w:hAnsi="Times New Roman" w:cs="Times New Roman"/>
                <w:b/>
                <w:sz w:val="24"/>
                <w:szCs w:val="24"/>
              </w:rPr>
            </w:pPr>
            <w:r w:rsidRPr="00D355AD">
              <w:rPr>
                <w:rFonts w:ascii="Times New Roman" w:hAnsi="Times New Roman" w:cs="Times New Roman"/>
                <w:b/>
                <w:sz w:val="24"/>
                <w:szCs w:val="24"/>
              </w:rPr>
              <w:t xml:space="preserve">(Předložené </w:t>
            </w:r>
            <w:proofErr w:type="spellStart"/>
            <w:r w:rsidRPr="00D355AD">
              <w:rPr>
                <w:rFonts w:ascii="Times New Roman" w:hAnsi="Times New Roman" w:cs="Times New Roman"/>
                <w:b/>
                <w:sz w:val="24"/>
                <w:szCs w:val="24"/>
              </w:rPr>
              <w:t>ŽoP</w:t>
            </w:r>
            <w:proofErr w:type="spellEnd"/>
            <w:r w:rsidRPr="00D355AD">
              <w:rPr>
                <w:rFonts w:ascii="Times New Roman" w:hAnsi="Times New Roman" w:cs="Times New Roman"/>
                <w:b/>
                <w:sz w:val="24"/>
                <w:szCs w:val="24"/>
              </w:rPr>
              <w:t>)</w:t>
            </w:r>
          </w:p>
        </w:tc>
        <w:tc>
          <w:tcPr>
            <w:tcW w:w="1669" w:type="dxa"/>
            <w:shd w:val="clear" w:color="auto" w:fill="D9D9D9" w:themeFill="background1" w:themeFillShade="D9"/>
            <w:vAlign w:val="center"/>
          </w:tcPr>
          <w:p w14:paraId="4AA0D881" w14:textId="1A357502" w:rsidR="00CA2DD5" w:rsidRPr="00D355AD" w:rsidRDefault="002E5F6D" w:rsidP="00567429">
            <w:pPr>
              <w:jc w:val="center"/>
              <w:rPr>
                <w:rFonts w:ascii="Times New Roman" w:hAnsi="Times New Roman" w:cs="Times New Roman"/>
                <w:b/>
                <w:sz w:val="24"/>
                <w:szCs w:val="24"/>
              </w:rPr>
            </w:pPr>
            <w:r w:rsidRPr="00D355AD">
              <w:rPr>
                <w:rFonts w:ascii="Times New Roman" w:hAnsi="Times New Roman" w:cs="Times New Roman"/>
                <w:b/>
                <w:sz w:val="24"/>
                <w:szCs w:val="24"/>
              </w:rPr>
              <w:t xml:space="preserve">Rozdíl </w:t>
            </w:r>
          </w:p>
        </w:tc>
      </w:tr>
      <w:tr w:rsidR="00D355AD" w:rsidRPr="00D355AD" w14:paraId="2D02C5C9" w14:textId="77777777" w:rsidTr="00485137">
        <w:trPr>
          <w:trHeight w:val="71"/>
        </w:trPr>
        <w:tc>
          <w:tcPr>
            <w:tcW w:w="1665" w:type="dxa"/>
            <w:shd w:val="clear" w:color="auto" w:fill="FFFFFF" w:themeFill="background1"/>
            <w:vAlign w:val="center"/>
          </w:tcPr>
          <w:p w14:paraId="3BB34178" w14:textId="4644D768" w:rsidR="00CA2DD5" w:rsidRPr="00D355AD" w:rsidRDefault="00CA2DD5" w:rsidP="004535A8">
            <w:pPr>
              <w:rPr>
                <w:rFonts w:ascii="Times New Roman" w:hAnsi="Times New Roman" w:cs="Times New Roman"/>
                <w:b/>
                <w:sz w:val="24"/>
                <w:szCs w:val="24"/>
              </w:rPr>
            </w:pPr>
            <w:r w:rsidRPr="00D355AD">
              <w:rPr>
                <w:rFonts w:ascii="Times New Roman" w:hAnsi="Times New Roman" w:cs="Times New Roman"/>
                <w:b/>
                <w:sz w:val="24"/>
                <w:szCs w:val="24"/>
              </w:rPr>
              <w:t xml:space="preserve">SC 1.1 </w:t>
            </w:r>
            <w:r w:rsidRPr="00D355AD">
              <w:rPr>
                <w:rFonts w:ascii="Times New Roman" w:hAnsi="Times New Roman" w:cs="Times New Roman"/>
                <w:sz w:val="24"/>
                <w:szCs w:val="24"/>
              </w:rPr>
              <w:t>(silnice II. a III. třídy)</w:t>
            </w:r>
          </w:p>
        </w:tc>
        <w:tc>
          <w:tcPr>
            <w:tcW w:w="1676" w:type="dxa"/>
            <w:vAlign w:val="center"/>
          </w:tcPr>
          <w:p w14:paraId="66E3714F" w14:textId="77777777" w:rsidR="00CA2DD5" w:rsidRPr="00D355AD" w:rsidRDefault="00CA2DD5" w:rsidP="00567429">
            <w:pPr>
              <w:jc w:val="center"/>
              <w:rPr>
                <w:rFonts w:ascii="Times New Roman" w:hAnsi="Times New Roman" w:cs="Times New Roman"/>
                <w:sz w:val="24"/>
                <w:szCs w:val="24"/>
              </w:rPr>
            </w:pPr>
            <w:r w:rsidRPr="00D355AD">
              <w:rPr>
                <w:rFonts w:ascii="Times New Roman" w:hAnsi="Times New Roman" w:cs="Times New Roman"/>
                <w:sz w:val="24"/>
                <w:szCs w:val="24"/>
              </w:rPr>
              <w:t>411 400 000</w:t>
            </w:r>
          </w:p>
        </w:tc>
        <w:tc>
          <w:tcPr>
            <w:tcW w:w="2232" w:type="dxa"/>
            <w:vAlign w:val="center"/>
          </w:tcPr>
          <w:p w14:paraId="3E7EBFF0" w14:textId="16856256" w:rsidR="00CA2DD5" w:rsidRPr="00D355AD" w:rsidRDefault="00F53264" w:rsidP="00567429">
            <w:pPr>
              <w:jc w:val="center"/>
              <w:rPr>
                <w:rFonts w:ascii="Times New Roman" w:hAnsi="Times New Roman" w:cs="Times New Roman"/>
                <w:sz w:val="24"/>
                <w:szCs w:val="24"/>
              </w:rPr>
            </w:pPr>
            <w:r w:rsidRPr="00D355AD">
              <w:rPr>
                <w:rFonts w:ascii="Times New Roman" w:hAnsi="Times New Roman" w:cs="Times New Roman"/>
                <w:sz w:val="24"/>
                <w:szCs w:val="24"/>
              </w:rPr>
              <w:t>227 915 600</w:t>
            </w:r>
          </w:p>
        </w:tc>
        <w:tc>
          <w:tcPr>
            <w:tcW w:w="1935" w:type="dxa"/>
            <w:vAlign w:val="center"/>
          </w:tcPr>
          <w:p w14:paraId="1F9624AB" w14:textId="7724A78C" w:rsidR="00CA2DD5" w:rsidRPr="00D355AD" w:rsidRDefault="002E5F6D" w:rsidP="00567429">
            <w:pPr>
              <w:jc w:val="center"/>
              <w:rPr>
                <w:rFonts w:ascii="Times New Roman" w:hAnsi="Times New Roman" w:cs="Times New Roman"/>
                <w:sz w:val="24"/>
                <w:szCs w:val="24"/>
              </w:rPr>
            </w:pPr>
            <w:r w:rsidRPr="00D355AD">
              <w:rPr>
                <w:rFonts w:ascii="Times New Roman" w:hAnsi="Times New Roman" w:cs="Times New Roman"/>
                <w:sz w:val="24"/>
                <w:szCs w:val="24"/>
              </w:rPr>
              <w:t>67 136 850</w:t>
            </w:r>
          </w:p>
        </w:tc>
        <w:tc>
          <w:tcPr>
            <w:tcW w:w="1669" w:type="dxa"/>
            <w:vAlign w:val="center"/>
          </w:tcPr>
          <w:p w14:paraId="5E097CBA" w14:textId="4FDE779F" w:rsidR="00CA2DD5" w:rsidRPr="00D355AD" w:rsidRDefault="002E5F6D" w:rsidP="002E5F6D">
            <w:pPr>
              <w:rPr>
                <w:rFonts w:ascii="Times New Roman" w:hAnsi="Times New Roman" w:cs="Times New Roman"/>
                <w:sz w:val="24"/>
                <w:szCs w:val="24"/>
              </w:rPr>
            </w:pPr>
            <w:r w:rsidRPr="00D355AD">
              <w:rPr>
                <w:rFonts w:ascii="Times New Roman" w:hAnsi="Times New Roman" w:cs="Times New Roman"/>
                <w:sz w:val="24"/>
                <w:szCs w:val="24"/>
              </w:rPr>
              <w:t>-160 778 750</w:t>
            </w:r>
          </w:p>
        </w:tc>
      </w:tr>
      <w:tr w:rsidR="00D355AD" w:rsidRPr="00D355AD" w14:paraId="74726045" w14:textId="77777777" w:rsidTr="00485137">
        <w:trPr>
          <w:trHeight w:val="792"/>
        </w:trPr>
        <w:tc>
          <w:tcPr>
            <w:tcW w:w="1665" w:type="dxa"/>
            <w:shd w:val="clear" w:color="auto" w:fill="FFFFFF" w:themeFill="background1"/>
            <w:vAlign w:val="center"/>
          </w:tcPr>
          <w:p w14:paraId="5E6A7E2B" w14:textId="1A5BF0E9" w:rsidR="00CA2DD5" w:rsidRPr="00D355AD" w:rsidRDefault="00CA2DD5" w:rsidP="004535A8">
            <w:pPr>
              <w:rPr>
                <w:rFonts w:ascii="Times New Roman" w:hAnsi="Times New Roman" w:cs="Times New Roman"/>
                <w:b/>
                <w:sz w:val="24"/>
                <w:szCs w:val="24"/>
              </w:rPr>
            </w:pPr>
            <w:r w:rsidRPr="00D355AD">
              <w:rPr>
                <w:rFonts w:ascii="Times New Roman" w:hAnsi="Times New Roman" w:cs="Times New Roman"/>
                <w:b/>
                <w:sz w:val="24"/>
                <w:szCs w:val="24"/>
              </w:rPr>
              <w:t xml:space="preserve">SC 1.2 </w:t>
            </w:r>
            <w:r w:rsidRPr="00D355AD">
              <w:rPr>
                <w:rFonts w:ascii="Times New Roman" w:hAnsi="Times New Roman" w:cs="Times New Roman"/>
                <w:sz w:val="24"/>
                <w:szCs w:val="24"/>
              </w:rPr>
              <w:t>(vozy MHD, telematika MHD, terminály</w:t>
            </w:r>
            <w:r w:rsidR="00A87270" w:rsidRPr="00D355AD">
              <w:rPr>
                <w:rFonts w:ascii="Times New Roman" w:hAnsi="Times New Roman" w:cs="Times New Roman"/>
                <w:sz w:val="24"/>
                <w:szCs w:val="24"/>
              </w:rPr>
              <w:t>, cyklostezky, parkoviště</w:t>
            </w:r>
            <w:r w:rsidRPr="00D355AD">
              <w:rPr>
                <w:rFonts w:ascii="Times New Roman" w:hAnsi="Times New Roman" w:cs="Times New Roman"/>
                <w:sz w:val="24"/>
                <w:szCs w:val="24"/>
              </w:rPr>
              <w:t>)</w:t>
            </w:r>
          </w:p>
        </w:tc>
        <w:tc>
          <w:tcPr>
            <w:tcW w:w="1676" w:type="dxa"/>
            <w:vAlign w:val="center"/>
          </w:tcPr>
          <w:p w14:paraId="367722C5" w14:textId="77777777" w:rsidR="00CA2DD5" w:rsidRPr="00D355AD" w:rsidRDefault="00CA2DD5" w:rsidP="00567429">
            <w:pPr>
              <w:jc w:val="center"/>
              <w:rPr>
                <w:rFonts w:ascii="Times New Roman" w:hAnsi="Times New Roman" w:cs="Times New Roman"/>
                <w:sz w:val="24"/>
                <w:szCs w:val="24"/>
              </w:rPr>
            </w:pPr>
            <w:r w:rsidRPr="00D355AD">
              <w:rPr>
                <w:rFonts w:ascii="Times New Roman" w:hAnsi="Times New Roman" w:cs="Times New Roman"/>
                <w:sz w:val="24"/>
                <w:szCs w:val="24"/>
              </w:rPr>
              <w:t>466 999 350</w:t>
            </w:r>
          </w:p>
        </w:tc>
        <w:tc>
          <w:tcPr>
            <w:tcW w:w="2232" w:type="dxa"/>
            <w:vAlign w:val="center"/>
          </w:tcPr>
          <w:p w14:paraId="137DAFAB" w14:textId="3DDC453F" w:rsidR="00CA2DD5" w:rsidRPr="00D355AD" w:rsidRDefault="002E5F6D" w:rsidP="00567429">
            <w:pPr>
              <w:jc w:val="center"/>
              <w:rPr>
                <w:rFonts w:ascii="Times New Roman" w:hAnsi="Times New Roman" w:cs="Times New Roman"/>
                <w:sz w:val="24"/>
                <w:szCs w:val="24"/>
              </w:rPr>
            </w:pPr>
            <w:r w:rsidRPr="00D355AD">
              <w:rPr>
                <w:rFonts w:ascii="Times New Roman" w:hAnsi="Times New Roman" w:cs="Times New Roman"/>
                <w:sz w:val="24"/>
                <w:szCs w:val="24"/>
              </w:rPr>
              <w:t>258 717 640</w:t>
            </w:r>
          </w:p>
        </w:tc>
        <w:tc>
          <w:tcPr>
            <w:tcW w:w="1935" w:type="dxa"/>
            <w:vAlign w:val="center"/>
          </w:tcPr>
          <w:p w14:paraId="57C8ED44" w14:textId="36C58481" w:rsidR="00CA2DD5" w:rsidRPr="00D355AD" w:rsidRDefault="002E5F6D" w:rsidP="00567429">
            <w:pPr>
              <w:jc w:val="center"/>
              <w:rPr>
                <w:rFonts w:ascii="Times New Roman" w:hAnsi="Times New Roman" w:cs="Times New Roman"/>
                <w:sz w:val="24"/>
                <w:szCs w:val="24"/>
              </w:rPr>
            </w:pPr>
            <w:r w:rsidRPr="00D355AD">
              <w:rPr>
                <w:rFonts w:ascii="Times New Roman" w:hAnsi="Times New Roman" w:cs="Times New Roman"/>
                <w:sz w:val="24"/>
                <w:szCs w:val="24"/>
              </w:rPr>
              <w:t>364 411 181</w:t>
            </w:r>
          </w:p>
        </w:tc>
        <w:tc>
          <w:tcPr>
            <w:tcW w:w="1669" w:type="dxa"/>
            <w:vAlign w:val="center"/>
          </w:tcPr>
          <w:p w14:paraId="524321BE" w14:textId="28951C19" w:rsidR="00CA2DD5" w:rsidRPr="00D355AD" w:rsidRDefault="002E5F6D" w:rsidP="00567429">
            <w:pPr>
              <w:jc w:val="center"/>
              <w:rPr>
                <w:rFonts w:ascii="Times New Roman" w:hAnsi="Times New Roman" w:cs="Times New Roman"/>
                <w:sz w:val="24"/>
                <w:szCs w:val="24"/>
              </w:rPr>
            </w:pPr>
            <w:r w:rsidRPr="00D355AD">
              <w:rPr>
                <w:rFonts w:ascii="Times New Roman" w:hAnsi="Times New Roman" w:cs="Times New Roman"/>
                <w:sz w:val="24"/>
                <w:szCs w:val="24"/>
              </w:rPr>
              <w:t>+105 693 541</w:t>
            </w:r>
          </w:p>
        </w:tc>
      </w:tr>
      <w:tr w:rsidR="00D355AD" w:rsidRPr="00D355AD" w14:paraId="57157DF8" w14:textId="77777777" w:rsidTr="00485137">
        <w:trPr>
          <w:trHeight w:val="71"/>
        </w:trPr>
        <w:tc>
          <w:tcPr>
            <w:tcW w:w="1665" w:type="dxa"/>
            <w:shd w:val="clear" w:color="auto" w:fill="FFFFFF" w:themeFill="background1"/>
            <w:vAlign w:val="center"/>
          </w:tcPr>
          <w:p w14:paraId="62E426A2" w14:textId="16BD3EA0" w:rsidR="00CA2DD5" w:rsidRPr="00D355AD" w:rsidRDefault="00CA2DD5" w:rsidP="004535A8">
            <w:pPr>
              <w:rPr>
                <w:rFonts w:ascii="Times New Roman" w:hAnsi="Times New Roman" w:cs="Times New Roman"/>
                <w:b/>
                <w:sz w:val="24"/>
                <w:szCs w:val="24"/>
              </w:rPr>
            </w:pPr>
            <w:r w:rsidRPr="00D355AD">
              <w:rPr>
                <w:rFonts w:ascii="Times New Roman" w:hAnsi="Times New Roman" w:cs="Times New Roman"/>
                <w:b/>
                <w:sz w:val="24"/>
                <w:szCs w:val="24"/>
              </w:rPr>
              <w:t xml:space="preserve">SC 2.4 </w:t>
            </w:r>
            <w:r w:rsidRPr="00D355AD">
              <w:rPr>
                <w:rFonts w:ascii="Times New Roman" w:hAnsi="Times New Roman" w:cs="Times New Roman"/>
                <w:sz w:val="24"/>
                <w:szCs w:val="24"/>
              </w:rPr>
              <w:t>(infrastruktura ZŠ a SŠ, rozšíření kapacity MŠ)</w:t>
            </w:r>
          </w:p>
        </w:tc>
        <w:tc>
          <w:tcPr>
            <w:tcW w:w="1676" w:type="dxa"/>
            <w:vAlign w:val="center"/>
          </w:tcPr>
          <w:p w14:paraId="65AB0086" w14:textId="77777777" w:rsidR="00CA2DD5" w:rsidRPr="00D355AD" w:rsidRDefault="00CA2DD5" w:rsidP="00567429">
            <w:pPr>
              <w:jc w:val="center"/>
              <w:rPr>
                <w:rFonts w:ascii="Times New Roman" w:hAnsi="Times New Roman" w:cs="Times New Roman"/>
                <w:sz w:val="24"/>
                <w:szCs w:val="24"/>
              </w:rPr>
            </w:pPr>
            <w:r w:rsidRPr="00D355AD">
              <w:rPr>
                <w:rFonts w:ascii="Times New Roman" w:hAnsi="Times New Roman" w:cs="Times New Roman"/>
                <w:sz w:val="24"/>
                <w:szCs w:val="24"/>
              </w:rPr>
              <w:t>224 700 000</w:t>
            </w:r>
          </w:p>
        </w:tc>
        <w:tc>
          <w:tcPr>
            <w:tcW w:w="2232" w:type="dxa"/>
            <w:vAlign w:val="center"/>
          </w:tcPr>
          <w:p w14:paraId="6C3FEF31" w14:textId="5CACA86F" w:rsidR="00CA2DD5" w:rsidRPr="00D355AD" w:rsidRDefault="002E5F6D" w:rsidP="00567429">
            <w:pPr>
              <w:jc w:val="center"/>
              <w:rPr>
                <w:rFonts w:ascii="Times New Roman" w:hAnsi="Times New Roman" w:cs="Times New Roman"/>
                <w:sz w:val="24"/>
                <w:szCs w:val="24"/>
              </w:rPr>
            </w:pPr>
            <w:r w:rsidRPr="00D355AD">
              <w:rPr>
                <w:rFonts w:ascii="Times New Roman" w:hAnsi="Times New Roman" w:cs="Times New Roman"/>
                <w:sz w:val="24"/>
                <w:szCs w:val="24"/>
              </w:rPr>
              <w:t>124 483 830</w:t>
            </w:r>
          </w:p>
        </w:tc>
        <w:tc>
          <w:tcPr>
            <w:tcW w:w="1935" w:type="dxa"/>
            <w:vAlign w:val="center"/>
          </w:tcPr>
          <w:p w14:paraId="6BC814D2" w14:textId="7DF6519B" w:rsidR="00CA2DD5" w:rsidRPr="00D355AD" w:rsidRDefault="002E5F6D" w:rsidP="00567429">
            <w:pPr>
              <w:jc w:val="center"/>
              <w:rPr>
                <w:rFonts w:ascii="Times New Roman" w:hAnsi="Times New Roman" w:cs="Times New Roman"/>
                <w:sz w:val="24"/>
                <w:szCs w:val="24"/>
              </w:rPr>
            </w:pPr>
            <w:r w:rsidRPr="00D355AD">
              <w:rPr>
                <w:rFonts w:ascii="Times New Roman" w:hAnsi="Times New Roman" w:cs="Times New Roman"/>
                <w:sz w:val="24"/>
                <w:szCs w:val="24"/>
              </w:rPr>
              <w:t>182 877 074</w:t>
            </w:r>
          </w:p>
        </w:tc>
        <w:tc>
          <w:tcPr>
            <w:tcW w:w="1669" w:type="dxa"/>
            <w:vAlign w:val="center"/>
          </w:tcPr>
          <w:p w14:paraId="75D3BD63" w14:textId="0EF798D5" w:rsidR="00CA2DD5" w:rsidRPr="00D355AD" w:rsidRDefault="002E5F6D" w:rsidP="00567429">
            <w:pPr>
              <w:jc w:val="center"/>
              <w:rPr>
                <w:rFonts w:ascii="Times New Roman" w:hAnsi="Times New Roman" w:cs="Times New Roman"/>
                <w:sz w:val="24"/>
                <w:szCs w:val="24"/>
              </w:rPr>
            </w:pPr>
            <w:r w:rsidRPr="00D355AD">
              <w:rPr>
                <w:rFonts w:ascii="Times New Roman" w:hAnsi="Times New Roman" w:cs="Times New Roman"/>
                <w:sz w:val="24"/>
                <w:szCs w:val="24"/>
              </w:rPr>
              <w:t>+58 393 246</w:t>
            </w:r>
          </w:p>
        </w:tc>
      </w:tr>
      <w:tr w:rsidR="00D355AD" w:rsidRPr="00D355AD" w14:paraId="1749445D" w14:textId="77777777" w:rsidTr="00485137">
        <w:trPr>
          <w:trHeight w:val="71"/>
        </w:trPr>
        <w:tc>
          <w:tcPr>
            <w:tcW w:w="1665" w:type="dxa"/>
            <w:shd w:val="clear" w:color="auto" w:fill="FFFFFF" w:themeFill="background1"/>
            <w:vAlign w:val="center"/>
          </w:tcPr>
          <w:p w14:paraId="6E8E686F" w14:textId="77777777" w:rsidR="00CA2DD5" w:rsidRPr="00D355AD" w:rsidRDefault="00CA2DD5" w:rsidP="001946AC">
            <w:pPr>
              <w:jc w:val="both"/>
              <w:rPr>
                <w:rFonts w:ascii="Times New Roman" w:hAnsi="Times New Roman" w:cs="Times New Roman"/>
                <w:b/>
                <w:sz w:val="24"/>
                <w:szCs w:val="24"/>
              </w:rPr>
            </w:pPr>
            <w:r w:rsidRPr="00D355AD">
              <w:rPr>
                <w:rFonts w:ascii="Times New Roman" w:hAnsi="Times New Roman" w:cs="Times New Roman"/>
                <w:b/>
                <w:sz w:val="24"/>
                <w:szCs w:val="24"/>
              </w:rPr>
              <w:t xml:space="preserve">Celkem </w:t>
            </w:r>
          </w:p>
        </w:tc>
        <w:tc>
          <w:tcPr>
            <w:tcW w:w="1676" w:type="dxa"/>
            <w:vAlign w:val="center"/>
          </w:tcPr>
          <w:p w14:paraId="68496641" w14:textId="5D08422B" w:rsidR="00CA2DD5" w:rsidRPr="00D355AD" w:rsidRDefault="00A87270" w:rsidP="00567429">
            <w:pPr>
              <w:jc w:val="center"/>
              <w:rPr>
                <w:rFonts w:ascii="Times New Roman" w:hAnsi="Times New Roman" w:cs="Times New Roman"/>
                <w:b/>
                <w:sz w:val="24"/>
                <w:szCs w:val="24"/>
              </w:rPr>
            </w:pPr>
            <w:r w:rsidRPr="00D355AD">
              <w:rPr>
                <w:rFonts w:ascii="Times New Roman" w:hAnsi="Times New Roman" w:cs="Times New Roman"/>
                <w:b/>
                <w:sz w:val="24"/>
                <w:szCs w:val="24"/>
              </w:rPr>
              <w:t>1 103 099 400</w:t>
            </w:r>
          </w:p>
        </w:tc>
        <w:tc>
          <w:tcPr>
            <w:tcW w:w="2232" w:type="dxa"/>
            <w:vAlign w:val="center"/>
          </w:tcPr>
          <w:p w14:paraId="62E4B63C" w14:textId="3026A12B" w:rsidR="00CA2DD5" w:rsidRPr="00D355AD" w:rsidRDefault="002E5F6D" w:rsidP="00567429">
            <w:pPr>
              <w:jc w:val="center"/>
              <w:rPr>
                <w:rFonts w:ascii="Times New Roman" w:hAnsi="Times New Roman" w:cs="Times New Roman"/>
                <w:b/>
                <w:sz w:val="24"/>
                <w:szCs w:val="24"/>
              </w:rPr>
            </w:pPr>
            <w:r w:rsidRPr="00D355AD">
              <w:rPr>
                <w:rFonts w:ascii="Times New Roman" w:hAnsi="Times New Roman" w:cs="Times New Roman"/>
                <w:b/>
                <w:sz w:val="24"/>
                <w:szCs w:val="24"/>
              </w:rPr>
              <w:t>611 117 070</w:t>
            </w:r>
          </w:p>
        </w:tc>
        <w:tc>
          <w:tcPr>
            <w:tcW w:w="1935" w:type="dxa"/>
            <w:vAlign w:val="center"/>
          </w:tcPr>
          <w:p w14:paraId="7B3007D7" w14:textId="074D76AF" w:rsidR="00CA2DD5" w:rsidRPr="00D355AD" w:rsidRDefault="002E5F6D" w:rsidP="00567429">
            <w:pPr>
              <w:jc w:val="center"/>
              <w:rPr>
                <w:rFonts w:ascii="Times New Roman" w:hAnsi="Times New Roman" w:cs="Times New Roman"/>
                <w:b/>
                <w:sz w:val="24"/>
                <w:szCs w:val="24"/>
              </w:rPr>
            </w:pPr>
            <w:r w:rsidRPr="00D355AD">
              <w:rPr>
                <w:rFonts w:ascii="Times New Roman" w:hAnsi="Times New Roman" w:cs="Times New Roman"/>
                <w:b/>
                <w:sz w:val="24"/>
                <w:szCs w:val="24"/>
              </w:rPr>
              <w:t>614 425 109</w:t>
            </w:r>
          </w:p>
        </w:tc>
        <w:tc>
          <w:tcPr>
            <w:tcW w:w="1669" w:type="dxa"/>
            <w:vAlign w:val="center"/>
          </w:tcPr>
          <w:p w14:paraId="7CA9C075" w14:textId="46328DE1" w:rsidR="00CA2DD5" w:rsidRPr="00D355AD" w:rsidRDefault="002E5F6D" w:rsidP="00567429">
            <w:pPr>
              <w:jc w:val="center"/>
              <w:rPr>
                <w:rFonts w:ascii="Times New Roman" w:hAnsi="Times New Roman" w:cs="Times New Roman"/>
                <w:b/>
                <w:sz w:val="24"/>
                <w:szCs w:val="24"/>
              </w:rPr>
            </w:pPr>
            <w:r w:rsidRPr="00D355AD">
              <w:rPr>
                <w:rFonts w:ascii="Times New Roman" w:hAnsi="Times New Roman" w:cs="Times New Roman"/>
                <w:b/>
                <w:sz w:val="24"/>
                <w:szCs w:val="24"/>
              </w:rPr>
              <w:t>+3 308 040</w:t>
            </w:r>
          </w:p>
        </w:tc>
      </w:tr>
      <w:tr w:rsidR="00D355AD" w:rsidRPr="00D355AD" w14:paraId="0B650246" w14:textId="77777777" w:rsidTr="00485137">
        <w:trPr>
          <w:trHeight w:val="71"/>
        </w:trPr>
        <w:tc>
          <w:tcPr>
            <w:tcW w:w="5573" w:type="dxa"/>
            <w:gridSpan w:val="3"/>
            <w:shd w:val="clear" w:color="auto" w:fill="FFFFFF" w:themeFill="background1"/>
            <w:vAlign w:val="center"/>
          </w:tcPr>
          <w:p w14:paraId="70D06100" w14:textId="77777777" w:rsidR="00CA2DD5" w:rsidRPr="00D355AD" w:rsidRDefault="00CA2DD5" w:rsidP="001946AC">
            <w:pPr>
              <w:rPr>
                <w:rFonts w:ascii="Times New Roman" w:hAnsi="Times New Roman" w:cs="Times New Roman"/>
                <w:b/>
                <w:sz w:val="24"/>
                <w:szCs w:val="24"/>
              </w:rPr>
            </w:pPr>
            <w:r w:rsidRPr="00D355AD">
              <w:rPr>
                <w:rFonts w:ascii="Times New Roman" w:hAnsi="Times New Roman" w:cs="Times New Roman"/>
                <w:b/>
                <w:sz w:val="24"/>
                <w:szCs w:val="24"/>
              </w:rPr>
              <w:t>Dosažené % čerpání finančního plánu k 31.</w:t>
            </w:r>
            <w:r w:rsidR="009E3E60" w:rsidRPr="00D355AD">
              <w:rPr>
                <w:rFonts w:ascii="Times New Roman" w:hAnsi="Times New Roman" w:cs="Times New Roman"/>
                <w:b/>
                <w:sz w:val="24"/>
                <w:szCs w:val="24"/>
              </w:rPr>
              <w:t xml:space="preserve"> </w:t>
            </w:r>
            <w:r w:rsidRPr="00D355AD">
              <w:rPr>
                <w:rFonts w:ascii="Times New Roman" w:hAnsi="Times New Roman" w:cs="Times New Roman"/>
                <w:b/>
                <w:sz w:val="24"/>
                <w:szCs w:val="24"/>
              </w:rPr>
              <w:t>10.</w:t>
            </w:r>
            <w:r w:rsidR="009E3E60" w:rsidRPr="00D355AD">
              <w:rPr>
                <w:rFonts w:ascii="Times New Roman" w:hAnsi="Times New Roman" w:cs="Times New Roman"/>
                <w:b/>
                <w:sz w:val="24"/>
                <w:szCs w:val="24"/>
              </w:rPr>
              <w:t xml:space="preserve"> </w:t>
            </w:r>
            <w:r w:rsidRPr="00D355AD">
              <w:rPr>
                <w:rFonts w:ascii="Times New Roman" w:hAnsi="Times New Roman" w:cs="Times New Roman"/>
                <w:b/>
                <w:sz w:val="24"/>
                <w:szCs w:val="24"/>
              </w:rPr>
              <w:t>20</w:t>
            </w:r>
            <w:r w:rsidR="00A80E64" w:rsidRPr="00D355AD">
              <w:rPr>
                <w:rFonts w:ascii="Times New Roman" w:hAnsi="Times New Roman" w:cs="Times New Roman"/>
                <w:b/>
                <w:sz w:val="24"/>
                <w:szCs w:val="24"/>
              </w:rPr>
              <w:t>20</w:t>
            </w:r>
          </w:p>
        </w:tc>
        <w:tc>
          <w:tcPr>
            <w:tcW w:w="1935" w:type="dxa"/>
            <w:shd w:val="clear" w:color="auto" w:fill="FFFFFF" w:themeFill="background1"/>
            <w:vAlign w:val="center"/>
          </w:tcPr>
          <w:p w14:paraId="05262634" w14:textId="102ACE9B" w:rsidR="00CA2DD5" w:rsidRPr="00D355AD" w:rsidRDefault="00A87270" w:rsidP="001946AC">
            <w:pPr>
              <w:jc w:val="center"/>
              <w:rPr>
                <w:rFonts w:ascii="Times New Roman" w:hAnsi="Times New Roman" w:cs="Times New Roman"/>
                <w:b/>
                <w:sz w:val="24"/>
                <w:szCs w:val="24"/>
              </w:rPr>
            </w:pPr>
            <w:r w:rsidRPr="00D355AD">
              <w:rPr>
                <w:rFonts w:ascii="Times New Roman" w:hAnsi="Times New Roman" w:cs="Times New Roman"/>
                <w:b/>
                <w:sz w:val="24"/>
                <w:szCs w:val="24"/>
              </w:rPr>
              <w:t>55,70</w:t>
            </w:r>
            <w:r w:rsidR="00CA2DD5" w:rsidRPr="00D355AD">
              <w:rPr>
                <w:rFonts w:ascii="Times New Roman" w:hAnsi="Times New Roman" w:cs="Times New Roman"/>
                <w:b/>
                <w:sz w:val="24"/>
                <w:szCs w:val="24"/>
              </w:rPr>
              <w:t xml:space="preserve"> %</w:t>
            </w:r>
          </w:p>
        </w:tc>
        <w:tc>
          <w:tcPr>
            <w:tcW w:w="1669" w:type="dxa"/>
            <w:shd w:val="clear" w:color="auto" w:fill="FFFFFF" w:themeFill="background1"/>
          </w:tcPr>
          <w:p w14:paraId="23944D44" w14:textId="77777777" w:rsidR="00CA2DD5" w:rsidRPr="00D355AD" w:rsidRDefault="00CA2DD5" w:rsidP="001946AC">
            <w:pPr>
              <w:jc w:val="center"/>
              <w:rPr>
                <w:rFonts w:ascii="Times New Roman" w:hAnsi="Times New Roman" w:cs="Times New Roman"/>
                <w:b/>
                <w:sz w:val="24"/>
                <w:szCs w:val="24"/>
              </w:rPr>
            </w:pPr>
          </w:p>
        </w:tc>
      </w:tr>
      <w:tr w:rsidR="003A2DD0" w:rsidRPr="00D355AD" w14:paraId="26292200" w14:textId="77777777" w:rsidTr="008411E0">
        <w:trPr>
          <w:trHeight w:val="71"/>
        </w:trPr>
        <w:tc>
          <w:tcPr>
            <w:tcW w:w="5573" w:type="dxa"/>
            <w:gridSpan w:val="3"/>
            <w:shd w:val="clear" w:color="auto" w:fill="D9D9D9" w:themeFill="background1" w:themeFillShade="D9"/>
            <w:vAlign w:val="center"/>
          </w:tcPr>
          <w:p w14:paraId="5EE8FBA1" w14:textId="5DD1C930" w:rsidR="003A2DD0" w:rsidRPr="00D355AD" w:rsidRDefault="003A2DD0" w:rsidP="001946AC">
            <w:pPr>
              <w:rPr>
                <w:rFonts w:ascii="Times New Roman" w:hAnsi="Times New Roman" w:cs="Times New Roman"/>
                <w:b/>
                <w:sz w:val="24"/>
                <w:szCs w:val="24"/>
              </w:rPr>
            </w:pPr>
            <w:r>
              <w:rPr>
                <w:rFonts w:ascii="Times New Roman" w:hAnsi="Times New Roman" w:cs="Times New Roman"/>
                <w:b/>
                <w:sz w:val="24"/>
                <w:szCs w:val="24"/>
              </w:rPr>
              <w:t xml:space="preserve">Finanční objem předložených žádostí o dotaci </w:t>
            </w:r>
            <w:r w:rsidR="00485137">
              <w:rPr>
                <w:rFonts w:ascii="Times New Roman" w:hAnsi="Times New Roman" w:cs="Times New Roman"/>
                <w:b/>
                <w:sz w:val="24"/>
                <w:szCs w:val="24"/>
              </w:rPr>
              <w:t>celkem za IROP</w:t>
            </w:r>
          </w:p>
        </w:tc>
        <w:tc>
          <w:tcPr>
            <w:tcW w:w="1935" w:type="dxa"/>
            <w:shd w:val="clear" w:color="auto" w:fill="D9D9D9" w:themeFill="background1" w:themeFillShade="D9"/>
            <w:vAlign w:val="center"/>
          </w:tcPr>
          <w:p w14:paraId="2B0A4341" w14:textId="5FA905EF" w:rsidR="003A2DD0" w:rsidRPr="00D355AD" w:rsidRDefault="00CF1054" w:rsidP="001946AC">
            <w:pPr>
              <w:jc w:val="center"/>
              <w:rPr>
                <w:rFonts w:ascii="Times New Roman" w:hAnsi="Times New Roman" w:cs="Times New Roman"/>
                <w:b/>
                <w:sz w:val="24"/>
                <w:szCs w:val="24"/>
              </w:rPr>
            </w:pPr>
            <w:r>
              <w:rPr>
                <w:rFonts w:ascii="Times New Roman" w:hAnsi="Times New Roman" w:cs="Times New Roman"/>
                <w:b/>
                <w:sz w:val="24"/>
                <w:szCs w:val="24"/>
              </w:rPr>
              <w:t>1 058 519 052</w:t>
            </w:r>
          </w:p>
        </w:tc>
        <w:tc>
          <w:tcPr>
            <w:tcW w:w="1669" w:type="dxa"/>
            <w:shd w:val="clear" w:color="auto" w:fill="D9D9D9" w:themeFill="background1" w:themeFillShade="D9"/>
            <w:vAlign w:val="center"/>
          </w:tcPr>
          <w:p w14:paraId="43C2E071" w14:textId="099F3FCC" w:rsidR="003A2DD0" w:rsidRPr="00D355AD" w:rsidRDefault="00CF1054" w:rsidP="008411E0">
            <w:pPr>
              <w:jc w:val="center"/>
              <w:rPr>
                <w:rFonts w:ascii="Times New Roman" w:hAnsi="Times New Roman" w:cs="Times New Roman"/>
                <w:b/>
                <w:sz w:val="24"/>
                <w:szCs w:val="24"/>
              </w:rPr>
            </w:pPr>
            <w:proofErr w:type="gramStart"/>
            <w:r>
              <w:rPr>
                <w:rFonts w:ascii="Times New Roman" w:hAnsi="Times New Roman" w:cs="Times New Roman"/>
                <w:b/>
                <w:sz w:val="24"/>
                <w:szCs w:val="24"/>
              </w:rPr>
              <w:t>96%</w:t>
            </w:r>
            <w:proofErr w:type="gramEnd"/>
          </w:p>
        </w:tc>
      </w:tr>
    </w:tbl>
    <w:p w14:paraId="09AA1161" w14:textId="691B196B" w:rsidR="00CF1054" w:rsidRDefault="00CF1054" w:rsidP="009E3E60">
      <w:pPr>
        <w:spacing w:after="0" w:line="240" w:lineRule="auto"/>
        <w:jc w:val="both"/>
        <w:rPr>
          <w:rFonts w:ascii="Times New Roman" w:hAnsi="Times New Roman" w:cs="Times New Roman"/>
          <w:i/>
          <w:sz w:val="24"/>
          <w:szCs w:val="24"/>
        </w:rPr>
      </w:pPr>
    </w:p>
    <w:p w14:paraId="4FAAFDB4" w14:textId="5E69F9EF" w:rsidR="00CF1054" w:rsidRDefault="00CF1054">
      <w:pPr>
        <w:spacing w:after="160" w:line="259" w:lineRule="auto"/>
        <w:rPr>
          <w:rFonts w:ascii="Times New Roman" w:hAnsi="Times New Roman" w:cs="Times New Roman"/>
          <w:i/>
          <w:sz w:val="24"/>
          <w:szCs w:val="24"/>
        </w:rPr>
      </w:pPr>
      <w:r>
        <w:rPr>
          <w:rFonts w:ascii="Times New Roman" w:hAnsi="Times New Roman" w:cs="Times New Roman"/>
          <w:i/>
          <w:sz w:val="24"/>
          <w:szCs w:val="24"/>
        </w:rPr>
        <w:br w:type="page"/>
      </w:r>
    </w:p>
    <w:p w14:paraId="22A638B1" w14:textId="0B5B5C76" w:rsidR="00CF1054" w:rsidRPr="00CF1054" w:rsidRDefault="00CF1054">
      <w:pPr>
        <w:spacing w:after="160" w:line="259" w:lineRule="auto"/>
        <w:rPr>
          <w:rFonts w:ascii="Times New Roman" w:hAnsi="Times New Roman" w:cs="Times New Roman"/>
          <w:iCs/>
          <w:sz w:val="24"/>
          <w:szCs w:val="24"/>
        </w:rPr>
      </w:pPr>
      <w:r w:rsidRPr="004535A8">
        <w:rPr>
          <w:rFonts w:ascii="Times New Roman" w:hAnsi="Times New Roman" w:cs="Times New Roman"/>
          <w:b/>
          <w:bCs/>
          <w:iCs/>
          <w:sz w:val="24"/>
          <w:szCs w:val="24"/>
        </w:rPr>
        <w:lastRenderedPageBreak/>
        <w:t>Přehled čerpání alokace za OP Doprava</w:t>
      </w:r>
      <w:r w:rsidR="00363E46">
        <w:rPr>
          <w:rFonts w:ascii="Times New Roman" w:hAnsi="Times New Roman" w:cs="Times New Roman"/>
          <w:iCs/>
          <w:sz w:val="24"/>
          <w:szCs w:val="24"/>
        </w:rPr>
        <w:t xml:space="preserve"> (objem předložených žádostí o dotaci):</w:t>
      </w:r>
    </w:p>
    <w:tbl>
      <w:tblPr>
        <w:tblStyle w:val="Mkatabulky"/>
        <w:tblW w:w="9059" w:type="dxa"/>
        <w:tblLook w:val="04A0" w:firstRow="1" w:lastRow="0" w:firstColumn="1" w:lastColumn="0" w:noHBand="0" w:noVBand="1"/>
      </w:tblPr>
      <w:tblGrid>
        <w:gridCol w:w="3592"/>
        <w:gridCol w:w="1726"/>
        <w:gridCol w:w="2590"/>
        <w:gridCol w:w="1151"/>
      </w:tblGrid>
      <w:tr w:rsidR="00363E46" w:rsidRPr="00D355AD" w14:paraId="71AF6C09" w14:textId="77777777" w:rsidTr="004535A8">
        <w:trPr>
          <w:trHeight w:val="955"/>
        </w:trPr>
        <w:tc>
          <w:tcPr>
            <w:tcW w:w="3592" w:type="dxa"/>
            <w:shd w:val="clear" w:color="auto" w:fill="D9D9D9" w:themeFill="background1" w:themeFillShade="D9"/>
            <w:vAlign w:val="center"/>
          </w:tcPr>
          <w:p w14:paraId="6BD6AD5C" w14:textId="77777777" w:rsidR="00363E46" w:rsidRPr="00D355AD" w:rsidRDefault="00363E46" w:rsidP="00BF4D52">
            <w:pPr>
              <w:jc w:val="center"/>
              <w:rPr>
                <w:rFonts w:ascii="Times New Roman" w:hAnsi="Times New Roman" w:cs="Times New Roman"/>
                <w:b/>
                <w:sz w:val="24"/>
                <w:szCs w:val="24"/>
              </w:rPr>
            </w:pPr>
            <w:r w:rsidRPr="00D355AD">
              <w:rPr>
                <w:rFonts w:ascii="Times New Roman" w:hAnsi="Times New Roman" w:cs="Times New Roman"/>
                <w:b/>
                <w:sz w:val="24"/>
                <w:szCs w:val="24"/>
              </w:rPr>
              <w:t>Specifický cíl operačního programu</w:t>
            </w:r>
          </w:p>
        </w:tc>
        <w:tc>
          <w:tcPr>
            <w:tcW w:w="1726" w:type="dxa"/>
            <w:shd w:val="clear" w:color="auto" w:fill="D9D9D9" w:themeFill="background1" w:themeFillShade="D9"/>
            <w:vAlign w:val="center"/>
          </w:tcPr>
          <w:p w14:paraId="25C58DF2" w14:textId="77777777" w:rsidR="00363E46" w:rsidRPr="00D355AD" w:rsidRDefault="00363E46" w:rsidP="00BF4D52">
            <w:pPr>
              <w:jc w:val="center"/>
              <w:rPr>
                <w:rFonts w:ascii="Times New Roman" w:hAnsi="Times New Roman" w:cs="Times New Roman"/>
                <w:b/>
                <w:sz w:val="24"/>
                <w:szCs w:val="24"/>
              </w:rPr>
            </w:pPr>
            <w:r w:rsidRPr="00D355AD">
              <w:rPr>
                <w:rFonts w:ascii="Times New Roman" w:hAnsi="Times New Roman" w:cs="Times New Roman"/>
                <w:b/>
                <w:sz w:val="24"/>
                <w:szCs w:val="24"/>
              </w:rPr>
              <w:t>Finanční plán celkem v Kč</w:t>
            </w:r>
          </w:p>
        </w:tc>
        <w:tc>
          <w:tcPr>
            <w:tcW w:w="2590" w:type="dxa"/>
            <w:shd w:val="clear" w:color="auto" w:fill="D9D9D9" w:themeFill="background1" w:themeFillShade="D9"/>
            <w:vAlign w:val="center"/>
          </w:tcPr>
          <w:p w14:paraId="788A128B" w14:textId="72FDB198" w:rsidR="00363E46" w:rsidRPr="00D355AD" w:rsidRDefault="00363E46" w:rsidP="00BF4D52">
            <w:pPr>
              <w:jc w:val="center"/>
              <w:rPr>
                <w:rFonts w:ascii="Times New Roman" w:hAnsi="Times New Roman" w:cs="Times New Roman"/>
                <w:b/>
                <w:sz w:val="24"/>
                <w:szCs w:val="24"/>
              </w:rPr>
            </w:pPr>
            <w:r>
              <w:rPr>
                <w:rFonts w:ascii="Times New Roman" w:hAnsi="Times New Roman" w:cs="Times New Roman"/>
                <w:b/>
                <w:sz w:val="24"/>
                <w:szCs w:val="24"/>
              </w:rPr>
              <w:t>Finanční objem předložených žádostí o dotaci</w:t>
            </w:r>
          </w:p>
        </w:tc>
        <w:tc>
          <w:tcPr>
            <w:tcW w:w="1151" w:type="dxa"/>
            <w:shd w:val="clear" w:color="auto" w:fill="D9D9D9" w:themeFill="background1" w:themeFillShade="D9"/>
            <w:vAlign w:val="center"/>
          </w:tcPr>
          <w:p w14:paraId="7D0091C1" w14:textId="65B095C1" w:rsidR="00363E46" w:rsidRPr="00D355AD" w:rsidRDefault="00363E46" w:rsidP="00BF4D52">
            <w:pPr>
              <w:jc w:val="center"/>
              <w:rPr>
                <w:rFonts w:ascii="Times New Roman" w:hAnsi="Times New Roman" w:cs="Times New Roman"/>
                <w:b/>
                <w:sz w:val="24"/>
                <w:szCs w:val="24"/>
              </w:rPr>
            </w:pPr>
            <w:r>
              <w:rPr>
                <w:rFonts w:ascii="Times New Roman" w:hAnsi="Times New Roman" w:cs="Times New Roman"/>
                <w:b/>
                <w:sz w:val="24"/>
                <w:szCs w:val="24"/>
              </w:rPr>
              <w:t>% čerpání alokace</w:t>
            </w:r>
          </w:p>
        </w:tc>
      </w:tr>
      <w:tr w:rsidR="00363E46" w:rsidRPr="00D355AD" w14:paraId="51239D25" w14:textId="77777777" w:rsidTr="004535A8">
        <w:trPr>
          <w:trHeight w:val="802"/>
        </w:trPr>
        <w:tc>
          <w:tcPr>
            <w:tcW w:w="3592" w:type="dxa"/>
            <w:shd w:val="clear" w:color="auto" w:fill="FFFFFF" w:themeFill="background1"/>
            <w:vAlign w:val="center"/>
          </w:tcPr>
          <w:p w14:paraId="71D0861C" w14:textId="540D9D0C" w:rsidR="00363E46" w:rsidRPr="00D355AD" w:rsidRDefault="00363E46" w:rsidP="00BF4D52">
            <w:pPr>
              <w:jc w:val="both"/>
              <w:rPr>
                <w:rFonts w:ascii="Times New Roman" w:hAnsi="Times New Roman" w:cs="Times New Roman"/>
                <w:b/>
                <w:sz w:val="24"/>
                <w:szCs w:val="24"/>
              </w:rPr>
            </w:pPr>
            <w:r w:rsidRPr="00D355AD">
              <w:rPr>
                <w:rFonts w:ascii="Times New Roman" w:hAnsi="Times New Roman" w:cs="Times New Roman"/>
                <w:b/>
                <w:sz w:val="24"/>
                <w:szCs w:val="24"/>
              </w:rPr>
              <w:t>SC 1.</w:t>
            </w:r>
            <w:r>
              <w:rPr>
                <w:rFonts w:ascii="Times New Roman" w:hAnsi="Times New Roman" w:cs="Times New Roman"/>
                <w:b/>
                <w:sz w:val="24"/>
                <w:szCs w:val="24"/>
              </w:rPr>
              <w:t>4</w:t>
            </w:r>
            <w:r w:rsidRPr="00D355AD">
              <w:rPr>
                <w:rFonts w:ascii="Times New Roman" w:hAnsi="Times New Roman" w:cs="Times New Roman"/>
                <w:b/>
                <w:sz w:val="24"/>
                <w:szCs w:val="24"/>
              </w:rPr>
              <w:t xml:space="preserve"> </w:t>
            </w:r>
            <w:r w:rsidRPr="00D355AD">
              <w:rPr>
                <w:rFonts w:ascii="Times New Roman" w:hAnsi="Times New Roman" w:cs="Times New Roman"/>
                <w:sz w:val="24"/>
                <w:szCs w:val="24"/>
              </w:rPr>
              <w:t>(</w:t>
            </w:r>
            <w:r>
              <w:rPr>
                <w:rFonts w:ascii="Times New Roman" w:hAnsi="Times New Roman" w:cs="Times New Roman"/>
                <w:sz w:val="24"/>
                <w:szCs w:val="24"/>
              </w:rPr>
              <w:t>infrastruktura veřejné hromadné dopravy</w:t>
            </w:r>
            <w:r w:rsidRPr="00D355AD">
              <w:rPr>
                <w:rFonts w:ascii="Times New Roman" w:hAnsi="Times New Roman" w:cs="Times New Roman"/>
                <w:sz w:val="24"/>
                <w:szCs w:val="24"/>
              </w:rPr>
              <w:t>)</w:t>
            </w:r>
          </w:p>
        </w:tc>
        <w:tc>
          <w:tcPr>
            <w:tcW w:w="1726" w:type="dxa"/>
            <w:vAlign w:val="center"/>
          </w:tcPr>
          <w:p w14:paraId="67B5CF4A" w14:textId="5CEBA737" w:rsidR="00363E46" w:rsidRPr="00D355AD" w:rsidRDefault="00363E46" w:rsidP="00BF4D52">
            <w:pPr>
              <w:jc w:val="center"/>
              <w:rPr>
                <w:rFonts w:ascii="Times New Roman" w:hAnsi="Times New Roman" w:cs="Times New Roman"/>
                <w:sz w:val="24"/>
                <w:szCs w:val="24"/>
              </w:rPr>
            </w:pPr>
            <w:r>
              <w:rPr>
                <w:rFonts w:ascii="Times New Roman" w:hAnsi="Times New Roman" w:cs="Times New Roman"/>
                <w:sz w:val="24"/>
                <w:szCs w:val="24"/>
              </w:rPr>
              <w:t>198 499 600</w:t>
            </w:r>
          </w:p>
        </w:tc>
        <w:tc>
          <w:tcPr>
            <w:tcW w:w="2590" w:type="dxa"/>
            <w:vAlign w:val="center"/>
          </w:tcPr>
          <w:p w14:paraId="44DE321C" w14:textId="63FD513E" w:rsidR="00363E46" w:rsidRPr="00D355AD" w:rsidRDefault="00363E46" w:rsidP="00BF4D52">
            <w:pPr>
              <w:jc w:val="center"/>
              <w:rPr>
                <w:rFonts w:ascii="Times New Roman" w:hAnsi="Times New Roman" w:cs="Times New Roman"/>
                <w:sz w:val="24"/>
                <w:szCs w:val="24"/>
              </w:rPr>
            </w:pPr>
            <w:r>
              <w:rPr>
                <w:rFonts w:ascii="Times New Roman" w:hAnsi="Times New Roman" w:cs="Times New Roman"/>
                <w:sz w:val="24"/>
                <w:szCs w:val="24"/>
              </w:rPr>
              <w:t>185 298 797</w:t>
            </w:r>
          </w:p>
        </w:tc>
        <w:tc>
          <w:tcPr>
            <w:tcW w:w="1151" w:type="dxa"/>
            <w:vAlign w:val="center"/>
          </w:tcPr>
          <w:p w14:paraId="1B35290D" w14:textId="3A1AA3C2" w:rsidR="00363E46" w:rsidRPr="00D355AD" w:rsidRDefault="00485137" w:rsidP="00BF4D52">
            <w:pPr>
              <w:jc w:val="center"/>
              <w:rPr>
                <w:rFonts w:ascii="Times New Roman" w:hAnsi="Times New Roman" w:cs="Times New Roman"/>
                <w:sz w:val="24"/>
                <w:szCs w:val="24"/>
              </w:rPr>
            </w:pPr>
            <w:proofErr w:type="gramStart"/>
            <w:r>
              <w:rPr>
                <w:rFonts w:ascii="Times New Roman" w:hAnsi="Times New Roman" w:cs="Times New Roman"/>
                <w:sz w:val="24"/>
                <w:szCs w:val="24"/>
              </w:rPr>
              <w:t>93%</w:t>
            </w:r>
            <w:proofErr w:type="gramEnd"/>
          </w:p>
        </w:tc>
      </w:tr>
      <w:tr w:rsidR="00363E46" w:rsidRPr="00D355AD" w14:paraId="1D57F94A" w14:textId="77777777" w:rsidTr="004535A8">
        <w:trPr>
          <w:trHeight w:val="642"/>
        </w:trPr>
        <w:tc>
          <w:tcPr>
            <w:tcW w:w="3592" w:type="dxa"/>
            <w:shd w:val="clear" w:color="auto" w:fill="FFFFFF" w:themeFill="background1"/>
            <w:vAlign w:val="center"/>
          </w:tcPr>
          <w:p w14:paraId="5E506E94" w14:textId="294EC634" w:rsidR="00363E46" w:rsidRPr="00D355AD" w:rsidRDefault="00363E46" w:rsidP="00BF4D52">
            <w:pPr>
              <w:jc w:val="both"/>
              <w:rPr>
                <w:rFonts w:ascii="Times New Roman" w:hAnsi="Times New Roman" w:cs="Times New Roman"/>
                <w:b/>
                <w:sz w:val="24"/>
                <w:szCs w:val="24"/>
              </w:rPr>
            </w:pPr>
            <w:r w:rsidRPr="00D355AD">
              <w:rPr>
                <w:rFonts w:ascii="Times New Roman" w:hAnsi="Times New Roman" w:cs="Times New Roman"/>
                <w:b/>
                <w:sz w:val="24"/>
                <w:szCs w:val="24"/>
              </w:rPr>
              <w:t xml:space="preserve">SC </w:t>
            </w:r>
            <w:r>
              <w:rPr>
                <w:rFonts w:ascii="Times New Roman" w:hAnsi="Times New Roman" w:cs="Times New Roman"/>
                <w:b/>
                <w:sz w:val="24"/>
                <w:szCs w:val="24"/>
              </w:rPr>
              <w:t>2.3</w:t>
            </w:r>
            <w:r w:rsidRPr="00D355AD">
              <w:rPr>
                <w:rFonts w:ascii="Times New Roman" w:hAnsi="Times New Roman" w:cs="Times New Roman"/>
                <w:b/>
                <w:sz w:val="24"/>
                <w:szCs w:val="24"/>
              </w:rPr>
              <w:t xml:space="preserve"> </w:t>
            </w:r>
            <w:r w:rsidRPr="00D355AD">
              <w:rPr>
                <w:rFonts w:ascii="Times New Roman" w:hAnsi="Times New Roman" w:cs="Times New Roman"/>
                <w:sz w:val="24"/>
                <w:szCs w:val="24"/>
              </w:rPr>
              <w:t>(</w:t>
            </w:r>
            <w:r>
              <w:rPr>
                <w:rFonts w:ascii="Times New Roman" w:hAnsi="Times New Roman" w:cs="Times New Roman"/>
                <w:sz w:val="24"/>
                <w:szCs w:val="24"/>
              </w:rPr>
              <w:t>telematika individuální automobilové dopravy</w:t>
            </w:r>
            <w:r w:rsidRPr="00D355AD">
              <w:rPr>
                <w:rFonts w:ascii="Times New Roman" w:hAnsi="Times New Roman" w:cs="Times New Roman"/>
                <w:sz w:val="24"/>
                <w:szCs w:val="24"/>
              </w:rPr>
              <w:t>)</w:t>
            </w:r>
          </w:p>
        </w:tc>
        <w:tc>
          <w:tcPr>
            <w:tcW w:w="1726" w:type="dxa"/>
            <w:vAlign w:val="center"/>
          </w:tcPr>
          <w:p w14:paraId="4EAF114F" w14:textId="78B22DD9" w:rsidR="00363E46" w:rsidRPr="00D355AD" w:rsidRDefault="00363E46" w:rsidP="00BF4D52">
            <w:pPr>
              <w:jc w:val="center"/>
              <w:rPr>
                <w:rFonts w:ascii="Times New Roman" w:hAnsi="Times New Roman" w:cs="Times New Roman"/>
                <w:sz w:val="24"/>
                <w:szCs w:val="24"/>
              </w:rPr>
            </w:pPr>
            <w:r>
              <w:rPr>
                <w:rFonts w:ascii="Times New Roman" w:hAnsi="Times New Roman" w:cs="Times New Roman"/>
                <w:sz w:val="24"/>
                <w:szCs w:val="24"/>
              </w:rPr>
              <w:t>250 696 880</w:t>
            </w:r>
          </w:p>
        </w:tc>
        <w:tc>
          <w:tcPr>
            <w:tcW w:w="2590" w:type="dxa"/>
            <w:vAlign w:val="center"/>
          </w:tcPr>
          <w:p w14:paraId="2D37F2F8" w14:textId="60921E1D" w:rsidR="00363E46" w:rsidRPr="00D355AD" w:rsidRDefault="00363E46" w:rsidP="00BF4D52">
            <w:pPr>
              <w:jc w:val="center"/>
              <w:rPr>
                <w:rFonts w:ascii="Times New Roman" w:hAnsi="Times New Roman" w:cs="Times New Roman"/>
                <w:sz w:val="24"/>
                <w:szCs w:val="24"/>
              </w:rPr>
            </w:pPr>
            <w:r>
              <w:rPr>
                <w:rFonts w:ascii="Times New Roman" w:hAnsi="Times New Roman" w:cs="Times New Roman"/>
                <w:sz w:val="24"/>
                <w:szCs w:val="24"/>
              </w:rPr>
              <w:t>240 537 711</w:t>
            </w:r>
          </w:p>
        </w:tc>
        <w:tc>
          <w:tcPr>
            <w:tcW w:w="1151" w:type="dxa"/>
            <w:vAlign w:val="center"/>
          </w:tcPr>
          <w:p w14:paraId="5670E3D1" w14:textId="5655F165" w:rsidR="00363E46" w:rsidRPr="00D355AD" w:rsidRDefault="00485137" w:rsidP="00BF4D52">
            <w:pPr>
              <w:jc w:val="center"/>
              <w:rPr>
                <w:rFonts w:ascii="Times New Roman" w:hAnsi="Times New Roman" w:cs="Times New Roman"/>
                <w:sz w:val="24"/>
                <w:szCs w:val="24"/>
              </w:rPr>
            </w:pPr>
            <w:proofErr w:type="gramStart"/>
            <w:r>
              <w:rPr>
                <w:rFonts w:ascii="Times New Roman" w:hAnsi="Times New Roman" w:cs="Times New Roman"/>
                <w:sz w:val="24"/>
                <w:szCs w:val="24"/>
              </w:rPr>
              <w:t>96%</w:t>
            </w:r>
            <w:proofErr w:type="gramEnd"/>
          </w:p>
        </w:tc>
      </w:tr>
      <w:tr w:rsidR="00363E46" w:rsidRPr="00D355AD" w14:paraId="1370507E" w14:textId="77777777" w:rsidTr="004535A8">
        <w:trPr>
          <w:trHeight w:val="938"/>
        </w:trPr>
        <w:tc>
          <w:tcPr>
            <w:tcW w:w="3592" w:type="dxa"/>
            <w:shd w:val="clear" w:color="auto" w:fill="D9D9D9" w:themeFill="background1" w:themeFillShade="D9"/>
            <w:vAlign w:val="center"/>
          </w:tcPr>
          <w:p w14:paraId="6B249631" w14:textId="20ED32F2" w:rsidR="00363E46" w:rsidRPr="00D355AD" w:rsidRDefault="00485137" w:rsidP="00BF4D52">
            <w:pPr>
              <w:jc w:val="both"/>
              <w:rPr>
                <w:rFonts w:ascii="Times New Roman" w:hAnsi="Times New Roman" w:cs="Times New Roman"/>
                <w:b/>
                <w:sz w:val="24"/>
                <w:szCs w:val="24"/>
              </w:rPr>
            </w:pPr>
            <w:r>
              <w:rPr>
                <w:rFonts w:ascii="Times New Roman" w:hAnsi="Times New Roman" w:cs="Times New Roman"/>
                <w:b/>
                <w:sz w:val="24"/>
                <w:szCs w:val="24"/>
              </w:rPr>
              <w:t xml:space="preserve">Finanční objem předložených žádostí o dotaci </w:t>
            </w:r>
            <w:r>
              <w:rPr>
                <w:rFonts w:ascii="Times New Roman" w:hAnsi="Times New Roman" w:cs="Times New Roman"/>
                <w:b/>
                <w:sz w:val="24"/>
                <w:szCs w:val="24"/>
              </w:rPr>
              <w:t>c</w:t>
            </w:r>
            <w:r w:rsidR="00363E46" w:rsidRPr="00D355AD">
              <w:rPr>
                <w:rFonts w:ascii="Times New Roman" w:hAnsi="Times New Roman" w:cs="Times New Roman"/>
                <w:b/>
                <w:sz w:val="24"/>
                <w:szCs w:val="24"/>
              </w:rPr>
              <w:t xml:space="preserve">elkem </w:t>
            </w:r>
            <w:r>
              <w:rPr>
                <w:rFonts w:ascii="Times New Roman" w:hAnsi="Times New Roman" w:cs="Times New Roman"/>
                <w:b/>
                <w:sz w:val="24"/>
                <w:szCs w:val="24"/>
              </w:rPr>
              <w:t>za OP Doprava</w:t>
            </w:r>
          </w:p>
        </w:tc>
        <w:tc>
          <w:tcPr>
            <w:tcW w:w="1726" w:type="dxa"/>
            <w:shd w:val="clear" w:color="auto" w:fill="D9D9D9" w:themeFill="background1" w:themeFillShade="D9"/>
            <w:vAlign w:val="center"/>
          </w:tcPr>
          <w:p w14:paraId="75A2CF08" w14:textId="3C70E757" w:rsidR="00363E46" w:rsidRPr="00D355AD" w:rsidRDefault="00485137" w:rsidP="00BF4D52">
            <w:pPr>
              <w:jc w:val="center"/>
              <w:rPr>
                <w:rFonts w:ascii="Times New Roman" w:hAnsi="Times New Roman" w:cs="Times New Roman"/>
                <w:b/>
                <w:sz w:val="24"/>
                <w:szCs w:val="24"/>
              </w:rPr>
            </w:pPr>
            <w:r>
              <w:rPr>
                <w:rFonts w:ascii="Times New Roman" w:hAnsi="Times New Roman" w:cs="Times New Roman"/>
                <w:b/>
                <w:sz w:val="24"/>
                <w:szCs w:val="24"/>
              </w:rPr>
              <w:t>449 19</w:t>
            </w:r>
            <w:r w:rsidR="00363E46">
              <w:rPr>
                <w:rFonts w:ascii="Times New Roman" w:hAnsi="Times New Roman" w:cs="Times New Roman"/>
                <w:b/>
                <w:sz w:val="24"/>
                <w:szCs w:val="24"/>
              </w:rPr>
              <w:t>6 480</w:t>
            </w:r>
          </w:p>
        </w:tc>
        <w:tc>
          <w:tcPr>
            <w:tcW w:w="2590" w:type="dxa"/>
            <w:shd w:val="clear" w:color="auto" w:fill="D9D9D9" w:themeFill="background1" w:themeFillShade="D9"/>
            <w:vAlign w:val="center"/>
          </w:tcPr>
          <w:p w14:paraId="01ED6237" w14:textId="13D33129" w:rsidR="00363E46" w:rsidRPr="00D355AD" w:rsidRDefault="00485137" w:rsidP="00BF4D52">
            <w:pPr>
              <w:jc w:val="center"/>
              <w:rPr>
                <w:rFonts w:ascii="Times New Roman" w:hAnsi="Times New Roman" w:cs="Times New Roman"/>
                <w:b/>
                <w:sz w:val="24"/>
                <w:szCs w:val="24"/>
              </w:rPr>
            </w:pPr>
            <w:r>
              <w:rPr>
                <w:rFonts w:ascii="Times New Roman" w:hAnsi="Times New Roman" w:cs="Times New Roman"/>
                <w:b/>
                <w:sz w:val="24"/>
                <w:szCs w:val="24"/>
              </w:rPr>
              <w:t>425 836 508</w:t>
            </w:r>
          </w:p>
        </w:tc>
        <w:tc>
          <w:tcPr>
            <w:tcW w:w="1151" w:type="dxa"/>
            <w:shd w:val="clear" w:color="auto" w:fill="D9D9D9" w:themeFill="background1" w:themeFillShade="D9"/>
            <w:vAlign w:val="center"/>
          </w:tcPr>
          <w:p w14:paraId="0ADD98A6" w14:textId="32FBEB6A" w:rsidR="00363E46" w:rsidRPr="00D355AD" w:rsidRDefault="00485137" w:rsidP="00BF4D52">
            <w:pPr>
              <w:jc w:val="center"/>
              <w:rPr>
                <w:rFonts w:ascii="Times New Roman" w:hAnsi="Times New Roman" w:cs="Times New Roman"/>
                <w:b/>
                <w:sz w:val="24"/>
                <w:szCs w:val="24"/>
              </w:rPr>
            </w:pPr>
            <w:proofErr w:type="gramStart"/>
            <w:r>
              <w:rPr>
                <w:rFonts w:ascii="Times New Roman" w:hAnsi="Times New Roman" w:cs="Times New Roman"/>
                <w:b/>
                <w:sz w:val="24"/>
                <w:szCs w:val="24"/>
              </w:rPr>
              <w:t>95%</w:t>
            </w:r>
            <w:proofErr w:type="gramEnd"/>
          </w:p>
        </w:tc>
      </w:tr>
    </w:tbl>
    <w:p w14:paraId="53907D13" w14:textId="02723DCD" w:rsidR="00CF1054" w:rsidRPr="00CF1054" w:rsidRDefault="00485137" w:rsidP="00485137">
      <w:pPr>
        <w:spacing w:before="120"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Řídící orgán OP Doprava nemonitoruje plnění finančního plánu formou předložených Žádostí o platbu, jako je to v případě řídícího orgánu IROP. </w:t>
      </w:r>
      <w:r w:rsidR="008411E0">
        <w:rPr>
          <w:rFonts w:ascii="Times New Roman" w:hAnsi="Times New Roman" w:cs="Times New Roman"/>
          <w:iCs/>
          <w:sz w:val="24"/>
          <w:szCs w:val="24"/>
        </w:rPr>
        <w:t>Z tohoto důvodu</w:t>
      </w:r>
      <w:r>
        <w:rPr>
          <w:rFonts w:ascii="Times New Roman" w:hAnsi="Times New Roman" w:cs="Times New Roman"/>
          <w:iCs/>
          <w:sz w:val="24"/>
          <w:szCs w:val="24"/>
        </w:rPr>
        <w:t xml:space="preserve"> je v přehledu OP Doprava uveden objem předložených žádostí o dotaci na projekty, které jsou v realizaci. </w:t>
      </w:r>
    </w:p>
    <w:p w14:paraId="2DC09B4B" w14:textId="3837FE7E" w:rsidR="008411E0" w:rsidRDefault="00CA2DD5" w:rsidP="009E3E60">
      <w:pPr>
        <w:shd w:val="clear" w:color="auto" w:fill="FFFFFF" w:themeFill="background1"/>
        <w:spacing w:before="120" w:after="160" w:line="240" w:lineRule="auto"/>
        <w:jc w:val="both"/>
        <w:rPr>
          <w:rFonts w:ascii="Times New Roman" w:hAnsi="Times New Roman" w:cs="Times New Roman"/>
          <w:sz w:val="24"/>
          <w:szCs w:val="24"/>
        </w:rPr>
      </w:pPr>
      <w:r w:rsidRPr="008411E0">
        <w:rPr>
          <w:rFonts w:ascii="Times New Roman" w:hAnsi="Times New Roman" w:cs="Times New Roman"/>
          <w:b/>
          <w:bCs/>
          <w:sz w:val="24"/>
          <w:szCs w:val="24"/>
        </w:rPr>
        <w:t>Z uvede</w:t>
      </w:r>
      <w:r w:rsidR="00817E7F" w:rsidRPr="008411E0">
        <w:rPr>
          <w:rFonts w:ascii="Times New Roman" w:hAnsi="Times New Roman" w:cs="Times New Roman"/>
          <w:b/>
          <w:bCs/>
          <w:sz w:val="24"/>
          <w:szCs w:val="24"/>
        </w:rPr>
        <w:t>n</w:t>
      </w:r>
      <w:r w:rsidR="004535A8">
        <w:rPr>
          <w:rFonts w:ascii="Times New Roman" w:hAnsi="Times New Roman" w:cs="Times New Roman"/>
          <w:b/>
          <w:bCs/>
          <w:sz w:val="24"/>
          <w:szCs w:val="24"/>
        </w:rPr>
        <w:t>ých</w:t>
      </w:r>
      <w:r w:rsidR="00817E7F" w:rsidRPr="008411E0">
        <w:rPr>
          <w:rFonts w:ascii="Times New Roman" w:hAnsi="Times New Roman" w:cs="Times New Roman"/>
          <w:b/>
          <w:bCs/>
          <w:sz w:val="24"/>
          <w:szCs w:val="24"/>
        </w:rPr>
        <w:t xml:space="preserve"> přehled</w:t>
      </w:r>
      <w:r w:rsidR="004535A8">
        <w:rPr>
          <w:rFonts w:ascii="Times New Roman" w:hAnsi="Times New Roman" w:cs="Times New Roman"/>
          <w:b/>
          <w:bCs/>
          <w:sz w:val="24"/>
          <w:szCs w:val="24"/>
        </w:rPr>
        <w:t>ů</w:t>
      </w:r>
      <w:r w:rsidR="00817E7F" w:rsidRPr="008411E0">
        <w:rPr>
          <w:rFonts w:ascii="Times New Roman" w:hAnsi="Times New Roman" w:cs="Times New Roman"/>
          <w:b/>
          <w:bCs/>
          <w:sz w:val="24"/>
          <w:szCs w:val="24"/>
        </w:rPr>
        <w:t xml:space="preserve"> vyplývá</w:t>
      </w:r>
      <w:r w:rsidRPr="008411E0">
        <w:rPr>
          <w:rFonts w:ascii="Times New Roman" w:hAnsi="Times New Roman" w:cs="Times New Roman"/>
          <w:b/>
          <w:bCs/>
          <w:sz w:val="24"/>
          <w:szCs w:val="24"/>
        </w:rPr>
        <w:t xml:space="preserve">, že </w:t>
      </w:r>
      <w:r w:rsidR="008411E0" w:rsidRPr="008411E0">
        <w:rPr>
          <w:rFonts w:ascii="Times New Roman" w:hAnsi="Times New Roman" w:cs="Times New Roman"/>
          <w:b/>
          <w:bCs/>
          <w:sz w:val="24"/>
          <w:szCs w:val="24"/>
        </w:rPr>
        <w:t>finanční objem předložených žádostí o dotaci na projekty, které jsou ukončeny nebo v realizaci z </w:t>
      </w:r>
      <w:proofErr w:type="gramStart"/>
      <w:r w:rsidR="008411E0" w:rsidRPr="008411E0">
        <w:rPr>
          <w:rFonts w:ascii="Times New Roman" w:hAnsi="Times New Roman" w:cs="Times New Roman"/>
          <w:b/>
          <w:bCs/>
          <w:sz w:val="24"/>
          <w:szCs w:val="24"/>
        </w:rPr>
        <w:t>95%</w:t>
      </w:r>
      <w:proofErr w:type="gramEnd"/>
      <w:r w:rsidR="008411E0" w:rsidRPr="008411E0">
        <w:rPr>
          <w:rFonts w:ascii="Times New Roman" w:hAnsi="Times New Roman" w:cs="Times New Roman"/>
          <w:b/>
          <w:bCs/>
          <w:sz w:val="24"/>
          <w:szCs w:val="24"/>
        </w:rPr>
        <w:t xml:space="preserve"> (OP Doprava), resp. 96% (IROP) vyčerpal celkovou alokaci strategie IPRÚ České Budějovice.</w:t>
      </w:r>
    </w:p>
    <w:p w14:paraId="64C9EBDE" w14:textId="698F4481" w:rsidR="008411E0" w:rsidRDefault="008411E0" w:rsidP="009E3E60">
      <w:pPr>
        <w:shd w:val="clear" w:color="auto" w:fill="FFFFFF" w:themeFill="background1"/>
        <w:spacing w:before="120"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Pro období 2021 až 2023 je prioritní dodržet harmonogram realizace projektů </w:t>
      </w:r>
      <w:r w:rsidR="00CA2DD5" w:rsidRPr="00D355AD">
        <w:rPr>
          <w:rFonts w:ascii="Times New Roman" w:hAnsi="Times New Roman" w:cs="Times New Roman"/>
          <w:sz w:val="24"/>
          <w:szCs w:val="24"/>
        </w:rPr>
        <w:t>ve SC 1.1 (siln</w:t>
      </w:r>
      <w:r w:rsidR="00817E7F" w:rsidRPr="00D355AD">
        <w:rPr>
          <w:rFonts w:ascii="Times New Roman" w:hAnsi="Times New Roman" w:cs="Times New Roman"/>
          <w:sz w:val="24"/>
          <w:szCs w:val="24"/>
        </w:rPr>
        <w:t>ice II. a III. třídy)</w:t>
      </w:r>
      <w:r>
        <w:rPr>
          <w:rFonts w:ascii="Times New Roman" w:hAnsi="Times New Roman" w:cs="Times New Roman"/>
          <w:sz w:val="24"/>
          <w:szCs w:val="24"/>
        </w:rPr>
        <w:t xml:space="preserve">, který byl v předchozích letech </w:t>
      </w:r>
      <w:r w:rsidR="00817E7F" w:rsidRPr="00D355AD">
        <w:rPr>
          <w:rFonts w:ascii="Times New Roman" w:hAnsi="Times New Roman" w:cs="Times New Roman"/>
          <w:sz w:val="24"/>
          <w:szCs w:val="24"/>
        </w:rPr>
        <w:t xml:space="preserve">zpožděn </w:t>
      </w:r>
      <w:r w:rsidR="00CA2DD5" w:rsidRPr="00D355AD">
        <w:rPr>
          <w:rFonts w:ascii="Times New Roman" w:hAnsi="Times New Roman" w:cs="Times New Roman"/>
          <w:sz w:val="24"/>
          <w:szCs w:val="24"/>
        </w:rPr>
        <w:t xml:space="preserve">a </w:t>
      </w:r>
      <w:r>
        <w:rPr>
          <w:rFonts w:ascii="Times New Roman" w:hAnsi="Times New Roman" w:cs="Times New Roman"/>
          <w:sz w:val="24"/>
          <w:szCs w:val="24"/>
        </w:rPr>
        <w:t xml:space="preserve">u tohoto opatření </w:t>
      </w:r>
      <w:r w:rsidR="00CA2DD5" w:rsidRPr="00D355AD">
        <w:rPr>
          <w:rFonts w:ascii="Times New Roman" w:hAnsi="Times New Roman" w:cs="Times New Roman"/>
          <w:sz w:val="24"/>
          <w:szCs w:val="24"/>
        </w:rPr>
        <w:t xml:space="preserve">dochází k výpadku v plnění finančního plánu, který </w:t>
      </w:r>
      <w:r>
        <w:rPr>
          <w:rFonts w:ascii="Times New Roman" w:hAnsi="Times New Roman" w:cs="Times New Roman"/>
          <w:sz w:val="24"/>
          <w:szCs w:val="24"/>
        </w:rPr>
        <w:t>je</w:t>
      </w:r>
      <w:r w:rsidR="00CA2DD5" w:rsidRPr="00D355AD">
        <w:rPr>
          <w:rFonts w:ascii="Times New Roman" w:hAnsi="Times New Roman" w:cs="Times New Roman"/>
          <w:sz w:val="24"/>
          <w:szCs w:val="24"/>
        </w:rPr>
        <w:t xml:space="preserve"> k 31. 10. 20</w:t>
      </w:r>
      <w:r w:rsidR="002E5F6D" w:rsidRPr="00D355AD">
        <w:rPr>
          <w:rFonts w:ascii="Times New Roman" w:hAnsi="Times New Roman" w:cs="Times New Roman"/>
          <w:sz w:val="24"/>
          <w:szCs w:val="24"/>
        </w:rPr>
        <w:t>20</w:t>
      </w:r>
      <w:r w:rsidR="00CA2DD5" w:rsidRPr="00D355AD">
        <w:rPr>
          <w:rFonts w:ascii="Times New Roman" w:hAnsi="Times New Roman" w:cs="Times New Roman"/>
          <w:sz w:val="24"/>
          <w:szCs w:val="24"/>
        </w:rPr>
        <w:t xml:space="preserve"> dosud sanován výrazným přeplněním ve SC 1.2 (vozy MHD, </w:t>
      </w:r>
      <w:proofErr w:type="spellStart"/>
      <w:r w:rsidR="00CA2DD5" w:rsidRPr="00D355AD">
        <w:rPr>
          <w:rFonts w:ascii="Times New Roman" w:hAnsi="Times New Roman" w:cs="Times New Roman"/>
          <w:sz w:val="24"/>
          <w:szCs w:val="24"/>
        </w:rPr>
        <w:t>cyklodoprava</w:t>
      </w:r>
      <w:proofErr w:type="spellEnd"/>
      <w:r w:rsidR="00CA2DD5" w:rsidRPr="00D355AD">
        <w:rPr>
          <w:rFonts w:ascii="Times New Roman" w:hAnsi="Times New Roman" w:cs="Times New Roman"/>
          <w:sz w:val="24"/>
          <w:szCs w:val="24"/>
        </w:rPr>
        <w:t>, parkoviš</w:t>
      </w:r>
      <w:r w:rsidR="00817E7F" w:rsidRPr="00D355AD">
        <w:rPr>
          <w:rFonts w:ascii="Times New Roman" w:hAnsi="Times New Roman" w:cs="Times New Roman"/>
          <w:sz w:val="24"/>
          <w:szCs w:val="24"/>
        </w:rPr>
        <w:t xml:space="preserve">tě) a SC 2.4 (vzdělávání). </w:t>
      </w:r>
      <w:r w:rsidR="00817E7F" w:rsidRPr="00E842CE">
        <w:rPr>
          <w:rFonts w:ascii="Times New Roman" w:hAnsi="Times New Roman" w:cs="Times New Roman"/>
          <w:sz w:val="24"/>
          <w:szCs w:val="24"/>
        </w:rPr>
        <w:t>Od roku</w:t>
      </w:r>
      <w:r w:rsidR="00CA2DD5" w:rsidRPr="00E842CE">
        <w:rPr>
          <w:rFonts w:ascii="Times New Roman" w:hAnsi="Times New Roman" w:cs="Times New Roman"/>
          <w:sz w:val="24"/>
          <w:szCs w:val="24"/>
        </w:rPr>
        <w:t xml:space="preserve"> 202</w:t>
      </w:r>
      <w:r w:rsidR="002E5F6D" w:rsidRPr="00E842CE">
        <w:rPr>
          <w:rFonts w:ascii="Times New Roman" w:hAnsi="Times New Roman" w:cs="Times New Roman"/>
          <w:sz w:val="24"/>
          <w:szCs w:val="24"/>
        </w:rPr>
        <w:t>1</w:t>
      </w:r>
      <w:r w:rsidR="00CA2DD5" w:rsidRPr="00E842CE">
        <w:rPr>
          <w:rFonts w:ascii="Times New Roman" w:hAnsi="Times New Roman" w:cs="Times New Roman"/>
          <w:sz w:val="24"/>
          <w:szCs w:val="24"/>
        </w:rPr>
        <w:t xml:space="preserve"> je pro plnění finančního plánu klíčová realizace projektů ve SC 1.1 (silnice II. a III. třídy)</w:t>
      </w:r>
      <w:r w:rsidR="00817E7F" w:rsidRPr="00E842CE">
        <w:rPr>
          <w:rFonts w:ascii="Times New Roman" w:hAnsi="Times New Roman" w:cs="Times New Roman"/>
          <w:sz w:val="24"/>
          <w:szCs w:val="24"/>
        </w:rPr>
        <w:t>, neboť r</w:t>
      </w:r>
      <w:r w:rsidR="00CA2DD5" w:rsidRPr="00E842CE">
        <w:rPr>
          <w:rFonts w:ascii="Times New Roman" w:hAnsi="Times New Roman" w:cs="Times New Roman"/>
          <w:sz w:val="24"/>
          <w:szCs w:val="24"/>
        </w:rPr>
        <w:t>ealizace projektů v ostatních dvou SC (1.2 a 2.4) již nemůže dále nahrazovat výpadek v plnění za SC 1.1</w:t>
      </w:r>
      <w:r w:rsidR="00817E7F" w:rsidRPr="00E842CE">
        <w:rPr>
          <w:rFonts w:ascii="Times New Roman" w:hAnsi="Times New Roman" w:cs="Times New Roman"/>
          <w:sz w:val="24"/>
          <w:szCs w:val="24"/>
        </w:rPr>
        <w:t>. P</w:t>
      </w:r>
      <w:r w:rsidR="00CA2DD5" w:rsidRPr="00E842CE">
        <w:rPr>
          <w:rFonts w:ascii="Times New Roman" w:hAnsi="Times New Roman" w:cs="Times New Roman"/>
          <w:sz w:val="24"/>
          <w:szCs w:val="24"/>
        </w:rPr>
        <w:t xml:space="preserve">odstatná část realizace </w:t>
      </w:r>
      <w:r w:rsidR="00817E7F" w:rsidRPr="00E842CE">
        <w:rPr>
          <w:rFonts w:ascii="Times New Roman" w:hAnsi="Times New Roman" w:cs="Times New Roman"/>
          <w:sz w:val="24"/>
          <w:szCs w:val="24"/>
        </w:rPr>
        <w:t xml:space="preserve">těchto </w:t>
      </w:r>
      <w:r w:rsidR="00CA2DD5" w:rsidRPr="00E842CE">
        <w:rPr>
          <w:rFonts w:ascii="Times New Roman" w:hAnsi="Times New Roman" w:cs="Times New Roman"/>
          <w:sz w:val="24"/>
          <w:szCs w:val="24"/>
        </w:rPr>
        <w:t xml:space="preserve">projektů </w:t>
      </w:r>
      <w:r w:rsidR="00817E7F" w:rsidRPr="00E842CE">
        <w:rPr>
          <w:rFonts w:ascii="Times New Roman" w:hAnsi="Times New Roman" w:cs="Times New Roman"/>
          <w:sz w:val="24"/>
          <w:szCs w:val="24"/>
        </w:rPr>
        <w:t xml:space="preserve">totiž </w:t>
      </w:r>
      <w:r w:rsidR="00CA2DD5" w:rsidRPr="00E842CE">
        <w:rPr>
          <w:rFonts w:ascii="Times New Roman" w:hAnsi="Times New Roman" w:cs="Times New Roman"/>
          <w:sz w:val="24"/>
          <w:szCs w:val="24"/>
        </w:rPr>
        <w:t>proběhla již v letech 2018 a 2019.</w:t>
      </w:r>
      <w:r w:rsidR="00FE5ADB" w:rsidRPr="00E842CE">
        <w:rPr>
          <w:rFonts w:ascii="Times New Roman" w:hAnsi="Times New Roman" w:cs="Times New Roman"/>
          <w:sz w:val="24"/>
          <w:szCs w:val="24"/>
        </w:rPr>
        <w:t xml:space="preserve"> Od srpna 2019</w:t>
      </w:r>
      <w:r w:rsidR="002E5F6D" w:rsidRPr="00E842CE">
        <w:rPr>
          <w:rFonts w:ascii="Times New Roman" w:hAnsi="Times New Roman" w:cs="Times New Roman"/>
          <w:sz w:val="24"/>
          <w:szCs w:val="24"/>
        </w:rPr>
        <w:t xml:space="preserve"> a v roce 2020</w:t>
      </w:r>
      <w:r w:rsidR="00FE5ADB" w:rsidRPr="00E842CE">
        <w:rPr>
          <w:rFonts w:ascii="Times New Roman" w:hAnsi="Times New Roman" w:cs="Times New Roman"/>
          <w:sz w:val="24"/>
          <w:szCs w:val="24"/>
        </w:rPr>
        <w:t xml:space="preserve"> probíhala intenzivní jednání s Krajským úřadem </w:t>
      </w:r>
      <w:r w:rsidR="0054797A" w:rsidRPr="00E842CE">
        <w:rPr>
          <w:rFonts w:ascii="Times New Roman" w:hAnsi="Times New Roman" w:cs="Times New Roman"/>
          <w:sz w:val="24"/>
          <w:szCs w:val="24"/>
        </w:rPr>
        <w:t xml:space="preserve">o řešení vzniklé situace. Výsledkem </w:t>
      </w:r>
      <w:r>
        <w:rPr>
          <w:rFonts w:ascii="Times New Roman" w:hAnsi="Times New Roman" w:cs="Times New Roman"/>
          <w:sz w:val="24"/>
          <w:szCs w:val="24"/>
        </w:rPr>
        <w:t xml:space="preserve">přijatých opatření </w:t>
      </w:r>
      <w:r w:rsidR="0054797A" w:rsidRPr="00E842CE">
        <w:rPr>
          <w:rFonts w:ascii="Times New Roman" w:hAnsi="Times New Roman" w:cs="Times New Roman"/>
          <w:sz w:val="24"/>
          <w:szCs w:val="24"/>
        </w:rPr>
        <w:t xml:space="preserve">je </w:t>
      </w:r>
      <w:r w:rsidR="002E5F6D" w:rsidRPr="00E842CE">
        <w:rPr>
          <w:rFonts w:ascii="Times New Roman" w:hAnsi="Times New Roman" w:cs="Times New Roman"/>
          <w:sz w:val="24"/>
          <w:szCs w:val="24"/>
        </w:rPr>
        <w:t xml:space="preserve">předložení žádostí na projekty Jižní tangenty, Přeložka silnice II/156 v obci Strážkovice, Most Nová Ves a Most Hluboká n. Vltavou, které </w:t>
      </w:r>
      <w:r>
        <w:rPr>
          <w:rFonts w:ascii="Times New Roman" w:hAnsi="Times New Roman" w:cs="Times New Roman"/>
          <w:sz w:val="24"/>
          <w:szCs w:val="24"/>
        </w:rPr>
        <w:t>jsou</w:t>
      </w:r>
      <w:r w:rsidR="002E5F6D" w:rsidRPr="00E842CE">
        <w:rPr>
          <w:rFonts w:ascii="Times New Roman" w:hAnsi="Times New Roman" w:cs="Times New Roman"/>
          <w:sz w:val="24"/>
          <w:szCs w:val="24"/>
        </w:rPr>
        <w:t xml:space="preserve"> nosnými projekty pro zajištění plnění finančního plánu v letech 2021-2023.</w:t>
      </w:r>
    </w:p>
    <w:p w14:paraId="3843FFED" w14:textId="77777777" w:rsidR="008411E0" w:rsidRDefault="008411E0">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606AD2E7" w14:textId="2C2A6E9B" w:rsidR="000B6253" w:rsidRPr="00E842CE" w:rsidRDefault="000B6253" w:rsidP="000B6253">
      <w:pPr>
        <w:jc w:val="both"/>
        <w:rPr>
          <w:rFonts w:ascii="Times New Roman" w:hAnsi="Times New Roman" w:cs="Times New Roman"/>
          <w:b/>
          <w:sz w:val="24"/>
          <w:szCs w:val="24"/>
        </w:rPr>
      </w:pPr>
      <w:r w:rsidRPr="00E842CE">
        <w:rPr>
          <w:rFonts w:ascii="Times New Roman" w:hAnsi="Times New Roman" w:cs="Times New Roman"/>
          <w:b/>
          <w:sz w:val="24"/>
          <w:szCs w:val="24"/>
        </w:rPr>
        <w:t>Přehled o plnění hlavních indikátorů strategie k 31. 10. 20</w:t>
      </w:r>
      <w:r w:rsidR="006F1FBF" w:rsidRPr="00E842CE">
        <w:rPr>
          <w:rFonts w:ascii="Times New Roman" w:hAnsi="Times New Roman" w:cs="Times New Roman"/>
          <w:b/>
          <w:sz w:val="24"/>
          <w:szCs w:val="24"/>
        </w:rPr>
        <w:t>20</w:t>
      </w:r>
      <w:r w:rsidRPr="00E842CE">
        <w:rPr>
          <w:rFonts w:ascii="Times New Roman" w:hAnsi="Times New Roman" w:cs="Times New Roman"/>
          <w:b/>
          <w:sz w:val="24"/>
          <w:szCs w:val="24"/>
        </w:rPr>
        <w:t>:</w:t>
      </w:r>
    </w:p>
    <w:tbl>
      <w:tblPr>
        <w:tblStyle w:val="Mkatabulky"/>
        <w:tblW w:w="0" w:type="auto"/>
        <w:tblLook w:val="04A0" w:firstRow="1" w:lastRow="0" w:firstColumn="1" w:lastColumn="0" w:noHBand="0" w:noVBand="1"/>
      </w:tblPr>
      <w:tblGrid>
        <w:gridCol w:w="3087"/>
        <w:gridCol w:w="2578"/>
        <w:gridCol w:w="1824"/>
        <w:gridCol w:w="1571"/>
      </w:tblGrid>
      <w:tr w:rsidR="00E842CE" w:rsidRPr="00E842CE" w14:paraId="192C0378" w14:textId="77777777" w:rsidTr="00E842CE">
        <w:trPr>
          <w:trHeight w:val="454"/>
        </w:trPr>
        <w:tc>
          <w:tcPr>
            <w:tcW w:w="0" w:type="auto"/>
            <w:shd w:val="clear" w:color="auto" w:fill="D9D9D9" w:themeFill="background1" w:themeFillShade="D9"/>
          </w:tcPr>
          <w:p w14:paraId="7D29DF46" w14:textId="77777777" w:rsidR="000B6253" w:rsidRPr="00E842CE" w:rsidRDefault="000B6253" w:rsidP="009B71C1">
            <w:pPr>
              <w:spacing w:before="120" w:after="120" w:line="240" w:lineRule="auto"/>
              <w:jc w:val="center"/>
              <w:rPr>
                <w:rFonts w:ascii="Times New Roman" w:hAnsi="Times New Roman" w:cs="Times New Roman"/>
                <w:b/>
                <w:sz w:val="24"/>
                <w:szCs w:val="24"/>
              </w:rPr>
            </w:pPr>
            <w:r w:rsidRPr="00E842CE">
              <w:rPr>
                <w:rFonts w:ascii="Times New Roman" w:hAnsi="Times New Roman" w:cs="Times New Roman"/>
                <w:b/>
                <w:sz w:val="24"/>
                <w:szCs w:val="24"/>
              </w:rPr>
              <w:t>Opatření</w:t>
            </w:r>
          </w:p>
        </w:tc>
        <w:tc>
          <w:tcPr>
            <w:tcW w:w="2578" w:type="dxa"/>
            <w:shd w:val="clear" w:color="auto" w:fill="D9D9D9" w:themeFill="background1" w:themeFillShade="D9"/>
          </w:tcPr>
          <w:p w14:paraId="4A678E32" w14:textId="77777777" w:rsidR="000B6253" w:rsidRPr="00E842CE" w:rsidRDefault="000B6253" w:rsidP="009B71C1">
            <w:pPr>
              <w:spacing w:before="120" w:after="120" w:line="240" w:lineRule="auto"/>
              <w:jc w:val="center"/>
              <w:rPr>
                <w:rFonts w:ascii="Times New Roman" w:hAnsi="Times New Roman" w:cs="Times New Roman"/>
                <w:b/>
                <w:sz w:val="24"/>
                <w:szCs w:val="24"/>
              </w:rPr>
            </w:pPr>
            <w:r w:rsidRPr="00E842CE">
              <w:rPr>
                <w:rFonts w:ascii="Times New Roman" w:hAnsi="Times New Roman" w:cs="Times New Roman"/>
                <w:b/>
                <w:sz w:val="24"/>
                <w:szCs w:val="24"/>
              </w:rPr>
              <w:t>Indikátor</w:t>
            </w:r>
          </w:p>
        </w:tc>
        <w:tc>
          <w:tcPr>
            <w:tcW w:w="1824" w:type="dxa"/>
            <w:shd w:val="clear" w:color="auto" w:fill="D9D9D9" w:themeFill="background1" w:themeFillShade="D9"/>
          </w:tcPr>
          <w:p w14:paraId="01C6E11F" w14:textId="77777777" w:rsidR="000B6253" w:rsidRPr="00E842CE" w:rsidRDefault="000B6253" w:rsidP="009B71C1">
            <w:pPr>
              <w:spacing w:before="120" w:after="120" w:line="240" w:lineRule="auto"/>
              <w:jc w:val="center"/>
              <w:rPr>
                <w:rFonts w:ascii="Times New Roman" w:hAnsi="Times New Roman" w:cs="Times New Roman"/>
                <w:b/>
                <w:sz w:val="24"/>
                <w:szCs w:val="24"/>
              </w:rPr>
            </w:pPr>
            <w:r w:rsidRPr="00E842CE">
              <w:rPr>
                <w:rFonts w:ascii="Times New Roman" w:hAnsi="Times New Roman" w:cs="Times New Roman"/>
                <w:b/>
                <w:sz w:val="24"/>
                <w:szCs w:val="24"/>
              </w:rPr>
              <w:t>Cílová hodnota</w:t>
            </w:r>
          </w:p>
        </w:tc>
        <w:tc>
          <w:tcPr>
            <w:tcW w:w="0" w:type="auto"/>
            <w:shd w:val="clear" w:color="auto" w:fill="D9D9D9" w:themeFill="background1" w:themeFillShade="D9"/>
          </w:tcPr>
          <w:p w14:paraId="45B70447" w14:textId="77777777" w:rsidR="000B6253" w:rsidRPr="00E842CE" w:rsidRDefault="000B6253" w:rsidP="009B71C1">
            <w:pPr>
              <w:spacing w:before="120" w:after="120" w:line="240" w:lineRule="auto"/>
              <w:jc w:val="center"/>
              <w:rPr>
                <w:rFonts w:ascii="Times New Roman" w:hAnsi="Times New Roman" w:cs="Times New Roman"/>
                <w:b/>
                <w:sz w:val="24"/>
                <w:szCs w:val="24"/>
              </w:rPr>
            </w:pPr>
            <w:r w:rsidRPr="00E842CE">
              <w:rPr>
                <w:rFonts w:ascii="Times New Roman" w:hAnsi="Times New Roman" w:cs="Times New Roman"/>
                <w:b/>
                <w:sz w:val="24"/>
                <w:szCs w:val="24"/>
              </w:rPr>
              <w:t>Dosažená hodnota</w:t>
            </w:r>
          </w:p>
        </w:tc>
      </w:tr>
      <w:tr w:rsidR="00A80E64" w:rsidRPr="00A80E64" w14:paraId="108E1A00" w14:textId="77777777" w:rsidTr="00E842CE">
        <w:trPr>
          <w:trHeight w:val="454"/>
        </w:trPr>
        <w:tc>
          <w:tcPr>
            <w:tcW w:w="0" w:type="auto"/>
            <w:vAlign w:val="center"/>
          </w:tcPr>
          <w:p w14:paraId="488DDDBF" w14:textId="77777777" w:rsidR="009B71C1" w:rsidRPr="00E842CE" w:rsidRDefault="009B71C1" w:rsidP="009B71C1">
            <w:pPr>
              <w:spacing w:before="120" w:after="120" w:line="240" w:lineRule="auto"/>
              <w:jc w:val="center"/>
              <w:rPr>
                <w:rFonts w:ascii="Times New Roman" w:hAnsi="Times New Roman" w:cs="Times New Roman"/>
                <w:b/>
                <w:sz w:val="24"/>
                <w:szCs w:val="24"/>
              </w:rPr>
            </w:pPr>
            <w:r w:rsidRPr="00E842CE">
              <w:rPr>
                <w:rFonts w:ascii="Times New Roman" w:hAnsi="Times New Roman" w:cs="Times New Roman"/>
                <w:b/>
                <w:sz w:val="24"/>
                <w:szCs w:val="24"/>
              </w:rPr>
              <w:t>Opatření 1.1.1 Telematika IAD</w:t>
            </w:r>
          </w:p>
        </w:tc>
        <w:tc>
          <w:tcPr>
            <w:tcW w:w="2578" w:type="dxa"/>
          </w:tcPr>
          <w:p w14:paraId="0580C959" w14:textId="77777777" w:rsidR="009B71C1" w:rsidRPr="00E842CE" w:rsidRDefault="009B71C1" w:rsidP="00BA1582">
            <w:pPr>
              <w:spacing w:before="120" w:after="120" w:line="240" w:lineRule="auto"/>
              <w:jc w:val="both"/>
              <w:rPr>
                <w:rFonts w:ascii="Times New Roman" w:hAnsi="Times New Roman" w:cs="Times New Roman"/>
                <w:sz w:val="24"/>
                <w:szCs w:val="24"/>
              </w:rPr>
            </w:pPr>
            <w:r w:rsidRPr="00E842CE">
              <w:rPr>
                <w:rFonts w:ascii="Times New Roman" w:hAnsi="Times New Roman" w:cs="Times New Roman"/>
                <w:sz w:val="24"/>
                <w:szCs w:val="24"/>
              </w:rPr>
              <w:t>Počet zařízení pro telematiku</w:t>
            </w:r>
          </w:p>
        </w:tc>
        <w:tc>
          <w:tcPr>
            <w:tcW w:w="1824" w:type="dxa"/>
            <w:vAlign w:val="center"/>
          </w:tcPr>
          <w:p w14:paraId="38B91075" w14:textId="77777777" w:rsidR="009B71C1" w:rsidRPr="00E842CE" w:rsidRDefault="009B71C1" w:rsidP="009B71C1">
            <w:pPr>
              <w:spacing w:before="120" w:after="120" w:line="240" w:lineRule="auto"/>
              <w:jc w:val="center"/>
              <w:rPr>
                <w:rFonts w:ascii="Times New Roman" w:hAnsi="Times New Roman" w:cs="Times New Roman"/>
                <w:sz w:val="24"/>
                <w:szCs w:val="24"/>
              </w:rPr>
            </w:pPr>
            <w:r w:rsidRPr="00E842CE">
              <w:rPr>
                <w:rFonts w:ascii="Times New Roman" w:hAnsi="Times New Roman" w:cs="Times New Roman"/>
                <w:sz w:val="24"/>
                <w:szCs w:val="24"/>
              </w:rPr>
              <w:t>11</w:t>
            </w:r>
          </w:p>
        </w:tc>
        <w:tc>
          <w:tcPr>
            <w:tcW w:w="0" w:type="auto"/>
            <w:vAlign w:val="center"/>
          </w:tcPr>
          <w:p w14:paraId="2EB92A07" w14:textId="77777777" w:rsidR="009B71C1" w:rsidRPr="00E842CE" w:rsidRDefault="009B71C1" w:rsidP="009B71C1">
            <w:pPr>
              <w:spacing w:before="120" w:after="120" w:line="240" w:lineRule="auto"/>
              <w:jc w:val="center"/>
              <w:rPr>
                <w:rFonts w:ascii="Times New Roman" w:hAnsi="Times New Roman" w:cs="Times New Roman"/>
                <w:sz w:val="24"/>
                <w:szCs w:val="24"/>
              </w:rPr>
            </w:pPr>
            <w:r w:rsidRPr="00E842CE">
              <w:rPr>
                <w:rFonts w:ascii="Times New Roman" w:hAnsi="Times New Roman" w:cs="Times New Roman"/>
                <w:sz w:val="24"/>
                <w:szCs w:val="24"/>
              </w:rPr>
              <w:t>1</w:t>
            </w:r>
          </w:p>
        </w:tc>
      </w:tr>
      <w:tr w:rsidR="00A80E64" w:rsidRPr="00A80E64" w14:paraId="1E8921B2" w14:textId="77777777" w:rsidTr="00E842CE">
        <w:trPr>
          <w:trHeight w:val="454"/>
        </w:trPr>
        <w:tc>
          <w:tcPr>
            <w:tcW w:w="0" w:type="auto"/>
            <w:vMerge w:val="restart"/>
            <w:vAlign w:val="center"/>
          </w:tcPr>
          <w:p w14:paraId="3688221B" w14:textId="77777777" w:rsidR="009B71C1" w:rsidRPr="00E842CE" w:rsidRDefault="009B71C1" w:rsidP="009B71C1">
            <w:pPr>
              <w:spacing w:before="120" w:after="120" w:line="240" w:lineRule="auto"/>
              <w:jc w:val="center"/>
              <w:rPr>
                <w:rFonts w:ascii="Times New Roman" w:hAnsi="Times New Roman" w:cs="Times New Roman"/>
                <w:sz w:val="24"/>
                <w:szCs w:val="24"/>
              </w:rPr>
            </w:pPr>
            <w:r w:rsidRPr="00E842CE">
              <w:rPr>
                <w:rFonts w:ascii="Times New Roman" w:hAnsi="Times New Roman" w:cs="Times New Roman"/>
                <w:b/>
                <w:sz w:val="24"/>
                <w:szCs w:val="24"/>
              </w:rPr>
              <w:t>Opatření 1.1.2 Parkoviště</w:t>
            </w:r>
          </w:p>
        </w:tc>
        <w:tc>
          <w:tcPr>
            <w:tcW w:w="2578" w:type="dxa"/>
          </w:tcPr>
          <w:p w14:paraId="1F9130D0" w14:textId="77777777" w:rsidR="009B71C1" w:rsidRPr="00E842CE" w:rsidRDefault="009B71C1" w:rsidP="00BA1582">
            <w:pPr>
              <w:spacing w:before="120" w:after="120" w:line="240" w:lineRule="auto"/>
              <w:jc w:val="both"/>
              <w:rPr>
                <w:rFonts w:ascii="Times New Roman" w:hAnsi="Times New Roman" w:cs="Times New Roman"/>
                <w:sz w:val="24"/>
                <w:szCs w:val="24"/>
              </w:rPr>
            </w:pPr>
            <w:r w:rsidRPr="00E842CE">
              <w:rPr>
                <w:rFonts w:ascii="Times New Roman" w:hAnsi="Times New Roman" w:cs="Times New Roman"/>
                <w:sz w:val="24"/>
                <w:szCs w:val="24"/>
              </w:rPr>
              <w:t>Parkovací místa pro auta</w:t>
            </w:r>
          </w:p>
        </w:tc>
        <w:tc>
          <w:tcPr>
            <w:tcW w:w="1824" w:type="dxa"/>
            <w:vAlign w:val="center"/>
          </w:tcPr>
          <w:p w14:paraId="200A6E96" w14:textId="77777777" w:rsidR="009B71C1" w:rsidRPr="00E842CE" w:rsidRDefault="009B71C1" w:rsidP="009B71C1">
            <w:pPr>
              <w:spacing w:before="120" w:after="120" w:line="240" w:lineRule="auto"/>
              <w:jc w:val="center"/>
              <w:rPr>
                <w:rFonts w:ascii="Times New Roman" w:hAnsi="Times New Roman" w:cs="Times New Roman"/>
                <w:sz w:val="24"/>
                <w:szCs w:val="24"/>
              </w:rPr>
            </w:pPr>
            <w:r w:rsidRPr="00E842CE">
              <w:rPr>
                <w:rFonts w:ascii="Times New Roman" w:hAnsi="Times New Roman" w:cs="Times New Roman"/>
                <w:sz w:val="24"/>
                <w:szCs w:val="24"/>
              </w:rPr>
              <w:t>694</w:t>
            </w:r>
          </w:p>
        </w:tc>
        <w:tc>
          <w:tcPr>
            <w:tcW w:w="0" w:type="auto"/>
            <w:vAlign w:val="center"/>
          </w:tcPr>
          <w:p w14:paraId="4B412DDC" w14:textId="77777777" w:rsidR="009B71C1" w:rsidRPr="00E842CE" w:rsidRDefault="009B71C1" w:rsidP="009B71C1">
            <w:pPr>
              <w:spacing w:before="120" w:after="120" w:line="240" w:lineRule="auto"/>
              <w:jc w:val="center"/>
              <w:rPr>
                <w:rFonts w:ascii="Times New Roman" w:hAnsi="Times New Roman" w:cs="Times New Roman"/>
                <w:sz w:val="24"/>
                <w:szCs w:val="24"/>
              </w:rPr>
            </w:pPr>
            <w:r w:rsidRPr="00E842CE">
              <w:rPr>
                <w:rFonts w:ascii="Times New Roman" w:hAnsi="Times New Roman" w:cs="Times New Roman"/>
                <w:sz w:val="24"/>
                <w:szCs w:val="24"/>
              </w:rPr>
              <w:t>414</w:t>
            </w:r>
          </w:p>
        </w:tc>
      </w:tr>
      <w:tr w:rsidR="00A80E64" w:rsidRPr="00A80E64" w14:paraId="38F42001" w14:textId="77777777" w:rsidTr="00E842CE">
        <w:trPr>
          <w:trHeight w:val="454"/>
        </w:trPr>
        <w:tc>
          <w:tcPr>
            <w:tcW w:w="0" w:type="auto"/>
            <w:vMerge/>
            <w:vAlign w:val="center"/>
          </w:tcPr>
          <w:p w14:paraId="0DDE7C2A" w14:textId="77777777" w:rsidR="009B71C1" w:rsidRPr="00E842CE" w:rsidRDefault="009B71C1" w:rsidP="009B71C1">
            <w:pPr>
              <w:spacing w:before="120" w:after="120" w:line="240" w:lineRule="auto"/>
              <w:jc w:val="center"/>
              <w:rPr>
                <w:rFonts w:ascii="Times New Roman" w:hAnsi="Times New Roman" w:cs="Times New Roman"/>
                <w:b/>
                <w:sz w:val="24"/>
                <w:szCs w:val="24"/>
              </w:rPr>
            </w:pPr>
          </w:p>
        </w:tc>
        <w:tc>
          <w:tcPr>
            <w:tcW w:w="2578" w:type="dxa"/>
          </w:tcPr>
          <w:p w14:paraId="2B4E0A36" w14:textId="77777777" w:rsidR="009B71C1" w:rsidRPr="00E842CE" w:rsidRDefault="009B71C1" w:rsidP="00BA1582">
            <w:pPr>
              <w:spacing w:before="120" w:after="120" w:line="240" w:lineRule="auto"/>
              <w:jc w:val="both"/>
              <w:rPr>
                <w:rFonts w:ascii="Times New Roman" w:hAnsi="Times New Roman" w:cs="Times New Roman"/>
                <w:sz w:val="24"/>
                <w:szCs w:val="24"/>
              </w:rPr>
            </w:pPr>
            <w:r w:rsidRPr="00E842CE">
              <w:rPr>
                <w:rFonts w:ascii="Times New Roman" w:hAnsi="Times New Roman" w:cs="Times New Roman"/>
                <w:sz w:val="24"/>
                <w:szCs w:val="24"/>
              </w:rPr>
              <w:t>Parkovací místa pro kola</w:t>
            </w:r>
          </w:p>
        </w:tc>
        <w:tc>
          <w:tcPr>
            <w:tcW w:w="1824" w:type="dxa"/>
            <w:vAlign w:val="center"/>
          </w:tcPr>
          <w:p w14:paraId="6BEA80DF" w14:textId="77777777" w:rsidR="009B71C1" w:rsidRPr="00E842CE" w:rsidRDefault="009B71C1" w:rsidP="009B71C1">
            <w:pPr>
              <w:spacing w:before="120" w:after="120" w:line="240" w:lineRule="auto"/>
              <w:jc w:val="center"/>
              <w:rPr>
                <w:rFonts w:ascii="Times New Roman" w:hAnsi="Times New Roman" w:cs="Times New Roman"/>
                <w:sz w:val="24"/>
                <w:szCs w:val="24"/>
              </w:rPr>
            </w:pPr>
            <w:r w:rsidRPr="00E842CE">
              <w:rPr>
                <w:rFonts w:ascii="Times New Roman" w:hAnsi="Times New Roman" w:cs="Times New Roman"/>
                <w:sz w:val="24"/>
                <w:szCs w:val="24"/>
              </w:rPr>
              <w:t>48</w:t>
            </w:r>
          </w:p>
        </w:tc>
        <w:tc>
          <w:tcPr>
            <w:tcW w:w="0" w:type="auto"/>
            <w:vAlign w:val="center"/>
          </w:tcPr>
          <w:p w14:paraId="1E5EE140" w14:textId="77777777" w:rsidR="009B71C1" w:rsidRPr="00E842CE" w:rsidRDefault="009B71C1" w:rsidP="009B71C1">
            <w:pPr>
              <w:spacing w:before="120" w:after="120" w:line="240" w:lineRule="auto"/>
              <w:jc w:val="center"/>
              <w:rPr>
                <w:rFonts w:ascii="Times New Roman" w:hAnsi="Times New Roman" w:cs="Times New Roman"/>
                <w:sz w:val="24"/>
                <w:szCs w:val="24"/>
              </w:rPr>
            </w:pPr>
            <w:r w:rsidRPr="00E842CE">
              <w:rPr>
                <w:rFonts w:ascii="Times New Roman" w:hAnsi="Times New Roman" w:cs="Times New Roman"/>
                <w:sz w:val="24"/>
                <w:szCs w:val="24"/>
              </w:rPr>
              <w:t>48</w:t>
            </w:r>
          </w:p>
        </w:tc>
      </w:tr>
      <w:tr w:rsidR="00A80E64" w:rsidRPr="00A80E64" w14:paraId="68CC61E2" w14:textId="77777777" w:rsidTr="00E842CE">
        <w:trPr>
          <w:trHeight w:val="454"/>
        </w:trPr>
        <w:tc>
          <w:tcPr>
            <w:tcW w:w="0" w:type="auto"/>
            <w:vMerge w:val="restart"/>
            <w:vAlign w:val="center"/>
          </w:tcPr>
          <w:p w14:paraId="087C9258" w14:textId="77777777" w:rsidR="009B71C1" w:rsidRPr="00E842CE" w:rsidRDefault="009B71C1" w:rsidP="009B71C1">
            <w:pPr>
              <w:spacing w:before="120" w:after="120" w:line="240" w:lineRule="auto"/>
              <w:jc w:val="center"/>
              <w:rPr>
                <w:rFonts w:ascii="Times New Roman" w:hAnsi="Times New Roman" w:cs="Times New Roman"/>
                <w:sz w:val="24"/>
                <w:szCs w:val="24"/>
              </w:rPr>
            </w:pPr>
            <w:r w:rsidRPr="00E842CE">
              <w:rPr>
                <w:rFonts w:ascii="Times New Roman" w:hAnsi="Times New Roman" w:cs="Times New Roman"/>
                <w:b/>
                <w:sz w:val="24"/>
                <w:szCs w:val="24"/>
              </w:rPr>
              <w:t xml:space="preserve">Opatření 1.1.3 </w:t>
            </w:r>
            <w:proofErr w:type="spellStart"/>
            <w:r w:rsidRPr="00E842CE">
              <w:rPr>
                <w:rFonts w:ascii="Times New Roman" w:hAnsi="Times New Roman" w:cs="Times New Roman"/>
                <w:b/>
                <w:sz w:val="24"/>
                <w:szCs w:val="24"/>
              </w:rPr>
              <w:t>Cyklodoprava</w:t>
            </w:r>
            <w:proofErr w:type="spellEnd"/>
          </w:p>
        </w:tc>
        <w:tc>
          <w:tcPr>
            <w:tcW w:w="2578" w:type="dxa"/>
          </w:tcPr>
          <w:p w14:paraId="2E06F47D" w14:textId="77777777" w:rsidR="009B71C1" w:rsidRPr="00E842CE" w:rsidRDefault="009B71C1" w:rsidP="00BA1582">
            <w:pPr>
              <w:spacing w:before="120" w:after="120" w:line="240" w:lineRule="auto"/>
              <w:jc w:val="both"/>
              <w:rPr>
                <w:rFonts w:ascii="Times New Roman" w:hAnsi="Times New Roman" w:cs="Times New Roman"/>
                <w:sz w:val="24"/>
                <w:szCs w:val="24"/>
              </w:rPr>
            </w:pPr>
            <w:r w:rsidRPr="00E842CE">
              <w:rPr>
                <w:rFonts w:ascii="Times New Roman" w:hAnsi="Times New Roman" w:cs="Times New Roman"/>
                <w:sz w:val="24"/>
                <w:szCs w:val="24"/>
              </w:rPr>
              <w:t>Km cyklostezek</w:t>
            </w:r>
          </w:p>
        </w:tc>
        <w:tc>
          <w:tcPr>
            <w:tcW w:w="1824" w:type="dxa"/>
            <w:vAlign w:val="center"/>
          </w:tcPr>
          <w:p w14:paraId="5BDE33EE" w14:textId="77777777" w:rsidR="009B71C1" w:rsidRPr="00E842CE" w:rsidRDefault="009B71C1" w:rsidP="009B71C1">
            <w:pPr>
              <w:spacing w:before="120" w:after="120" w:line="240" w:lineRule="auto"/>
              <w:jc w:val="center"/>
              <w:rPr>
                <w:rFonts w:ascii="Times New Roman" w:hAnsi="Times New Roman" w:cs="Times New Roman"/>
                <w:sz w:val="24"/>
                <w:szCs w:val="24"/>
              </w:rPr>
            </w:pPr>
            <w:r w:rsidRPr="00E842CE">
              <w:rPr>
                <w:rFonts w:ascii="Times New Roman" w:hAnsi="Times New Roman" w:cs="Times New Roman"/>
                <w:sz w:val="24"/>
                <w:szCs w:val="24"/>
              </w:rPr>
              <w:t>8</w:t>
            </w:r>
          </w:p>
        </w:tc>
        <w:tc>
          <w:tcPr>
            <w:tcW w:w="0" w:type="auto"/>
            <w:vAlign w:val="center"/>
          </w:tcPr>
          <w:p w14:paraId="767B071A" w14:textId="6C186E27" w:rsidR="009B71C1" w:rsidRPr="00E842CE" w:rsidRDefault="00E842CE" w:rsidP="009B71C1">
            <w:pPr>
              <w:spacing w:before="120" w:after="120" w:line="240" w:lineRule="auto"/>
              <w:jc w:val="center"/>
              <w:rPr>
                <w:rFonts w:ascii="Times New Roman" w:hAnsi="Times New Roman" w:cs="Times New Roman"/>
                <w:sz w:val="24"/>
                <w:szCs w:val="24"/>
              </w:rPr>
            </w:pPr>
            <w:r w:rsidRPr="00E842CE">
              <w:rPr>
                <w:rFonts w:ascii="Times New Roman" w:hAnsi="Times New Roman" w:cs="Times New Roman"/>
                <w:sz w:val="24"/>
                <w:szCs w:val="24"/>
              </w:rPr>
              <w:t>3,52</w:t>
            </w:r>
          </w:p>
        </w:tc>
      </w:tr>
      <w:tr w:rsidR="00A80E64" w:rsidRPr="00A80E64" w14:paraId="12C138BA" w14:textId="77777777" w:rsidTr="00E842CE">
        <w:trPr>
          <w:trHeight w:val="454"/>
        </w:trPr>
        <w:tc>
          <w:tcPr>
            <w:tcW w:w="0" w:type="auto"/>
            <w:vMerge/>
            <w:vAlign w:val="center"/>
          </w:tcPr>
          <w:p w14:paraId="03D41B9C" w14:textId="77777777" w:rsidR="009B71C1" w:rsidRPr="00E842CE" w:rsidRDefault="009B71C1" w:rsidP="009B71C1">
            <w:pPr>
              <w:spacing w:before="120" w:after="120" w:line="240" w:lineRule="auto"/>
              <w:jc w:val="center"/>
              <w:rPr>
                <w:rFonts w:ascii="Times New Roman" w:hAnsi="Times New Roman" w:cs="Times New Roman"/>
                <w:sz w:val="24"/>
                <w:szCs w:val="24"/>
              </w:rPr>
            </w:pPr>
          </w:p>
        </w:tc>
        <w:tc>
          <w:tcPr>
            <w:tcW w:w="2578" w:type="dxa"/>
          </w:tcPr>
          <w:p w14:paraId="7B33D07D" w14:textId="77777777" w:rsidR="009B71C1" w:rsidRPr="00E842CE" w:rsidRDefault="009B71C1" w:rsidP="00BA1582">
            <w:pPr>
              <w:spacing w:before="120" w:after="120" w:line="240" w:lineRule="auto"/>
              <w:jc w:val="both"/>
              <w:rPr>
                <w:rFonts w:ascii="Times New Roman" w:hAnsi="Times New Roman" w:cs="Times New Roman"/>
                <w:sz w:val="24"/>
                <w:szCs w:val="24"/>
              </w:rPr>
            </w:pPr>
            <w:r w:rsidRPr="00E842CE">
              <w:rPr>
                <w:rFonts w:ascii="Times New Roman" w:hAnsi="Times New Roman" w:cs="Times New Roman"/>
                <w:sz w:val="24"/>
                <w:szCs w:val="24"/>
              </w:rPr>
              <w:t>Zařízení pro bezpečnost</w:t>
            </w:r>
          </w:p>
        </w:tc>
        <w:tc>
          <w:tcPr>
            <w:tcW w:w="1824" w:type="dxa"/>
            <w:vAlign w:val="center"/>
          </w:tcPr>
          <w:p w14:paraId="0DD23AAF" w14:textId="77777777" w:rsidR="009B71C1" w:rsidRPr="00E842CE" w:rsidRDefault="009B71C1" w:rsidP="009B71C1">
            <w:pPr>
              <w:spacing w:before="120" w:after="120" w:line="240" w:lineRule="auto"/>
              <w:jc w:val="center"/>
              <w:rPr>
                <w:rFonts w:ascii="Times New Roman" w:hAnsi="Times New Roman" w:cs="Times New Roman"/>
                <w:sz w:val="24"/>
                <w:szCs w:val="24"/>
              </w:rPr>
            </w:pPr>
            <w:r w:rsidRPr="00E842CE">
              <w:rPr>
                <w:rFonts w:ascii="Times New Roman" w:hAnsi="Times New Roman" w:cs="Times New Roman"/>
                <w:sz w:val="24"/>
                <w:szCs w:val="24"/>
              </w:rPr>
              <w:t>1</w:t>
            </w:r>
          </w:p>
        </w:tc>
        <w:tc>
          <w:tcPr>
            <w:tcW w:w="0" w:type="auto"/>
            <w:vAlign w:val="center"/>
          </w:tcPr>
          <w:p w14:paraId="5521F502" w14:textId="3265DDF0" w:rsidR="009B71C1" w:rsidRPr="00E842CE" w:rsidRDefault="00E842CE" w:rsidP="009B71C1">
            <w:pPr>
              <w:spacing w:before="120" w:after="120" w:line="240" w:lineRule="auto"/>
              <w:jc w:val="center"/>
              <w:rPr>
                <w:rFonts w:ascii="Times New Roman" w:hAnsi="Times New Roman" w:cs="Times New Roman"/>
                <w:sz w:val="24"/>
                <w:szCs w:val="24"/>
              </w:rPr>
            </w:pPr>
            <w:r w:rsidRPr="00E842CE">
              <w:rPr>
                <w:rFonts w:ascii="Times New Roman" w:hAnsi="Times New Roman" w:cs="Times New Roman"/>
                <w:sz w:val="24"/>
                <w:szCs w:val="24"/>
              </w:rPr>
              <w:t>3</w:t>
            </w:r>
          </w:p>
        </w:tc>
      </w:tr>
      <w:tr w:rsidR="00943491" w:rsidRPr="00943491" w14:paraId="0C43EBD2" w14:textId="77777777" w:rsidTr="00E842CE">
        <w:trPr>
          <w:trHeight w:val="454"/>
        </w:trPr>
        <w:tc>
          <w:tcPr>
            <w:tcW w:w="0" w:type="auto"/>
            <w:vAlign w:val="center"/>
          </w:tcPr>
          <w:p w14:paraId="19A9F9BC" w14:textId="77777777" w:rsidR="000B6253" w:rsidRPr="00E842CE" w:rsidRDefault="00B84DB1" w:rsidP="009B71C1">
            <w:pPr>
              <w:spacing w:before="120" w:after="120" w:line="240" w:lineRule="auto"/>
              <w:jc w:val="center"/>
              <w:rPr>
                <w:rFonts w:ascii="Times New Roman" w:hAnsi="Times New Roman" w:cs="Times New Roman"/>
                <w:sz w:val="24"/>
                <w:szCs w:val="24"/>
              </w:rPr>
            </w:pPr>
            <w:r w:rsidRPr="00E842CE">
              <w:rPr>
                <w:rFonts w:ascii="Times New Roman" w:hAnsi="Times New Roman" w:cs="Times New Roman"/>
                <w:b/>
                <w:sz w:val="24"/>
                <w:szCs w:val="24"/>
              </w:rPr>
              <w:t>Opatření 1.1.4.1</w:t>
            </w:r>
            <w:r w:rsidR="000B6253" w:rsidRPr="00E842CE">
              <w:rPr>
                <w:rFonts w:ascii="Times New Roman" w:hAnsi="Times New Roman" w:cs="Times New Roman"/>
                <w:b/>
                <w:sz w:val="24"/>
                <w:szCs w:val="24"/>
              </w:rPr>
              <w:t xml:space="preserve"> </w:t>
            </w:r>
            <w:r w:rsidRPr="00E842CE">
              <w:rPr>
                <w:rFonts w:ascii="Times New Roman" w:hAnsi="Times New Roman" w:cs="Times New Roman"/>
                <w:b/>
                <w:sz w:val="24"/>
                <w:szCs w:val="24"/>
              </w:rPr>
              <w:t>vozy MHD</w:t>
            </w:r>
          </w:p>
        </w:tc>
        <w:tc>
          <w:tcPr>
            <w:tcW w:w="2578" w:type="dxa"/>
          </w:tcPr>
          <w:p w14:paraId="28DE63AF" w14:textId="77777777" w:rsidR="000B6253" w:rsidRPr="00E842CE" w:rsidRDefault="00B84DB1" w:rsidP="00BA1582">
            <w:pPr>
              <w:spacing w:before="120" w:after="120" w:line="240" w:lineRule="auto"/>
              <w:jc w:val="both"/>
              <w:rPr>
                <w:rFonts w:ascii="Times New Roman" w:hAnsi="Times New Roman" w:cs="Times New Roman"/>
                <w:sz w:val="24"/>
                <w:szCs w:val="24"/>
              </w:rPr>
            </w:pPr>
            <w:r w:rsidRPr="00E842CE">
              <w:rPr>
                <w:rFonts w:ascii="Times New Roman" w:hAnsi="Times New Roman" w:cs="Times New Roman"/>
                <w:sz w:val="24"/>
                <w:szCs w:val="24"/>
              </w:rPr>
              <w:t>Počet pořízených vozů</w:t>
            </w:r>
          </w:p>
        </w:tc>
        <w:tc>
          <w:tcPr>
            <w:tcW w:w="1824" w:type="dxa"/>
            <w:vAlign w:val="center"/>
          </w:tcPr>
          <w:p w14:paraId="76A307DD" w14:textId="77777777" w:rsidR="000B6253" w:rsidRPr="00E842CE" w:rsidRDefault="00B84DB1" w:rsidP="009B71C1">
            <w:pPr>
              <w:spacing w:before="120" w:after="120" w:line="240" w:lineRule="auto"/>
              <w:jc w:val="center"/>
              <w:rPr>
                <w:rFonts w:ascii="Times New Roman" w:hAnsi="Times New Roman" w:cs="Times New Roman"/>
                <w:sz w:val="24"/>
                <w:szCs w:val="24"/>
              </w:rPr>
            </w:pPr>
            <w:r w:rsidRPr="00E842CE">
              <w:rPr>
                <w:rFonts w:ascii="Times New Roman" w:hAnsi="Times New Roman" w:cs="Times New Roman"/>
                <w:sz w:val="24"/>
                <w:szCs w:val="24"/>
              </w:rPr>
              <w:t>35</w:t>
            </w:r>
          </w:p>
        </w:tc>
        <w:tc>
          <w:tcPr>
            <w:tcW w:w="0" w:type="auto"/>
            <w:vAlign w:val="center"/>
          </w:tcPr>
          <w:p w14:paraId="67719A93" w14:textId="77777777" w:rsidR="000B6253" w:rsidRPr="00E842CE" w:rsidRDefault="00B84DB1" w:rsidP="009B71C1">
            <w:pPr>
              <w:spacing w:before="120" w:after="120" w:line="240" w:lineRule="auto"/>
              <w:jc w:val="center"/>
              <w:rPr>
                <w:rFonts w:ascii="Times New Roman" w:hAnsi="Times New Roman" w:cs="Times New Roman"/>
                <w:sz w:val="24"/>
                <w:szCs w:val="24"/>
              </w:rPr>
            </w:pPr>
            <w:r w:rsidRPr="00E842CE">
              <w:rPr>
                <w:rFonts w:ascii="Times New Roman" w:hAnsi="Times New Roman" w:cs="Times New Roman"/>
                <w:sz w:val="24"/>
                <w:szCs w:val="24"/>
              </w:rPr>
              <w:t>35</w:t>
            </w:r>
          </w:p>
        </w:tc>
      </w:tr>
      <w:tr w:rsidR="00A80E64" w:rsidRPr="00A80E64" w14:paraId="1C71C6B8" w14:textId="77777777" w:rsidTr="00E842CE">
        <w:trPr>
          <w:trHeight w:val="454"/>
        </w:trPr>
        <w:tc>
          <w:tcPr>
            <w:tcW w:w="0" w:type="auto"/>
            <w:vAlign w:val="center"/>
          </w:tcPr>
          <w:p w14:paraId="24BA98C7" w14:textId="77777777" w:rsidR="000B6253" w:rsidRPr="00E842CE" w:rsidRDefault="00B84DB1" w:rsidP="009B71C1">
            <w:pPr>
              <w:spacing w:before="120" w:after="120" w:line="240" w:lineRule="auto"/>
              <w:jc w:val="center"/>
              <w:rPr>
                <w:rFonts w:ascii="Times New Roman" w:hAnsi="Times New Roman" w:cs="Times New Roman"/>
                <w:sz w:val="24"/>
                <w:szCs w:val="24"/>
              </w:rPr>
            </w:pPr>
            <w:r w:rsidRPr="00E842CE">
              <w:rPr>
                <w:rFonts w:ascii="Times New Roman" w:hAnsi="Times New Roman" w:cs="Times New Roman"/>
                <w:b/>
                <w:sz w:val="24"/>
                <w:szCs w:val="24"/>
              </w:rPr>
              <w:t>Opatření 1.1.4.1 zařízení pro telematiku</w:t>
            </w:r>
            <w:r w:rsidR="009B71C1" w:rsidRPr="00E842CE">
              <w:rPr>
                <w:rFonts w:ascii="Times New Roman" w:hAnsi="Times New Roman" w:cs="Times New Roman"/>
                <w:b/>
                <w:sz w:val="24"/>
                <w:szCs w:val="24"/>
              </w:rPr>
              <w:t xml:space="preserve"> MHD</w:t>
            </w:r>
          </w:p>
        </w:tc>
        <w:tc>
          <w:tcPr>
            <w:tcW w:w="2578" w:type="dxa"/>
          </w:tcPr>
          <w:p w14:paraId="2583DAB1" w14:textId="77777777" w:rsidR="000B6253" w:rsidRPr="00E842CE" w:rsidRDefault="00B84DB1" w:rsidP="00BA1582">
            <w:pPr>
              <w:spacing w:before="120" w:after="120" w:line="240" w:lineRule="auto"/>
              <w:jc w:val="both"/>
              <w:rPr>
                <w:rFonts w:ascii="Times New Roman" w:hAnsi="Times New Roman" w:cs="Times New Roman"/>
                <w:sz w:val="24"/>
                <w:szCs w:val="24"/>
              </w:rPr>
            </w:pPr>
            <w:r w:rsidRPr="00E842CE">
              <w:rPr>
                <w:rFonts w:ascii="Times New Roman" w:hAnsi="Times New Roman" w:cs="Times New Roman"/>
                <w:sz w:val="24"/>
                <w:szCs w:val="24"/>
              </w:rPr>
              <w:t>Počet zařízení pro telematiku</w:t>
            </w:r>
          </w:p>
        </w:tc>
        <w:tc>
          <w:tcPr>
            <w:tcW w:w="1824" w:type="dxa"/>
            <w:vAlign w:val="center"/>
          </w:tcPr>
          <w:p w14:paraId="4E698E51" w14:textId="77777777" w:rsidR="000B6253" w:rsidRPr="00E842CE" w:rsidRDefault="00B84DB1" w:rsidP="009B71C1">
            <w:pPr>
              <w:spacing w:before="120" w:after="120" w:line="240" w:lineRule="auto"/>
              <w:jc w:val="center"/>
              <w:rPr>
                <w:rFonts w:ascii="Times New Roman" w:hAnsi="Times New Roman" w:cs="Times New Roman"/>
                <w:sz w:val="24"/>
                <w:szCs w:val="24"/>
              </w:rPr>
            </w:pPr>
            <w:r w:rsidRPr="00E842CE">
              <w:rPr>
                <w:rFonts w:ascii="Times New Roman" w:hAnsi="Times New Roman" w:cs="Times New Roman"/>
                <w:sz w:val="24"/>
                <w:szCs w:val="24"/>
              </w:rPr>
              <w:t>2</w:t>
            </w:r>
          </w:p>
        </w:tc>
        <w:tc>
          <w:tcPr>
            <w:tcW w:w="0" w:type="auto"/>
            <w:vAlign w:val="center"/>
          </w:tcPr>
          <w:p w14:paraId="4285A759" w14:textId="77777777" w:rsidR="000B6253" w:rsidRPr="00E842CE" w:rsidRDefault="00B84DB1" w:rsidP="009B71C1">
            <w:pPr>
              <w:spacing w:before="120" w:after="120" w:line="240" w:lineRule="auto"/>
              <w:jc w:val="center"/>
              <w:rPr>
                <w:rFonts w:ascii="Times New Roman" w:hAnsi="Times New Roman" w:cs="Times New Roman"/>
                <w:sz w:val="24"/>
                <w:szCs w:val="24"/>
              </w:rPr>
            </w:pPr>
            <w:r w:rsidRPr="00E842CE">
              <w:rPr>
                <w:rFonts w:ascii="Times New Roman" w:hAnsi="Times New Roman" w:cs="Times New Roman"/>
                <w:sz w:val="24"/>
                <w:szCs w:val="24"/>
              </w:rPr>
              <w:t>1</w:t>
            </w:r>
          </w:p>
        </w:tc>
      </w:tr>
      <w:tr w:rsidR="00A80E64" w:rsidRPr="00A80E64" w14:paraId="3E92EA46" w14:textId="77777777" w:rsidTr="00E842CE">
        <w:trPr>
          <w:trHeight w:val="454"/>
        </w:trPr>
        <w:tc>
          <w:tcPr>
            <w:tcW w:w="0" w:type="auto"/>
            <w:vAlign w:val="center"/>
          </w:tcPr>
          <w:p w14:paraId="53E13BF6" w14:textId="77777777" w:rsidR="009B71C1" w:rsidRPr="00E842CE" w:rsidRDefault="009B71C1" w:rsidP="009B71C1">
            <w:pPr>
              <w:spacing w:before="120" w:after="120" w:line="240" w:lineRule="auto"/>
              <w:jc w:val="center"/>
              <w:rPr>
                <w:rFonts w:ascii="Times New Roman" w:hAnsi="Times New Roman" w:cs="Times New Roman"/>
                <w:b/>
                <w:sz w:val="24"/>
                <w:szCs w:val="24"/>
              </w:rPr>
            </w:pPr>
            <w:r w:rsidRPr="00E842CE">
              <w:rPr>
                <w:rFonts w:ascii="Times New Roman" w:hAnsi="Times New Roman" w:cs="Times New Roman"/>
                <w:b/>
                <w:sz w:val="24"/>
                <w:szCs w:val="24"/>
              </w:rPr>
              <w:lastRenderedPageBreak/>
              <w:t>Opatření 1.1.4.2 infrastruktura MHD</w:t>
            </w:r>
          </w:p>
        </w:tc>
        <w:tc>
          <w:tcPr>
            <w:tcW w:w="2578" w:type="dxa"/>
          </w:tcPr>
          <w:p w14:paraId="02C63246" w14:textId="77777777" w:rsidR="009B71C1" w:rsidRPr="00E842CE" w:rsidRDefault="009B71C1" w:rsidP="00BA1582">
            <w:pPr>
              <w:spacing w:before="120" w:after="120" w:line="240" w:lineRule="auto"/>
              <w:jc w:val="both"/>
              <w:rPr>
                <w:rFonts w:ascii="Times New Roman" w:hAnsi="Times New Roman" w:cs="Times New Roman"/>
                <w:sz w:val="24"/>
                <w:szCs w:val="24"/>
              </w:rPr>
            </w:pPr>
            <w:r w:rsidRPr="00E842CE">
              <w:rPr>
                <w:rFonts w:ascii="Times New Roman" w:hAnsi="Times New Roman" w:cs="Times New Roman"/>
                <w:sz w:val="24"/>
                <w:szCs w:val="24"/>
              </w:rPr>
              <w:t>Počet zařízení pro infrastrukturu MHD</w:t>
            </w:r>
          </w:p>
        </w:tc>
        <w:tc>
          <w:tcPr>
            <w:tcW w:w="1824" w:type="dxa"/>
            <w:vAlign w:val="center"/>
          </w:tcPr>
          <w:p w14:paraId="08835C1C" w14:textId="77777777" w:rsidR="009B71C1" w:rsidRPr="00E842CE" w:rsidRDefault="009B71C1" w:rsidP="009B71C1">
            <w:pPr>
              <w:spacing w:before="120" w:after="120" w:line="240" w:lineRule="auto"/>
              <w:jc w:val="center"/>
              <w:rPr>
                <w:rFonts w:ascii="Times New Roman" w:hAnsi="Times New Roman" w:cs="Times New Roman"/>
                <w:sz w:val="24"/>
                <w:szCs w:val="24"/>
              </w:rPr>
            </w:pPr>
            <w:r w:rsidRPr="00E842CE">
              <w:rPr>
                <w:rFonts w:ascii="Times New Roman" w:hAnsi="Times New Roman" w:cs="Times New Roman"/>
                <w:sz w:val="24"/>
                <w:szCs w:val="24"/>
              </w:rPr>
              <w:t>3</w:t>
            </w:r>
          </w:p>
        </w:tc>
        <w:tc>
          <w:tcPr>
            <w:tcW w:w="0" w:type="auto"/>
            <w:vAlign w:val="center"/>
          </w:tcPr>
          <w:p w14:paraId="327145E3" w14:textId="77777777" w:rsidR="009B71C1" w:rsidRPr="00E842CE" w:rsidRDefault="009B71C1" w:rsidP="009B71C1">
            <w:pPr>
              <w:spacing w:before="120" w:after="120" w:line="240" w:lineRule="auto"/>
              <w:jc w:val="center"/>
              <w:rPr>
                <w:rFonts w:ascii="Times New Roman" w:hAnsi="Times New Roman" w:cs="Times New Roman"/>
                <w:sz w:val="24"/>
                <w:szCs w:val="24"/>
              </w:rPr>
            </w:pPr>
            <w:r w:rsidRPr="00E842CE">
              <w:rPr>
                <w:rFonts w:ascii="Times New Roman" w:hAnsi="Times New Roman" w:cs="Times New Roman"/>
                <w:sz w:val="24"/>
                <w:szCs w:val="24"/>
              </w:rPr>
              <w:t>0</w:t>
            </w:r>
          </w:p>
        </w:tc>
      </w:tr>
      <w:tr w:rsidR="00A80E64" w:rsidRPr="00A80E64" w14:paraId="2B826FF1" w14:textId="77777777" w:rsidTr="00E842CE">
        <w:trPr>
          <w:trHeight w:val="454"/>
        </w:trPr>
        <w:tc>
          <w:tcPr>
            <w:tcW w:w="0" w:type="auto"/>
            <w:vMerge w:val="restart"/>
            <w:vAlign w:val="center"/>
          </w:tcPr>
          <w:p w14:paraId="253261B3" w14:textId="77777777" w:rsidR="009B71C1" w:rsidRPr="00E842CE" w:rsidRDefault="009B71C1" w:rsidP="009B71C1">
            <w:pPr>
              <w:spacing w:before="120" w:after="120" w:line="240" w:lineRule="auto"/>
              <w:jc w:val="center"/>
              <w:rPr>
                <w:rFonts w:ascii="Times New Roman" w:hAnsi="Times New Roman" w:cs="Times New Roman"/>
                <w:sz w:val="24"/>
                <w:szCs w:val="24"/>
              </w:rPr>
            </w:pPr>
            <w:r w:rsidRPr="00E842CE">
              <w:rPr>
                <w:rFonts w:ascii="Times New Roman" w:hAnsi="Times New Roman" w:cs="Times New Roman"/>
                <w:b/>
                <w:sz w:val="24"/>
                <w:szCs w:val="24"/>
              </w:rPr>
              <w:t>Opatření 1.1.4.1 terminály</w:t>
            </w:r>
          </w:p>
        </w:tc>
        <w:tc>
          <w:tcPr>
            <w:tcW w:w="2578" w:type="dxa"/>
          </w:tcPr>
          <w:p w14:paraId="18DADF28" w14:textId="77777777" w:rsidR="009B71C1" w:rsidRPr="00E842CE" w:rsidRDefault="009B71C1" w:rsidP="00BA1582">
            <w:pPr>
              <w:spacing w:before="120" w:after="120" w:line="240" w:lineRule="auto"/>
              <w:jc w:val="both"/>
              <w:rPr>
                <w:rFonts w:ascii="Times New Roman" w:hAnsi="Times New Roman" w:cs="Times New Roman"/>
                <w:sz w:val="24"/>
                <w:szCs w:val="24"/>
              </w:rPr>
            </w:pPr>
            <w:r w:rsidRPr="00E842CE">
              <w:rPr>
                <w:rFonts w:ascii="Times New Roman" w:hAnsi="Times New Roman" w:cs="Times New Roman"/>
                <w:sz w:val="24"/>
                <w:szCs w:val="24"/>
              </w:rPr>
              <w:t>Počet terminálů</w:t>
            </w:r>
          </w:p>
        </w:tc>
        <w:tc>
          <w:tcPr>
            <w:tcW w:w="1824" w:type="dxa"/>
            <w:vAlign w:val="center"/>
          </w:tcPr>
          <w:p w14:paraId="1FAFADD1" w14:textId="77777777" w:rsidR="009B71C1" w:rsidRPr="00E842CE" w:rsidRDefault="009B71C1" w:rsidP="009B71C1">
            <w:pPr>
              <w:spacing w:before="120" w:after="120" w:line="240" w:lineRule="auto"/>
              <w:jc w:val="center"/>
              <w:rPr>
                <w:rFonts w:ascii="Times New Roman" w:hAnsi="Times New Roman" w:cs="Times New Roman"/>
                <w:sz w:val="24"/>
                <w:szCs w:val="24"/>
              </w:rPr>
            </w:pPr>
            <w:r w:rsidRPr="00E842CE">
              <w:rPr>
                <w:rFonts w:ascii="Times New Roman" w:hAnsi="Times New Roman" w:cs="Times New Roman"/>
                <w:sz w:val="24"/>
                <w:szCs w:val="24"/>
              </w:rPr>
              <w:t>3</w:t>
            </w:r>
          </w:p>
        </w:tc>
        <w:tc>
          <w:tcPr>
            <w:tcW w:w="0" w:type="auto"/>
            <w:vAlign w:val="center"/>
          </w:tcPr>
          <w:p w14:paraId="31ABEBD1" w14:textId="77777777" w:rsidR="009B71C1" w:rsidRPr="00E842CE" w:rsidRDefault="009B71C1" w:rsidP="009B71C1">
            <w:pPr>
              <w:spacing w:before="120" w:after="120" w:line="240" w:lineRule="auto"/>
              <w:jc w:val="center"/>
              <w:rPr>
                <w:rFonts w:ascii="Times New Roman" w:hAnsi="Times New Roman" w:cs="Times New Roman"/>
                <w:sz w:val="24"/>
                <w:szCs w:val="24"/>
              </w:rPr>
            </w:pPr>
            <w:r w:rsidRPr="00E842CE">
              <w:rPr>
                <w:rFonts w:ascii="Times New Roman" w:hAnsi="Times New Roman" w:cs="Times New Roman"/>
                <w:sz w:val="24"/>
                <w:szCs w:val="24"/>
              </w:rPr>
              <w:t>1</w:t>
            </w:r>
          </w:p>
        </w:tc>
      </w:tr>
      <w:tr w:rsidR="00A80E64" w:rsidRPr="00A80E64" w14:paraId="5954CBF3" w14:textId="77777777" w:rsidTr="00E842CE">
        <w:trPr>
          <w:trHeight w:val="454"/>
        </w:trPr>
        <w:tc>
          <w:tcPr>
            <w:tcW w:w="0" w:type="auto"/>
            <w:vMerge/>
            <w:vAlign w:val="center"/>
          </w:tcPr>
          <w:p w14:paraId="460D412C" w14:textId="77777777" w:rsidR="009B71C1" w:rsidRPr="00A80E64" w:rsidRDefault="009B71C1" w:rsidP="009B71C1">
            <w:pPr>
              <w:spacing w:before="120" w:after="120" w:line="240" w:lineRule="auto"/>
              <w:jc w:val="center"/>
              <w:rPr>
                <w:rFonts w:ascii="Times New Roman" w:hAnsi="Times New Roman" w:cs="Times New Roman"/>
                <w:color w:val="FF0000"/>
                <w:sz w:val="24"/>
                <w:szCs w:val="24"/>
              </w:rPr>
            </w:pPr>
          </w:p>
        </w:tc>
        <w:tc>
          <w:tcPr>
            <w:tcW w:w="2578" w:type="dxa"/>
          </w:tcPr>
          <w:p w14:paraId="058A1FE9" w14:textId="77777777" w:rsidR="009B71C1" w:rsidRPr="00E842CE" w:rsidRDefault="009B71C1" w:rsidP="00BA1582">
            <w:pPr>
              <w:spacing w:before="120" w:after="120" w:line="240" w:lineRule="auto"/>
              <w:jc w:val="both"/>
              <w:rPr>
                <w:rFonts w:ascii="Times New Roman" w:hAnsi="Times New Roman" w:cs="Times New Roman"/>
                <w:sz w:val="24"/>
                <w:szCs w:val="24"/>
              </w:rPr>
            </w:pPr>
            <w:r w:rsidRPr="00E842CE">
              <w:rPr>
                <w:rFonts w:ascii="Times New Roman" w:hAnsi="Times New Roman" w:cs="Times New Roman"/>
                <w:sz w:val="24"/>
                <w:szCs w:val="24"/>
              </w:rPr>
              <w:t>Parkovací místa pro kola</w:t>
            </w:r>
          </w:p>
        </w:tc>
        <w:tc>
          <w:tcPr>
            <w:tcW w:w="1824" w:type="dxa"/>
            <w:vAlign w:val="center"/>
          </w:tcPr>
          <w:p w14:paraId="1EF6E8D7" w14:textId="77777777" w:rsidR="009B71C1" w:rsidRPr="00E842CE" w:rsidRDefault="009B71C1" w:rsidP="009B71C1">
            <w:pPr>
              <w:spacing w:before="120" w:after="120" w:line="240" w:lineRule="auto"/>
              <w:jc w:val="center"/>
              <w:rPr>
                <w:rFonts w:ascii="Times New Roman" w:hAnsi="Times New Roman" w:cs="Times New Roman"/>
                <w:sz w:val="24"/>
                <w:szCs w:val="24"/>
              </w:rPr>
            </w:pPr>
            <w:r w:rsidRPr="00E842CE">
              <w:rPr>
                <w:rFonts w:ascii="Times New Roman" w:hAnsi="Times New Roman" w:cs="Times New Roman"/>
                <w:sz w:val="24"/>
                <w:szCs w:val="24"/>
              </w:rPr>
              <w:t>32</w:t>
            </w:r>
          </w:p>
        </w:tc>
        <w:tc>
          <w:tcPr>
            <w:tcW w:w="0" w:type="auto"/>
            <w:vAlign w:val="center"/>
          </w:tcPr>
          <w:p w14:paraId="014F469E" w14:textId="77777777" w:rsidR="009B71C1" w:rsidRPr="00E842CE" w:rsidRDefault="009B71C1" w:rsidP="009B71C1">
            <w:pPr>
              <w:spacing w:before="120" w:after="120" w:line="240" w:lineRule="auto"/>
              <w:jc w:val="center"/>
              <w:rPr>
                <w:rFonts w:ascii="Times New Roman" w:hAnsi="Times New Roman" w:cs="Times New Roman"/>
                <w:sz w:val="24"/>
                <w:szCs w:val="24"/>
              </w:rPr>
            </w:pPr>
            <w:r w:rsidRPr="00E842CE">
              <w:rPr>
                <w:rFonts w:ascii="Times New Roman" w:hAnsi="Times New Roman" w:cs="Times New Roman"/>
                <w:sz w:val="24"/>
                <w:szCs w:val="24"/>
              </w:rPr>
              <w:t>12</w:t>
            </w:r>
          </w:p>
        </w:tc>
      </w:tr>
      <w:tr w:rsidR="00A80E64" w:rsidRPr="00A80E64" w14:paraId="4613CF0E" w14:textId="77777777" w:rsidTr="00E842CE">
        <w:trPr>
          <w:trHeight w:val="454"/>
        </w:trPr>
        <w:tc>
          <w:tcPr>
            <w:tcW w:w="0" w:type="auto"/>
            <w:vMerge w:val="restart"/>
            <w:vAlign w:val="center"/>
          </w:tcPr>
          <w:p w14:paraId="25211E18" w14:textId="77777777" w:rsidR="009B71C1" w:rsidRPr="00E842CE" w:rsidRDefault="009B71C1" w:rsidP="009B71C1">
            <w:pPr>
              <w:spacing w:before="120" w:after="120" w:line="240" w:lineRule="auto"/>
              <w:jc w:val="center"/>
              <w:rPr>
                <w:rFonts w:ascii="Times New Roman" w:hAnsi="Times New Roman" w:cs="Times New Roman"/>
                <w:sz w:val="24"/>
                <w:szCs w:val="24"/>
              </w:rPr>
            </w:pPr>
            <w:r w:rsidRPr="00E842CE">
              <w:rPr>
                <w:rFonts w:ascii="Times New Roman" w:hAnsi="Times New Roman" w:cs="Times New Roman"/>
                <w:b/>
                <w:sz w:val="24"/>
                <w:szCs w:val="24"/>
              </w:rPr>
              <w:t>Opatření 1.2.1 silnice II. a III. třídy</w:t>
            </w:r>
          </w:p>
        </w:tc>
        <w:tc>
          <w:tcPr>
            <w:tcW w:w="2578" w:type="dxa"/>
          </w:tcPr>
          <w:p w14:paraId="028C447B" w14:textId="77777777" w:rsidR="009B71C1" w:rsidRPr="00E842CE" w:rsidRDefault="009B71C1" w:rsidP="00BA1582">
            <w:pPr>
              <w:spacing w:before="120" w:after="120" w:line="240" w:lineRule="auto"/>
              <w:jc w:val="both"/>
              <w:rPr>
                <w:rFonts w:ascii="Times New Roman" w:hAnsi="Times New Roman" w:cs="Times New Roman"/>
                <w:sz w:val="24"/>
                <w:szCs w:val="24"/>
              </w:rPr>
            </w:pPr>
            <w:r w:rsidRPr="00E842CE">
              <w:rPr>
                <w:rFonts w:ascii="Times New Roman" w:hAnsi="Times New Roman" w:cs="Times New Roman"/>
                <w:sz w:val="24"/>
                <w:szCs w:val="24"/>
              </w:rPr>
              <w:t>Km nových silnic</w:t>
            </w:r>
          </w:p>
        </w:tc>
        <w:tc>
          <w:tcPr>
            <w:tcW w:w="1824" w:type="dxa"/>
            <w:vAlign w:val="center"/>
          </w:tcPr>
          <w:p w14:paraId="5A2BDA47" w14:textId="77777777" w:rsidR="009B71C1" w:rsidRPr="00E842CE" w:rsidRDefault="009B71C1" w:rsidP="009B71C1">
            <w:pPr>
              <w:spacing w:before="120" w:after="120" w:line="240" w:lineRule="auto"/>
              <w:jc w:val="center"/>
              <w:rPr>
                <w:rFonts w:ascii="Times New Roman" w:hAnsi="Times New Roman" w:cs="Times New Roman"/>
                <w:sz w:val="24"/>
                <w:szCs w:val="24"/>
              </w:rPr>
            </w:pPr>
            <w:r w:rsidRPr="00E842CE">
              <w:rPr>
                <w:rFonts w:ascii="Times New Roman" w:hAnsi="Times New Roman" w:cs="Times New Roman"/>
                <w:sz w:val="24"/>
                <w:szCs w:val="24"/>
              </w:rPr>
              <w:t>3</w:t>
            </w:r>
          </w:p>
        </w:tc>
        <w:tc>
          <w:tcPr>
            <w:tcW w:w="0" w:type="auto"/>
            <w:vAlign w:val="center"/>
          </w:tcPr>
          <w:p w14:paraId="5F61CD74" w14:textId="77777777" w:rsidR="009B71C1" w:rsidRPr="00E842CE" w:rsidRDefault="009B71C1" w:rsidP="009B71C1">
            <w:pPr>
              <w:spacing w:before="120" w:after="120" w:line="240" w:lineRule="auto"/>
              <w:jc w:val="center"/>
              <w:rPr>
                <w:rFonts w:ascii="Times New Roman" w:hAnsi="Times New Roman" w:cs="Times New Roman"/>
                <w:sz w:val="24"/>
                <w:szCs w:val="24"/>
              </w:rPr>
            </w:pPr>
            <w:r w:rsidRPr="00E842CE">
              <w:rPr>
                <w:rFonts w:ascii="Times New Roman" w:hAnsi="Times New Roman" w:cs="Times New Roman"/>
                <w:sz w:val="24"/>
                <w:szCs w:val="24"/>
              </w:rPr>
              <w:t>0</w:t>
            </w:r>
          </w:p>
        </w:tc>
      </w:tr>
      <w:tr w:rsidR="00A80E64" w:rsidRPr="00A80E64" w14:paraId="60D79507" w14:textId="77777777" w:rsidTr="00E842CE">
        <w:trPr>
          <w:trHeight w:val="454"/>
        </w:trPr>
        <w:tc>
          <w:tcPr>
            <w:tcW w:w="0" w:type="auto"/>
            <w:vMerge/>
            <w:vAlign w:val="center"/>
          </w:tcPr>
          <w:p w14:paraId="00FB25DB" w14:textId="77777777" w:rsidR="009B71C1" w:rsidRPr="00E842CE" w:rsidRDefault="009B71C1" w:rsidP="009B71C1">
            <w:pPr>
              <w:spacing w:before="120" w:after="120" w:line="240" w:lineRule="auto"/>
              <w:jc w:val="center"/>
              <w:rPr>
                <w:rFonts w:ascii="Times New Roman" w:hAnsi="Times New Roman" w:cs="Times New Roman"/>
                <w:sz w:val="24"/>
                <w:szCs w:val="24"/>
              </w:rPr>
            </w:pPr>
          </w:p>
        </w:tc>
        <w:tc>
          <w:tcPr>
            <w:tcW w:w="2578" w:type="dxa"/>
          </w:tcPr>
          <w:p w14:paraId="3DE7E6E6" w14:textId="77777777" w:rsidR="009B71C1" w:rsidRPr="00E842CE" w:rsidRDefault="009B71C1" w:rsidP="00BA1582">
            <w:pPr>
              <w:spacing w:before="120" w:after="120" w:line="240" w:lineRule="auto"/>
              <w:jc w:val="both"/>
              <w:rPr>
                <w:rFonts w:ascii="Times New Roman" w:hAnsi="Times New Roman" w:cs="Times New Roman"/>
                <w:sz w:val="24"/>
                <w:szCs w:val="24"/>
              </w:rPr>
            </w:pPr>
            <w:r w:rsidRPr="00E842CE">
              <w:rPr>
                <w:rFonts w:ascii="Times New Roman" w:hAnsi="Times New Roman" w:cs="Times New Roman"/>
                <w:sz w:val="24"/>
                <w:szCs w:val="24"/>
              </w:rPr>
              <w:t>Km rekonstruovaných silnic</w:t>
            </w:r>
          </w:p>
        </w:tc>
        <w:tc>
          <w:tcPr>
            <w:tcW w:w="1824" w:type="dxa"/>
            <w:vAlign w:val="center"/>
          </w:tcPr>
          <w:p w14:paraId="0491E312" w14:textId="77777777" w:rsidR="009B71C1" w:rsidRPr="00E842CE" w:rsidRDefault="009B71C1" w:rsidP="009B71C1">
            <w:pPr>
              <w:spacing w:before="120" w:after="120" w:line="240" w:lineRule="auto"/>
              <w:jc w:val="center"/>
              <w:rPr>
                <w:rFonts w:ascii="Times New Roman" w:hAnsi="Times New Roman" w:cs="Times New Roman"/>
                <w:sz w:val="24"/>
                <w:szCs w:val="24"/>
              </w:rPr>
            </w:pPr>
            <w:r w:rsidRPr="00E842CE">
              <w:rPr>
                <w:rFonts w:ascii="Times New Roman" w:hAnsi="Times New Roman" w:cs="Times New Roman"/>
                <w:sz w:val="24"/>
                <w:szCs w:val="24"/>
              </w:rPr>
              <w:t>6</w:t>
            </w:r>
          </w:p>
        </w:tc>
        <w:tc>
          <w:tcPr>
            <w:tcW w:w="0" w:type="auto"/>
            <w:vAlign w:val="center"/>
          </w:tcPr>
          <w:p w14:paraId="6BC0DC7D" w14:textId="77777777" w:rsidR="009B71C1" w:rsidRPr="00E842CE" w:rsidRDefault="009B71C1" w:rsidP="009B71C1">
            <w:pPr>
              <w:spacing w:before="120" w:after="120" w:line="240" w:lineRule="auto"/>
              <w:jc w:val="center"/>
              <w:rPr>
                <w:rFonts w:ascii="Times New Roman" w:hAnsi="Times New Roman" w:cs="Times New Roman"/>
                <w:sz w:val="24"/>
                <w:szCs w:val="24"/>
              </w:rPr>
            </w:pPr>
            <w:r w:rsidRPr="00E842CE">
              <w:rPr>
                <w:rFonts w:ascii="Times New Roman" w:hAnsi="Times New Roman" w:cs="Times New Roman"/>
                <w:sz w:val="24"/>
                <w:szCs w:val="24"/>
              </w:rPr>
              <w:t>6</w:t>
            </w:r>
          </w:p>
        </w:tc>
      </w:tr>
      <w:tr w:rsidR="00A80E64" w:rsidRPr="00A80E64" w14:paraId="115F73ED" w14:textId="77777777" w:rsidTr="00E842CE">
        <w:trPr>
          <w:trHeight w:val="454"/>
        </w:trPr>
        <w:tc>
          <w:tcPr>
            <w:tcW w:w="0" w:type="auto"/>
            <w:vAlign w:val="center"/>
          </w:tcPr>
          <w:p w14:paraId="497D23DB" w14:textId="77777777" w:rsidR="00B84DB1" w:rsidRPr="00D355AD" w:rsidRDefault="00B84DB1" w:rsidP="009B71C1">
            <w:pPr>
              <w:spacing w:before="120" w:after="120" w:line="240" w:lineRule="auto"/>
              <w:jc w:val="center"/>
              <w:rPr>
                <w:rFonts w:ascii="Times New Roman" w:hAnsi="Times New Roman" w:cs="Times New Roman"/>
                <w:b/>
                <w:sz w:val="24"/>
                <w:szCs w:val="24"/>
              </w:rPr>
            </w:pPr>
            <w:r w:rsidRPr="00D355AD">
              <w:rPr>
                <w:rFonts w:ascii="Times New Roman" w:hAnsi="Times New Roman" w:cs="Times New Roman"/>
                <w:b/>
                <w:sz w:val="24"/>
                <w:szCs w:val="24"/>
              </w:rPr>
              <w:t>Opatření 2.1.1 infrastruktura ZŠ</w:t>
            </w:r>
          </w:p>
        </w:tc>
        <w:tc>
          <w:tcPr>
            <w:tcW w:w="2578" w:type="dxa"/>
          </w:tcPr>
          <w:p w14:paraId="60D55B21" w14:textId="06220904" w:rsidR="00B84DB1" w:rsidRPr="00D355AD" w:rsidRDefault="00B84DB1" w:rsidP="00BA1582">
            <w:pPr>
              <w:spacing w:before="120" w:after="120" w:line="240" w:lineRule="auto"/>
              <w:jc w:val="both"/>
              <w:rPr>
                <w:rFonts w:ascii="Times New Roman" w:hAnsi="Times New Roman" w:cs="Times New Roman"/>
                <w:sz w:val="24"/>
                <w:szCs w:val="24"/>
              </w:rPr>
            </w:pPr>
            <w:r w:rsidRPr="00D355AD">
              <w:rPr>
                <w:rFonts w:ascii="Times New Roman" w:hAnsi="Times New Roman" w:cs="Times New Roman"/>
                <w:sz w:val="24"/>
                <w:szCs w:val="24"/>
              </w:rPr>
              <w:t xml:space="preserve">Počet </w:t>
            </w:r>
            <w:r w:rsidR="00E842CE" w:rsidRPr="00D355AD">
              <w:rPr>
                <w:rFonts w:ascii="Times New Roman" w:hAnsi="Times New Roman" w:cs="Times New Roman"/>
                <w:sz w:val="24"/>
                <w:szCs w:val="24"/>
              </w:rPr>
              <w:t>podpořených vzdělávacích</w:t>
            </w:r>
            <w:r w:rsidRPr="00D355AD">
              <w:rPr>
                <w:rFonts w:ascii="Times New Roman" w:hAnsi="Times New Roman" w:cs="Times New Roman"/>
                <w:sz w:val="24"/>
                <w:szCs w:val="24"/>
              </w:rPr>
              <w:t xml:space="preserve"> zařízení ZŠ</w:t>
            </w:r>
          </w:p>
        </w:tc>
        <w:tc>
          <w:tcPr>
            <w:tcW w:w="1824" w:type="dxa"/>
            <w:vAlign w:val="center"/>
          </w:tcPr>
          <w:p w14:paraId="7415E145" w14:textId="77777777" w:rsidR="00B84DB1" w:rsidRPr="00D355AD" w:rsidRDefault="009B71C1" w:rsidP="009B71C1">
            <w:pPr>
              <w:spacing w:before="120" w:after="120" w:line="240" w:lineRule="auto"/>
              <w:jc w:val="center"/>
              <w:rPr>
                <w:rFonts w:ascii="Times New Roman" w:hAnsi="Times New Roman" w:cs="Times New Roman"/>
                <w:sz w:val="24"/>
                <w:szCs w:val="24"/>
              </w:rPr>
            </w:pPr>
            <w:r w:rsidRPr="00D355AD">
              <w:rPr>
                <w:rFonts w:ascii="Times New Roman" w:hAnsi="Times New Roman" w:cs="Times New Roman"/>
                <w:sz w:val="24"/>
                <w:szCs w:val="24"/>
              </w:rPr>
              <w:t>6</w:t>
            </w:r>
          </w:p>
        </w:tc>
        <w:tc>
          <w:tcPr>
            <w:tcW w:w="0" w:type="auto"/>
            <w:vAlign w:val="center"/>
          </w:tcPr>
          <w:p w14:paraId="066FFD92" w14:textId="77777777" w:rsidR="00B84DB1" w:rsidRPr="00D355AD" w:rsidRDefault="009B71C1" w:rsidP="009B71C1">
            <w:pPr>
              <w:spacing w:before="120" w:after="120" w:line="240" w:lineRule="auto"/>
              <w:jc w:val="center"/>
              <w:rPr>
                <w:rFonts w:ascii="Times New Roman" w:hAnsi="Times New Roman" w:cs="Times New Roman"/>
                <w:sz w:val="24"/>
                <w:szCs w:val="24"/>
              </w:rPr>
            </w:pPr>
            <w:r w:rsidRPr="00D355AD">
              <w:rPr>
                <w:rFonts w:ascii="Times New Roman" w:hAnsi="Times New Roman" w:cs="Times New Roman"/>
                <w:sz w:val="24"/>
                <w:szCs w:val="24"/>
              </w:rPr>
              <w:t>8</w:t>
            </w:r>
          </w:p>
        </w:tc>
      </w:tr>
      <w:tr w:rsidR="00A80E64" w:rsidRPr="00A80E64" w14:paraId="3386A42F" w14:textId="77777777" w:rsidTr="00E842CE">
        <w:trPr>
          <w:trHeight w:val="454"/>
        </w:trPr>
        <w:tc>
          <w:tcPr>
            <w:tcW w:w="0" w:type="auto"/>
            <w:vAlign w:val="center"/>
          </w:tcPr>
          <w:p w14:paraId="15EF132E" w14:textId="77777777" w:rsidR="00B84DB1" w:rsidRPr="00D355AD" w:rsidRDefault="00B84DB1" w:rsidP="009B71C1">
            <w:pPr>
              <w:spacing w:before="120" w:after="120" w:line="240" w:lineRule="auto"/>
              <w:jc w:val="center"/>
              <w:rPr>
                <w:rFonts w:ascii="Times New Roman" w:hAnsi="Times New Roman" w:cs="Times New Roman"/>
                <w:b/>
                <w:sz w:val="24"/>
                <w:szCs w:val="24"/>
              </w:rPr>
            </w:pPr>
            <w:r w:rsidRPr="00D355AD">
              <w:rPr>
                <w:rFonts w:ascii="Times New Roman" w:hAnsi="Times New Roman" w:cs="Times New Roman"/>
                <w:b/>
                <w:sz w:val="24"/>
                <w:szCs w:val="24"/>
              </w:rPr>
              <w:t>Opatření 2.1.2 infrastruktura</w:t>
            </w:r>
            <w:r w:rsidR="009B71C1" w:rsidRPr="00D355AD">
              <w:rPr>
                <w:rFonts w:ascii="Times New Roman" w:hAnsi="Times New Roman" w:cs="Times New Roman"/>
                <w:b/>
                <w:sz w:val="24"/>
                <w:szCs w:val="24"/>
              </w:rPr>
              <w:t xml:space="preserve"> S</w:t>
            </w:r>
            <w:r w:rsidRPr="00D355AD">
              <w:rPr>
                <w:rFonts w:ascii="Times New Roman" w:hAnsi="Times New Roman" w:cs="Times New Roman"/>
                <w:b/>
                <w:sz w:val="24"/>
                <w:szCs w:val="24"/>
              </w:rPr>
              <w:t>Š</w:t>
            </w:r>
          </w:p>
        </w:tc>
        <w:tc>
          <w:tcPr>
            <w:tcW w:w="2578" w:type="dxa"/>
          </w:tcPr>
          <w:p w14:paraId="0FBF9B83" w14:textId="257D8DD6" w:rsidR="00B84DB1" w:rsidRPr="00D355AD" w:rsidRDefault="00E842CE" w:rsidP="00BA1582">
            <w:pPr>
              <w:spacing w:before="120" w:after="120" w:line="240" w:lineRule="auto"/>
              <w:jc w:val="both"/>
              <w:rPr>
                <w:rFonts w:ascii="Times New Roman" w:hAnsi="Times New Roman" w:cs="Times New Roman"/>
                <w:sz w:val="24"/>
                <w:szCs w:val="24"/>
              </w:rPr>
            </w:pPr>
            <w:r w:rsidRPr="00D355AD">
              <w:rPr>
                <w:rFonts w:ascii="Times New Roman" w:hAnsi="Times New Roman" w:cs="Times New Roman"/>
                <w:sz w:val="24"/>
                <w:szCs w:val="24"/>
              </w:rPr>
              <w:t xml:space="preserve">Počet podpořených vzdělávacích </w:t>
            </w:r>
            <w:proofErr w:type="gramStart"/>
            <w:r w:rsidRPr="00D355AD">
              <w:rPr>
                <w:rFonts w:ascii="Times New Roman" w:hAnsi="Times New Roman" w:cs="Times New Roman"/>
                <w:sz w:val="24"/>
                <w:szCs w:val="24"/>
              </w:rPr>
              <w:t xml:space="preserve">zařízení </w:t>
            </w:r>
            <w:r w:rsidR="00B84DB1" w:rsidRPr="00D355AD">
              <w:rPr>
                <w:rFonts w:ascii="Times New Roman" w:hAnsi="Times New Roman" w:cs="Times New Roman"/>
                <w:sz w:val="24"/>
                <w:szCs w:val="24"/>
              </w:rPr>
              <w:t xml:space="preserve"> SŠ</w:t>
            </w:r>
            <w:proofErr w:type="gramEnd"/>
          </w:p>
        </w:tc>
        <w:tc>
          <w:tcPr>
            <w:tcW w:w="1824" w:type="dxa"/>
            <w:vAlign w:val="center"/>
          </w:tcPr>
          <w:p w14:paraId="44BDB539" w14:textId="77777777" w:rsidR="00B84DB1" w:rsidRPr="00D355AD" w:rsidRDefault="009B71C1" w:rsidP="009B71C1">
            <w:pPr>
              <w:spacing w:before="120" w:after="120" w:line="240" w:lineRule="auto"/>
              <w:jc w:val="center"/>
              <w:rPr>
                <w:rFonts w:ascii="Times New Roman" w:hAnsi="Times New Roman" w:cs="Times New Roman"/>
                <w:sz w:val="24"/>
                <w:szCs w:val="24"/>
              </w:rPr>
            </w:pPr>
            <w:r w:rsidRPr="00D355AD">
              <w:rPr>
                <w:rFonts w:ascii="Times New Roman" w:hAnsi="Times New Roman" w:cs="Times New Roman"/>
                <w:sz w:val="24"/>
                <w:szCs w:val="24"/>
              </w:rPr>
              <w:t>11</w:t>
            </w:r>
          </w:p>
        </w:tc>
        <w:tc>
          <w:tcPr>
            <w:tcW w:w="0" w:type="auto"/>
            <w:vAlign w:val="center"/>
          </w:tcPr>
          <w:p w14:paraId="3CDE343C" w14:textId="47C6BB58" w:rsidR="00B84DB1" w:rsidRPr="00D355AD" w:rsidRDefault="00D355AD" w:rsidP="009B71C1">
            <w:pPr>
              <w:spacing w:before="120" w:after="120" w:line="240" w:lineRule="auto"/>
              <w:jc w:val="center"/>
              <w:rPr>
                <w:rFonts w:ascii="Times New Roman" w:hAnsi="Times New Roman" w:cs="Times New Roman"/>
                <w:sz w:val="24"/>
                <w:szCs w:val="24"/>
              </w:rPr>
            </w:pPr>
            <w:r w:rsidRPr="00D355AD">
              <w:rPr>
                <w:rFonts w:ascii="Times New Roman" w:hAnsi="Times New Roman" w:cs="Times New Roman"/>
                <w:sz w:val="24"/>
                <w:szCs w:val="24"/>
              </w:rPr>
              <w:t>11</w:t>
            </w:r>
          </w:p>
        </w:tc>
      </w:tr>
      <w:tr w:rsidR="00D355AD" w:rsidRPr="00D355AD" w14:paraId="69A59130" w14:textId="77777777" w:rsidTr="00E842CE">
        <w:trPr>
          <w:trHeight w:val="454"/>
        </w:trPr>
        <w:tc>
          <w:tcPr>
            <w:tcW w:w="0" w:type="auto"/>
            <w:vAlign w:val="center"/>
          </w:tcPr>
          <w:p w14:paraId="4F55765D" w14:textId="77777777" w:rsidR="00B84DB1" w:rsidRPr="00D355AD" w:rsidRDefault="00B84DB1" w:rsidP="009B71C1">
            <w:pPr>
              <w:spacing w:before="120" w:after="120" w:line="240" w:lineRule="auto"/>
              <w:jc w:val="center"/>
              <w:rPr>
                <w:rFonts w:ascii="Times New Roman" w:hAnsi="Times New Roman" w:cs="Times New Roman"/>
                <w:b/>
                <w:sz w:val="24"/>
                <w:szCs w:val="24"/>
              </w:rPr>
            </w:pPr>
            <w:r w:rsidRPr="00D355AD">
              <w:rPr>
                <w:rFonts w:ascii="Times New Roman" w:hAnsi="Times New Roman" w:cs="Times New Roman"/>
                <w:b/>
                <w:sz w:val="24"/>
                <w:szCs w:val="24"/>
              </w:rPr>
              <w:t>Opatření 2.1.3 kapacita MŠ</w:t>
            </w:r>
          </w:p>
        </w:tc>
        <w:tc>
          <w:tcPr>
            <w:tcW w:w="2578" w:type="dxa"/>
          </w:tcPr>
          <w:p w14:paraId="1CAABF14" w14:textId="77777777" w:rsidR="00B84DB1" w:rsidRPr="00D355AD" w:rsidRDefault="00B84DB1" w:rsidP="00BA1582">
            <w:pPr>
              <w:spacing w:before="120" w:after="120" w:line="240" w:lineRule="auto"/>
              <w:jc w:val="both"/>
              <w:rPr>
                <w:rFonts w:ascii="Times New Roman" w:hAnsi="Times New Roman" w:cs="Times New Roman"/>
                <w:sz w:val="24"/>
                <w:szCs w:val="24"/>
              </w:rPr>
            </w:pPr>
            <w:r w:rsidRPr="00D355AD">
              <w:rPr>
                <w:rFonts w:ascii="Times New Roman" w:hAnsi="Times New Roman" w:cs="Times New Roman"/>
                <w:sz w:val="24"/>
                <w:szCs w:val="24"/>
              </w:rPr>
              <w:t>Počet vybudovaných zařízení MŠ</w:t>
            </w:r>
          </w:p>
        </w:tc>
        <w:tc>
          <w:tcPr>
            <w:tcW w:w="1824" w:type="dxa"/>
            <w:vAlign w:val="center"/>
          </w:tcPr>
          <w:p w14:paraId="5D712E51" w14:textId="77777777" w:rsidR="00B84DB1" w:rsidRPr="00D355AD" w:rsidRDefault="009B71C1" w:rsidP="009B71C1">
            <w:pPr>
              <w:spacing w:before="120" w:after="120" w:line="240" w:lineRule="auto"/>
              <w:jc w:val="center"/>
              <w:rPr>
                <w:rFonts w:ascii="Times New Roman" w:hAnsi="Times New Roman" w:cs="Times New Roman"/>
                <w:sz w:val="24"/>
                <w:szCs w:val="24"/>
              </w:rPr>
            </w:pPr>
            <w:r w:rsidRPr="00D355AD">
              <w:rPr>
                <w:rFonts w:ascii="Times New Roman" w:hAnsi="Times New Roman" w:cs="Times New Roman"/>
                <w:sz w:val="24"/>
                <w:szCs w:val="24"/>
              </w:rPr>
              <w:t>4</w:t>
            </w:r>
          </w:p>
        </w:tc>
        <w:tc>
          <w:tcPr>
            <w:tcW w:w="0" w:type="auto"/>
            <w:vAlign w:val="center"/>
          </w:tcPr>
          <w:p w14:paraId="5A0AC146" w14:textId="77777777" w:rsidR="00B84DB1" w:rsidRPr="00D355AD" w:rsidRDefault="009B71C1" w:rsidP="009B71C1">
            <w:pPr>
              <w:spacing w:before="120" w:after="120" w:line="240" w:lineRule="auto"/>
              <w:jc w:val="center"/>
              <w:rPr>
                <w:rFonts w:ascii="Times New Roman" w:hAnsi="Times New Roman" w:cs="Times New Roman"/>
                <w:sz w:val="24"/>
                <w:szCs w:val="24"/>
              </w:rPr>
            </w:pPr>
            <w:r w:rsidRPr="00D355AD">
              <w:rPr>
                <w:rFonts w:ascii="Times New Roman" w:hAnsi="Times New Roman" w:cs="Times New Roman"/>
                <w:sz w:val="24"/>
                <w:szCs w:val="24"/>
              </w:rPr>
              <w:t>6</w:t>
            </w:r>
          </w:p>
        </w:tc>
      </w:tr>
    </w:tbl>
    <w:p w14:paraId="6CD3A94B" w14:textId="77777777" w:rsidR="008411E0" w:rsidRDefault="008411E0">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4E3A71D8" w14:textId="46D8236B" w:rsidR="005F4D3F" w:rsidRPr="00E842CE" w:rsidRDefault="004B1022" w:rsidP="004C411B">
      <w:pPr>
        <w:pStyle w:val="Odstavecseseznamem"/>
        <w:numPr>
          <w:ilvl w:val="0"/>
          <w:numId w:val="9"/>
        </w:numPr>
        <w:shd w:val="clear" w:color="auto" w:fill="D9D9D9" w:themeFill="background1" w:themeFillShade="D9"/>
        <w:spacing w:after="120" w:line="240" w:lineRule="auto"/>
        <w:ind w:left="0" w:firstLine="0"/>
        <w:jc w:val="both"/>
        <w:rPr>
          <w:rFonts w:ascii="Times New Roman" w:hAnsi="Times New Roman" w:cs="Times New Roman"/>
          <w:b/>
          <w:sz w:val="24"/>
          <w:szCs w:val="24"/>
        </w:rPr>
      </w:pPr>
      <w:r w:rsidRPr="00E842CE">
        <w:rPr>
          <w:rFonts w:ascii="Times New Roman" w:hAnsi="Times New Roman" w:cs="Times New Roman"/>
          <w:b/>
          <w:sz w:val="24"/>
          <w:szCs w:val="24"/>
        </w:rPr>
        <w:t>Změn</w:t>
      </w:r>
      <w:r w:rsidR="00BA1582" w:rsidRPr="00E842CE">
        <w:rPr>
          <w:rFonts w:ascii="Times New Roman" w:hAnsi="Times New Roman" w:cs="Times New Roman"/>
          <w:b/>
          <w:sz w:val="24"/>
          <w:szCs w:val="24"/>
        </w:rPr>
        <w:t>a</w:t>
      </w:r>
      <w:r w:rsidRPr="00E842CE">
        <w:rPr>
          <w:rFonts w:ascii="Times New Roman" w:hAnsi="Times New Roman" w:cs="Times New Roman"/>
          <w:b/>
          <w:sz w:val="24"/>
          <w:szCs w:val="24"/>
        </w:rPr>
        <w:t xml:space="preserve"> strategie </w:t>
      </w:r>
      <w:r w:rsidR="005C6C33" w:rsidRPr="00E842CE">
        <w:rPr>
          <w:rFonts w:ascii="Times New Roman" w:hAnsi="Times New Roman" w:cs="Times New Roman"/>
          <w:b/>
          <w:sz w:val="24"/>
          <w:szCs w:val="24"/>
        </w:rPr>
        <w:t xml:space="preserve">IPRÚ České </w:t>
      </w:r>
      <w:proofErr w:type="gramStart"/>
      <w:r w:rsidR="005C6C33" w:rsidRPr="00E842CE">
        <w:rPr>
          <w:rFonts w:ascii="Times New Roman" w:hAnsi="Times New Roman" w:cs="Times New Roman"/>
          <w:b/>
          <w:sz w:val="24"/>
          <w:szCs w:val="24"/>
        </w:rPr>
        <w:t xml:space="preserve">Budějovice </w:t>
      </w:r>
      <w:r w:rsidR="00CE0DC1" w:rsidRPr="00E842CE">
        <w:rPr>
          <w:rFonts w:ascii="Times New Roman" w:hAnsi="Times New Roman" w:cs="Times New Roman"/>
          <w:b/>
          <w:sz w:val="24"/>
          <w:szCs w:val="24"/>
        </w:rPr>
        <w:t>- změna</w:t>
      </w:r>
      <w:proofErr w:type="gramEnd"/>
      <w:r w:rsidR="00CE0DC1" w:rsidRPr="00E842CE">
        <w:rPr>
          <w:rFonts w:ascii="Times New Roman" w:hAnsi="Times New Roman" w:cs="Times New Roman"/>
          <w:b/>
          <w:sz w:val="24"/>
          <w:szCs w:val="24"/>
        </w:rPr>
        <w:t xml:space="preserve"> Finančního plánu 2018 – 2023 (viz Příloha</w:t>
      </w:r>
      <w:r w:rsidR="00042ACF" w:rsidRPr="00E842CE">
        <w:rPr>
          <w:rFonts w:ascii="Times New Roman" w:hAnsi="Times New Roman" w:cs="Times New Roman"/>
          <w:b/>
          <w:sz w:val="24"/>
          <w:szCs w:val="24"/>
        </w:rPr>
        <w:t xml:space="preserve"> </w:t>
      </w:r>
      <w:r w:rsidR="00CE0DC1" w:rsidRPr="00E842CE">
        <w:rPr>
          <w:rFonts w:ascii="Times New Roman" w:hAnsi="Times New Roman" w:cs="Times New Roman"/>
          <w:b/>
          <w:sz w:val="24"/>
          <w:szCs w:val="24"/>
        </w:rPr>
        <w:t>1)</w:t>
      </w:r>
    </w:p>
    <w:p w14:paraId="332E5737" w14:textId="77777777" w:rsidR="00F36AD9" w:rsidRPr="00E842CE" w:rsidRDefault="00F36AD9" w:rsidP="00F36AD9">
      <w:pPr>
        <w:pStyle w:val="Odstavecseseznamem"/>
        <w:shd w:val="clear" w:color="auto" w:fill="FFFFFF" w:themeFill="background1"/>
        <w:spacing w:before="120" w:after="120" w:line="240" w:lineRule="auto"/>
        <w:ind w:left="0"/>
        <w:jc w:val="both"/>
        <w:rPr>
          <w:rFonts w:ascii="Times New Roman" w:hAnsi="Times New Roman" w:cs="Times New Roman"/>
          <w:b/>
          <w:sz w:val="24"/>
          <w:szCs w:val="24"/>
        </w:rPr>
      </w:pPr>
    </w:p>
    <w:p w14:paraId="13D4BA77" w14:textId="77777777" w:rsidR="00CE0DC1" w:rsidRPr="00E842CE" w:rsidRDefault="00CE0DC1" w:rsidP="00F36AD9">
      <w:pPr>
        <w:pStyle w:val="Odstavecseseznamem"/>
        <w:shd w:val="clear" w:color="auto" w:fill="FFFFFF" w:themeFill="background1"/>
        <w:spacing w:before="120" w:after="120" w:line="240" w:lineRule="auto"/>
        <w:ind w:left="0"/>
        <w:jc w:val="both"/>
        <w:rPr>
          <w:rFonts w:ascii="Times New Roman" w:hAnsi="Times New Roman" w:cs="Times New Roman"/>
          <w:b/>
          <w:sz w:val="24"/>
          <w:szCs w:val="24"/>
        </w:rPr>
      </w:pPr>
      <w:r w:rsidRPr="00E842CE">
        <w:rPr>
          <w:rFonts w:ascii="Times New Roman" w:hAnsi="Times New Roman" w:cs="Times New Roman"/>
          <w:b/>
          <w:sz w:val="24"/>
          <w:szCs w:val="24"/>
        </w:rPr>
        <w:t>Komentář k předkládané změně.</w:t>
      </w:r>
    </w:p>
    <w:p w14:paraId="630226C5" w14:textId="40FEA824" w:rsidR="00CE0DC1" w:rsidRPr="00E842CE" w:rsidRDefault="00CE0DC1" w:rsidP="00C91A42">
      <w:pPr>
        <w:pStyle w:val="Odstavecseseznamem"/>
        <w:shd w:val="clear" w:color="auto" w:fill="FFFFFF" w:themeFill="background1"/>
        <w:spacing w:after="0" w:line="240" w:lineRule="auto"/>
        <w:ind w:left="0"/>
        <w:jc w:val="both"/>
        <w:rPr>
          <w:rFonts w:ascii="Times New Roman" w:hAnsi="Times New Roman" w:cs="Times New Roman"/>
          <w:sz w:val="24"/>
          <w:szCs w:val="24"/>
        </w:rPr>
      </w:pPr>
      <w:r w:rsidRPr="00E842CE">
        <w:rPr>
          <w:rFonts w:ascii="Times New Roman" w:hAnsi="Times New Roman" w:cs="Times New Roman"/>
          <w:sz w:val="24"/>
          <w:szCs w:val="24"/>
        </w:rPr>
        <w:t xml:space="preserve">Předmětem </w:t>
      </w:r>
      <w:r w:rsidRPr="00E842CE">
        <w:rPr>
          <w:rFonts w:ascii="Times New Roman" w:hAnsi="Times New Roman" w:cs="Times New Roman"/>
          <w:i/>
          <w:sz w:val="24"/>
          <w:szCs w:val="24"/>
        </w:rPr>
        <w:t>Změny strategie IPRÚ České Budějovice</w:t>
      </w:r>
      <w:r w:rsidRPr="00E842CE">
        <w:rPr>
          <w:rFonts w:ascii="Times New Roman" w:hAnsi="Times New Roman" w:cs="Times New Roman"/>
          <w:sz w:val="24"/>
          <w:szCs w:val="24"/>
        </w:rPr>
        <w:t xml:space="preserve"> je narovnání finančního plánu </w:t>
      </w:r>
      <w:r w:rsidR="004F67FC" w:rsidRPr="00E842CE">
        <w:rPr>
          <w:rFonts w:ascii="Times New Roman" w:hAnsi="Times New Roman" w:cs="Times New Roman"/>
          <w:sz w:val="24"/>
          <w:szCs w:val="24"/>
        </w:rPr>
        <w:t xml:space="preserve">roku </w:t>
      </w:r>
      <w:r w:rsidRPr="00E842CE">
        <w:rPr>
          <w:rFonts w:ascii="Times New Roman" w:hAnsi="Times New Roman" w:cs="Times New Roman"/>
          <w:sz w:val="24"/>
          <w:szCs w:val="24"/>
        </w:rPr>
        <w:t>2018 a 20</w:t>
      </w:r>
      <w:r w:rsidR="00042ACF" w:rsidRPr="00E842CE">
        <w:rPr>
          <w:rFonts w:ascii="Times New Roman" w:hAnsi="Times New Roman" w:cs="Times New Roman"/>
          <w:sz w:val="24"/>
          <w:szCs w:val="24"/>
        </w:rPr>
        <w:t>20</w:t>
      </w:r>
      <w:r w:rsidRPr="00E842CE">
        <w:rPr>
          <w:rFonts w:ascii="Times New Roman" w:hAnsi="Times New Roman" w:cs="Times New Roman"/>
          <w:sz w:val="24"/>
          <w:szCs w:val="24"/>
        </w:rPr>
        <w:t xml:space="preserve"> na skutečný stav (podle </w:t>
      </w:r>
      <w:r w:rsidRPr="00E842CE">
        <w:rPr>
          <w:rFonts w:ascii="Times New Roman" w:hAnsi="Times New Roman" w:cs="Times New Roman"/>
          <w:b/>
          <w:bCs/>
          <w:sz w:val="24"/>
          <w:szCs w:val="24"/>
        </w:rPr>
        <w:t>proplacených</w:t>
      </w:r>
      <w:r w:rsidRPr="00E842CE">
        <w:rPr>
          <w:rFonts w:ascii="Times New Roman" w:hAnsi="Times New Roman" w:cs="Times New Roman"/>
          <w:sz w:val="24"/>
          <w:szCs w:val="24"/>
        </w:rPr>
        <w:t xml:space="preserve"> žádostí o platbu k 31. 12. 201</w:t>
      </w:r>
      <w:r w:rsidR="00042ACF" w:rsidRPr="00E842CE">
        <w:rPr>
          <w:rFonts w:ascii="Times New Roman" w:hAnsi="Times New Roman" w:cs="Times New Roman"/>
          <w:sz w:val="24"/>
          <w:szCs w:val="24"/>
        </w:rPr>
        <w:t>9</w:t>
      </w:r>
      <w:r w:rsidRPr="00E842CE">
        <w:rPr>
          <w:rFonts w:ascii="Times New Roman" w:hAnsi="Times New Roman" w:cs="Times New Roman"/>
          <w:sz w:val="24"/>
          <w:szCs w:val="24"/>
        </w:rPr>
        <w:t xml:space="preserve"> a </w:t>
      </w:r>
      <w:r w:rsidRPr="00E842CE">
        <w:rPr>
          <w:rFonts w:ascii="Times New Roman" w:hAnsi="Times New Roman" w:cs="Times New Roman"/>
          <w:b/>
          <w:bCs/>
          <w:sz w:val="24"/>
          <w:szCs w:val="24"/>
        </w:rPr>
        <w:t>předložených</w:t>
      </w:r>
      <w:r w:rsidRPr="00E842CE">
        <w:rPr>
          <w:rFonts w:ascii="Times New Roman" w:hAnsi="Times New Roman" w:cs="Times New Roman"/>
          <w:sz w:val="24"/>
          <w:szCs w:val="24"/>
        </w:rPr>
        <w:t xml:space="preserve"> žádostí o platbu k 31. 10. 20</w:t>
      </w:r>
      <w:r w:rsidR="00042ACF" w:rsidRPr="00E842CE">
        <w:rPr>
          <w:rFonts w:ascii="Times New Roman" w:hAnsi="Times New Roman" w:cs="Times New Roman"/>
          <w:sz w:val="24"/>
          <w:szCs w:val="24"/>
        </w:rPr>
        <w:t>20</w:t>
      </w:r>
      <w:r w:rsidRPr="00E842CE">
        <w:rPr>
          <w:rFonts w:ascii="Times New Roman" w:hAnsi="Times New Roman" w:cs="Times New Roman"/>
          <w:sz w:val="24"/>
          <w:szCs w:val="24"/>
        </w:rPr>
        <w:t xml:space="preserve">) </w:t>
      </w:r>
      <w:r w:rsidR="00042ACF" w:rsidRPr="00E842CE">
        <w:rPr>
          <w:rFonts w:ascii="Times New Roman" w:hAnsi="Times New Roman" w:cs="Times New Roman"/>
          <w:sz w:val="24"/>
          <w:szCs w:val="24"/>
        </w:rPr>
        <w:t>pro</w:t>
      </w:r>
      <w:r w:rsidRPr="00E842CE">
        <w:rPr>
          <w:rFonts w:ascii="Times New Roman" w:hAnsi="Times New Roman" w:cs="Times New Roman"/>
          <w:sz w:val="24"/>
          <w:szCs w:val="24"/>
        </w:rPr>
        <w:t xml:space="preserve"> Operační program IROP. Tato změna je </w:t>
      </w:r>
      <w:r w:rsidR="004F67FC" w:rsidRPr="00E842CE">
        <w:rPr>
          <w:rFonts w:ascii="Times New Roman" w:hAnsi="Times New Roman" w:cs="Times New Roman"/>
          <w:sz w:val="24"/>
          <w:szCs w:val="24"/>
        </w:rPr>
        <w:t xml:space="preserve">prostřednictvím MMR </w:t>
      </w:r>
      <w:r w:rsidRPr="00E842CE">
        <w:rPr>
          <w:rFonts w:ascii="Times New Roman" w:hAnsi="Times New Roman" w:cs="Times New Roman"/>
          <w:sz w:val="24"/>
          <w:szCs w:val="24"/>
        </w:rPr>
        <w:t xml:space="preserve">ČR koordinována a plošně nařízena u všech nositelů IPRÚ a ITI, kteří realizují integrované nástroje v rámci ČR. V důsledku této změny dojde </w:t>
      </w:r>
      <w:r w:rsidR="004F67FC" w:rsidRPr="00E842CE">
        <w:rPr>
          <w:rFonts w:ascii="Times New Roman" w:hAnsi="Times New Roman" w:cs="Times New Roman"/>
          <w:sz w:val="24"/>
          <w:szCs w:val="24"/>
        </w:rPr>
        <w:t xml:space="preserve">také </w:t>
      </w:r>
      <w:r w:rsidRPr="00E842CE">
        <w:rPr>
          <w:rFonts w:ascii="Times New Roman" w:hAnsi="Times New Roman" w:cs="Times New Roman"/>
          <w:sz w:val="24"/>
          <w:szCs w:val="24"/>
        </w:rPr>
        <w:t xml:space="preserve">ke změně finančního plánu v období </w:t>
      </w:r>
      <w:proofErr w:type="gramStart"/>
      <w:r w:rsidRPr="00E842CE">
        <w:rPr>
          <w:rFonts w:ascii="Times New Roman" w:hAnsi="Times New Roman" w:cs="Times New Roman"/>
          <w:sz w:val="24"/>
          <w:szCs w:val="24"/>
        </w:rPr>
        <w:t>2019 – 2023</w:t>
      </w:r>
      <w:proofErr w:type="gramEnd"/>
      <w:r w:rsidRPr="00E842CE">
        <w:rPr>
          <w:rFonts w:ascii="Times New Roman" w:hAnsi="Times New Roman" w:cs="Times New Roman"/>
          <w:sz w:val="24"/>
          <w:szCs w:val="24"/>
        </w:rPr>
        <w:t>. Finanční plán OP Doprava</w:t>
      </w:r>
      <w:r w:rsidR="004F67FC" w:rsidRPr="00E842CE">
        <w:rPr>
          <w:rFonts w:ascii="Times New Roman" w:hAnsi="Times New Roman" w:cs="Times New Roman"/>
          <w:sz w:val="24"/>
          <w:szCs w:val="24"/>
        </w:rPr>
        <w:t xml:space="preserve">, který je v gesci </w:t>
      </w:r>
      <w:proofErr w:type="gramStart"/>
      <w:r w:rsidR="004F67FC" w:rsidRPr="00E842CE">
        <w:rPr>
          <w:rFonts w:ascii="Times New Roman" w:hAnsi="Times New Roman" w:cs="Times New Roman"/>
          <w:sz w:val="24"/>
          <w:szCs w:val="24"/>
        </w:rPr>
        <w:t xml:space="preserve">MD, </w:t>
      </w:r>
      <w:r w:rsidRPr="00E842CE">
        <w:rPr>
          <w:rFonts w:ascii="Times New Roman" w:hAnsi="Times New Roman" w:cs="Times New Roman"/>
          <w:sz w:val="24"/>
          <w:szCs w:val="24"/>
        </w:rPr>
        <w:t xml:space="preserve"> na</w:t>
      </w:r>
      <w:proofErr w:type="gramEnd"/>
      <w:r w:rsidRPr="00E842CE">
        <w:rPr>
          <w:rFonts w:ascii="Times New Roman" w:hAnsi="Times New Roman" w:cs="Times New Roman"/>
          <w:sz w:val="24"/>
          <w:szCs w:val="24"/>
        </w:rPr>
        <w:t xml:space="preserve"> období 2018 – 2023 zůstává nezměněn. Změna finančního plánu dodržuje tyto 2 zásadní principy:</w:t>
      </w:r>
    </w:p>
    <w:p w14:paraId="64962E9A" w14:textId="3B51AD02" w:rsidR="00CE0DC1" w:rsidRPr="00E842CE" w:rsidRDefault="00CE0DC1" w:rsidP="00C91A42">
      <w:pPr>
        <w:pStyle w:val="Odstavecseseznamem"/>
        <w:numPr>
          <w:ilvl w:val="0"/>
          <w:numId w:val="7"/>
        </w:numPr>
        <w:shd w:val="clear" w:color="auto" w:fill="FFFFFF" w:themeFill="background1"/>
        <w:spacing w:after="0" w:line="240" w:lineRule="auto"/>
        <w:jc w:val="both"/>
        <w:rPr>
          <w:rFonts w:ascii="Times New Roman" w:hAnsi="Times New Roman" w:cs="Times New Roman"/>
          <w:sz w:val="24"/>
          <w:szCs w:val="24"/>
        </w:rPr>
      </w:pPr>
      <w:r w:rsidRPr="00E842CE">
        <w:rPr>
          <w:rFonts w:ascii="Times New Roman" w:hAnsi="Times New Roman" w:cs="Times New Roman"/>
          <w:sz w:val="24"/>
          <w:szCs w:val="24"/>
        </w:rPr>
        <w:t xml:space="preserve">Nastavení finančního plánu </w:t>
      </w:r>
      <w:r w:rsidR="00042ACF" w:rsidRPr="00E842CE">
        <w:rPr>
          <w:rFonts w:ascii="Times New Roman" w:hAnsi="Times New Roman" w:cs="Times New Roman"/>
          <w:sz w:val="24"/>
          <w:szCs w:val="24"/>
        </w:rPr>
        <w:t xml:space="preserve">od 2018 do </w:t>
      </w:r>
      <w:proofErr w:type="gramStart"/>
      <w:r w:rsidR="00042ACF" w:rsidRPr="00E842CE">
        <w:rPr>
          <w:rFonts w:ascii="Times New Roman" w:hAnsi="Times New Roman" w:cs="Times New Roman"/>
          <w:sz w:val="24"/>
          <w:szCs w:val="24"/>
        </w:rPr>
        <w:t xml:space="preserve">2020 </w:t>
      </w:r>
      <w:r w:rsidRPr="00E842CE">
        <w:rPr>
          <w:rFonts w:ascii="Times New Roman" w:hAnsi="Times New Roman" w:cs="Times New Roman"/>
          <w:sz w:val="24"/>
          <w:szCs w:val="24"/>
        </w:rPr>
        <w:t xml:space="preserve"> na</w:t>
      </w:r>
      <w:proofErr w:type="gramEnd"/>
      <w:r w:rsidRPr="00E842CE">
        <w:rPr>
          <w:rFonts w:ascii="Times New Roman" w:hAnsi="Times New Roman" w:cs="Times New Roman"/>
          <w:sz w:val="24"/>
          <w:szCs w:val="24"/>
        </w:rPr>
        <w:t xml:space="preserve"> skutečný stav realizace Integrované strategie (</w:t>
      </w:r>
      <w:proofErr w:type="spellStart"/>
      <w:r w:rsidRPr="00E842CE">
        <w:rPr>
          <w:rFonts w:ascii="Times New Roman" w:hAnsi="Times New Roman" w:cs="Times New Roman"/>
          <w:sz w:val="24"/>
          <w:szCs w:val="24"/>
        </w:rPr>
        <w:t>ISg</w:t>
      </w:r>
      <w:proofErr w:type="spellEnd"/>
      <w:r w:rsidRPr="00E842CE">
        <w:rPr>
          <w:rFonts w:ascii="Times New Roman" w:hAnsi="Times New Roman" w:cs="Times New Roman"/>
          <w:sz w:val="24"/>
          <w:szCs w:val="24"/>
        </w:rPr>
        <w:t>).</w:t>
      </w:r>
    </w:p>
    <w:p w14:paraId="7086BE62" w14:textId="77777777" w:rsidR="00CE0DC1" w:rsidRPr="00E842CE" w:rsidRDefault="00CE0DC1" w:rsidP="00C91A42">
      <w:pPr>
        <w:pStyle w:val="Odstavecseseznamem"/>
        <w:numPr>
          <w:ilvl w:val="0"/>
          <w:numId w:val="7"/>
        </w:numPr>
        <w:shd w:val="clear" w:color="auto" w:fill="FFFFFF" w:themeFill="background1"/>
        <w:spacing w:after="0" w:line="240" w:lineRule="auto"/>
        <w:jc w:val="both"/>
        <w:rPr>
          <w:rFonts w:ascii="Times New Roman" w:hAnsi="Times New Roman" w:cs="Times New Roman"/>
          <w:sz w:val="24"/>
          <w:szCs w:val="24"/>
        </w:rPr>
      </w:pPr>
      <w:r w:rsidRPr="00E842CE">
        <w:rPr>
          <w:rFonts w:ascii="Times New Roman" w:hAnsi="Times New Roman" w:cs="Times New Roman"/>
          <w:sz w:val="24"/>
          <w:szCs w:val="24"/>
        </w:rPr>
        <w:t>Dodržení nastavených minimáln</w:t>
      </w:r>
      <w:r w:rsidR="004F67FC" w:rsidRPr="00E842CE">
        <w:rPr>
          <w:rFonts w:ascii="Times New Roman" w:hAnsi="Times New Roman" w:cs="Times New Roman"/>
          <w:sz w:val="24"/>
          <w:szCs w:val="24"/>
        </w:rPr>
        <w:t>ích hranic plnění v období od roku</w:t>
      </w:r>
      <w:r w:rsidRPr="00E842CE">
        <w:rPr>
          <w:rFonts w:ascii="Times New Roman" w:hAnsi="Times New Roman" w:cs="Times New Roman"/>
          <w:sz w:val="24"/>
          <w:szCs w:val="24"/>
        </w:rPr>
        <w:t xml:space="preserve"> 2020 do r</w:t>
      </w:r>
      <w:r w:rsidR="004F67FC" w:rsidRPr="00E842CE">
        <w:rPr>
          <w:rFonts w:ascii="Times New Roman" w:hAnsi="Times New Roman" w:cs="Times New Roman"/>
          <w:sz w:val="24"/>
          <w:szCs w:val="24"/>
        </w:rPr>
        <w:t>oku</w:t>
      </w:r>
      <w:r w:rsidRPr="00E842CE">
        <w:rPr>
          <w:rFonts w:ascii="Times New Roman" w:hAnsi="Times New Roman" w:cs="Times New Roman"/>
          <w:sz w:val="24"/>
          <w:szCs w:val="24"/>
        </w:rPr>
        <w:t xml:space="preserve"> 2023, které jsou nastavený následovně:</w:t>
      </w:r>
    </w:p>
    <w:p w14:paraId="7C4299C7" w14:textId="77777777" w:rsidR="00817AE1" w:rsidRPr="00E842CE" w:rsidRDefault="004F67FC" w:rsidP="00C91A42">
      <w:pPr>
        <w:pStyle w:val="Odstavecseseznamem"/>
        <w:numPr>
          <w:ilvl w:val="1"/>
          <w:numId w:val="7"/>
        </w:numPr>
        <w:shd w:val="clear" w:color="auto" w:fill="FFFFFF" w:themeFill="background1"/>
        <w:spacing w:after="0" w:line="240" w:lineRule="auto"/>
        <w:jc w:val="both"/>
        <w:rPr>
          <w:rFonts w:ascii="Times New Roman" w:hAnsi="Times New Roman" w:cs="Times New Roman"/>
          <w:sz w:val="24"/>
          <w:szCs w:val="24"/>
        </w:rPr>
      </w:pPr>
      <w:r w:rsidRPr="00E842CE">
        <w:rPr>
          <w:rFonts w:ascii="Times New Roman" w:hAnsi="Times New Roman" w:cs="Times New Roman"/>
          <w:sz w:val="24"/>
          <w:szCs w:val="24"/>
        </w:rPr>
        <w:t>v</w:t>
      </w:r>
      <w:r w:rsidR="00817AE1" w:rsidRPr="00E842CE">
        <w:rPr>
          <w:rFonts w:ascii="Times New Roman" w:hAnsi="Times New Roman" w:cs="Times New Roman"/>
          <w:sz w:val="24"/>
          <w:szCs w:val="24"/>
        </w:rPr>
        <w:t xml:space="preserve"> roce 20</w:t>
      </w:r>
      <w:r w:rsidRPr="00E842CE">
        <w:rPr>
          <w:rFonts w:ascii="Times New Roman" w:hAnsi="Times New Roman" w:cs="Times New Roman"/>
          <w:sz w:val="24"/>
          <w:szCs w:val="24"/>
        </w:rPr>
        <w:t>18 úprava</w:t>
      </w:r>
      <w:r w:rsidR="00817AE1" w:rsidRPr="00E842CE">
        <w:rPr>
          <w:rFonts w:ascii="Times New Roman" w:hAnsi="Times New Roman" w:cs="Times New Roman"/>
          <w:sz w:val="24"/>
          <w:szCs w:val="24"/>
        </w:rPr>
        <w:t xml:space="preserve"> podle proplacených žádostí o platbu k 31. 12. 2018</w:t>
      </w:r>
    </w:p>
    <w:p w14:paraId="221261F4" w14:textId="1B316729" w:rsidR="00817AE1" w:rsidRPr="00E842CE" w:rsidRDefault="004F67FC" w:rsidP="00817AE1">
      <w:pPr>
        <w:pStyle w:val="Odstavecseseznamem"/>
        <w:numPr>
          <w:ilvl w:val="1"/>
          <w:numId w:val="7"/>
        </w:numPr>
        <w:shd w:val="clear" w:color="auto" w:fill="FFFFFF" w:themeFill="background1"/>
        <w:spacing w:after="0" w:line="240" w:lineRule="auto"/>
        <w:jc w:val="both"/>
        <w:rPr>
          <w:rFonts w:ascii="Times New Roman" w:hAnsi="Times New Roman" w:cs="Times New Roman"/>
          <w:sz w:val="24"/>
          <w:szCs w:val="24"/>
        </w:rPr>
      </w:pPr>
      <w:r w:rsidRPr="00E842CE">
        <w:rPr>
          <w:rFonts w:ascii="Times New Roman" w:hAnsi="Times New Roman" w:cs="Times New Roman"/>
          <w:sz w:val="24"/>
          <w:szCs w:val="24"/>
        </w:rPr>
        <w:t>v</w:t>
      </w:r>
      <w:r w:rsidR="00817AE1" w:rsidRPr="00E842CE">
        <w:rPr>
          <w:rFonts w:ascii="Times New Roman" w:hAnsi="Times New Roman" w:cs="Times New Roman"/>
          <w:sz w:val="24"/>
          <w:szCs w:val="24"/>
        </w:rPr>
        <w:t xml:space="preserve"> roce 20</w:t>
      </w:r>
      <w:r w:rsidRPr="00E842CE">
        <w:rPr>
          <w:rFonts w:ascii="Times New Roman" w:hAnsi="Times New Roman" w:cs="Times New Roman"/>
          <w:sz w:val="24"/>
          <w:szCs w:val="24"/>
        </w:rPr>
        <w:t xml:space="preserve">19 </w:t>
      </w:r>
      <w:r w:rsidR="00042ACF" w:rsidRPr="00E842CE">
        <w:rPr>
          <w:rFonts w:ascii="Times New Roman" w:hAnsi="Times New Roman" w:cs="Times New Roman"/>
          <w:sz w:val="24"/>
          <w:szCs w:val="24"/>
        </w:rPr>
        <w:t xml:space="preserve">úprava podle proplacených žádostí o platbu k 31. 10. 2019 </w:t>
      </w:r>
    </w:p>
    <w:p w14:paraId="36448E74" w14:textId="3C93C68C" w:rsidR="00CE0DC1" w:rsidRPr="00E842CE" w:rsidRDefault="004F67FC" w:rsidP="00C91A42">
      <w:pPr>
        <w:pStyle w:val="Odstavecseseznamem"/>
        <w:numPr>
          <w:ilvl w:val="1"/>
          <w:numId w:val="7"/>
        </w:numPr>
        <w:shd w:val="clear" w:color="auto" w:fill="FFFFFF" w:themeFill="background1"/>
        <w:spacing w:after="0" w:line="240" w:lineRule="auto"/>
        <w:jc w:val="both"/>
        <w:rPr>
          <w:rFonts w:ascii="Times New Roman" w:hAnsi="Times New Roman" w:cs="Times New Roman"/>
          <w:sz w:val="24"/>
          <w:szCs w:val="24"/>
        </w:rPr>
      </w:pPr>
      <w:r w:rsidRPr="00E842CE">
        <w:rPr>
          <w:rFonts w:ascii="Times New Roman" w:hAnsi="Times New Roman" w:cs="Times New Roman"/>
          <w:sz w:val="24"/>
          <w:szCs w:val="24"/>
        </w:rPr>
        <w:t>v</w:t>
      </w:r>
      <w:r w:rsidR="00CE0DC1" w:rsidRPr="00E842CE">
        <w:rPr>
          <w:rFonts w:ascii="Times New Roman" w:hAnsi="Times New Roman" w:cs="Times New Roman"/>
          <w:sz w:val="24"/>
          <w:szCs w:val="24"/>
        </w:rPr>
        <w:t xml:space="preserve"> roce 2020 </w:t>
      </w:r>
      <w:r w:rsidR="00042ACF" w:rsidRPr="00E842CE">
        <w:rPr>
          <w:rFonts w:ascii="Times New Roman" w:hAnsi="Times New Roman" w:cs="Times New Roman"/>
          <w:sz w:val="24"/>
          <w:szCs w:val="24"/>
        </w:rPr>
        <w:t>úprava podle předložených žádostí o platbu k 31. 10. 2020</w:t>
      </w:r>
    </w:p>
    <w:p w14:paraId="7F19D68C" w14:textId="77777777" w:rsidR="00CE0DC1" w:rsidRPr="00E842CE" w:rsidRDefault="004F67FC" w:rsidP="00C91A42">
      <w:pPr>
        <w:pStyle w:val="Odstavecseseznamem"/>
        <w:numPr>
          <w:ilvl w:val="1"/>
          <w:numId w:val="7"/>
        </w:numPr>
        <w:shd w:val="clear" w:color="auto" w:fill="FFFFFF" w:themeFill="background1"/>
        <w:spacing w:after="0" w:line="240" w:lineRule="auto"/>
        <w:jc w:val="both"/>
        <w:rPr>
          <w:rFonts w:ascii="Times New Roman" w:hAnsi="Times New Roman" w:cs="Times New Roman"/>
          <w:sz w:val="24"/>
          <w:szCs w:val="24"/>
        </w:rPr>
      </w:pPr>
      <w:r w:rsidRPr="00E842CE">
        <w:rPr>
          <w:rFonts w:ascii="Times New Roman" w:hAnsi="Times New Roman" w:cs="Times New Roman"/>
          <w:sz w:val="24"/>
          <w:szCs w:val="24"/>
        </w:rPr>
        <w:t>v</w:t>
      </w:r>
      <w:r w:rsidR="00CE0DC1" w:rsidRPr="00E842CE">
        <w:rPr>
          <w:rFonts w:ascii="Times New Roman" w:hAnsi="Times New Roman" w:cs="Times New Roman"/>
          <w:sz w:val="24"/>
          <w:szCs w:val="24"/>
        </w:rPr>
        <w:t xml:space="preserve"> roce 2021 musí být nastaven finanční plán minimálně na úrovni </w:t>
      </w:r>
      <w:r w:rsidR="00CE0DC1" w:rsidRPr="00E842CE">
        <w:rPr>
          <w:rFonts w:ascii="Times New Roman" w:hAnsi="Times New Roman" w:cs="Times New Roman"/>
          <w:sz w:val="24"/>
          <w:szCs w:val="24"/>
          <w:shd w:val="clear" w:color="auto" w:fill="FFFFFF" w:themeFill="background1"/>
        </w:rPr>
        <w:t>70,00</w:t>
      </w:r>
      <w:r w:rsidR="00CE0DC1" w:rsidRPr="00E842CE">
        <w:rPr>
          <w:rFonts w:ascii="Times New Roman" w:hAnsi="Times New Roman" w:cs="Times New Roman"/>
          <w:sz w:val="24"/>
          <w:szCs w:val="24"/>
        </w:rPr>
        <w:t xml:space="preserve"> % kumulativně z celkové alokace</w:t>
      </w:r>
    </w:p>
    <w:p w14:paraId="1D48B3F8" w14:textId="77777777" w:rsidR="00CE0DC1" w:rsidRPr="00E842CE" w:rsidRDefault="004F67FC" w:rsidP="00C91A42">
      <w:pPr>
        <w:pStyle w:val="Odstavecseseznamem"/>
        <w:numPr>
          <w:ilvl w:val="1"/>
          <w:numId w:val="7"/>
        </w:numPr>
        <w:shd w:val="clear" w:color="auto" w:fill="FFFFFF" w:themeFill="background1"/>
        <w:spacing w:after="0" w:line="240" w:lineRule="auto"/>
        <w:jc w:val="both"/>
        <w:rPr>
          <w:rFonts w:ascii="Times New Roman" w:hAnsi="Times New Roman" w:cs="Times New Roman"/>
          <w:sz w:val="24"/>
          <w:szCs w:val="24"/>
        </w:rPr>
      </w:pPr>
      <w:r w:rsidRPr="00E842CE">
        <w:rPr>
          <w:rFonts w:ascii="Times New Roman" w:hAnsi="Times New Roman" w:cs="Times New Roman"/>
          <w:sz w:val="24"/>
          <w:szCs w:val="24"/>
        </w:rPr>
        <w:t>v</w:t>
      </w:r>
      <w:r w:rsidR="00CE0DC1" w:rsidRPr="00E842CE">
        <w:rPr>
          <w:rFonts w:ascii="Times New Roman" w:hAnsi="Times New Roman" w:cs="Times New Roman"/>
          <w:sz w:val="24"/>
          <w:szCs w:val="24"/>
        </w:rPr>
        <w:t xml:space="preserve"> roce 2022 musí být nastaven finanční plán minimálně na úrovni 84,85 % kumulativně z celkové alokace</w:t>
      </w:r>
    </w:p>
    <w:p w14:paraId="092CF55B" w14:textId="77777777" w:rsidR="00CE0DC1" w:rsidRPr="00E842CE" w:rsidRDefault="004F67FC" w:rsidP="00C91A42">
      <w:pPr>
        <w:pStyle w:val="Odstavecseseznamem"/>
        <w:numPr>
          <w:ilvl w:val="1"/>
          <w:numId w:val="7"/>
        </w:numPr>
        <w:shd w:val="clear" w:color="auto" w:fill="FFFFFF" w:themeFill="background1"/>
        <w:spacing w:after="0" w:line="240" w:lineRule="auto"/>
        <w:jc w:val="both"/>
        <w:rPr>
          <w:rFonts w:ascii="Times New Roman" w:hAnsi="Times New Roman" w:cs="Times New Roman"/>
          <w:sz w:val="24"/>
          <w:szCs w:val="24"/>
        </w:rPr>
      </w:pPr>
      <w:r w:rsidRPr="00E842CE">
        <w:rPr>
          <w:rFonts w:ascii="Times New Roman" w:hAnsi="Times New Roman" w:cs="Times New Roman"/>
          <w:sz w:val="24"/>
          <w:szCs w:val="24"/>
        </w:rPr>
        <w:t>r</w:t>
      </w:r>
      <w:r w:rsidR="00CE0DC1" w:rsidRPr="00E842CE">
        <w:rPr>
          <w:rFonts w:ascii="Times New Roman" w:hAnsi="Times New Roman" w:cs="Times New Roman"/>
          <w:sz w:val="24"/>
          <w:szCs w:val="24"/>
        </w:rPr>
        <w:t xml:space="preserve">ok 2023 % - splnění </w:t>
      </w:r>
      <w:r w:rsidR="002D192F" w:rsidRPr="00E842CE">
        <w:rPr>
          <w:rFonts w:ascii="Times New Roman" w:hAnsi="Times New Roman" w:cs="Times New Roman"/>
          <w:sz w:val="24"/>
          <w:szCs w:val="24"/>
        </w:rPr>
        <w:t xml:space="preserve">finančního plánu strategie </w:t>
      </w:r>
      <w:r w:rsidR="00CE0DC1" w:rsidRPr="00E842CE">
        <w:rPr>
          <w:rFonts w:ascii="Times New Roman" w:hAnsi="Times New Roman" w:cs="Times New Roman"/>
          <w:sz w:val="24"/>
          <w:szCs w:val="24"/>
        </w:rPr>
        <w:t>na 100%</w:t>
      </w:r>
    </w:p>
    <w:p w14:paraId="1CCD69BF" w14:textId="77777777" w:rsidR="00F36AD9" w:rsidRPr="00E842CE" w:rsidRDefault="00F36AD9" w:rsidP="00F36AD9">
      <w:pPr>
        <w:pStyle w:val="Odstavecseseznamem"/>
        <w:shd w:val="clear" w:color="auto" w:fill="FFFFFF" w:themeFill="background1"/>
        <w:spacing w:before="240" w:after="0" w:line="240" w:lineRule="auto"/>
        <w:ind w:left="0"/>
        <w:jc w:val="both"/>
        <w:rPr>
          <w:rFonts w:ascii="Times New Roman" w:hAnsi="Times New Roman" w:cs="Times New Roman"/>
          <w:sz w:val="24"/>
          <w:szCs w:val="24"/>
        </w:rPr>
      </w:pPr>
    </w:p>
    <w:p w14:paraId="0F5E7505" w14:textId="77777777" w:rsidR="00CE0DC1" w:rsidRPr="00E842CE" w:rsidRDefault="004F67FC" w:rsidP="00F36AD9">
      <w:pPr>
        <w:pStyle w:val="Odstavecseseznamem"/>
        <w:shd w:val="clear" w:color="auto" w:fill="FFFFFF" w:themeFill="background1"/>
        <w:spacing w:before="240" w:after="0" w:line="240" w:lineRule="auto"/>
        <w:ind w:left="0"/>
        <w:jc w:val="both"/>
        <w:rPr>
          <w:rFonts w:ascii="Times New Roman" w:hAnsi="Times New Roman" w:cs="Times New Roman"/>
          <w:sz w:val="24"/>
          <w:szCs w:val="24"/>
        </w:rPr>
      </w:pPr>
      <w:r w:rsidRPr="00E842CE">
        <w:rPr>
          <w:rFonts w:ascii="Times New Roman" w:hAnsi="Times New Roman" w:cs="Times New Roman"/>
          <w:sz w:val="24"/>
          <w:szCs w:val="24"/>
        </w:rPr>
        <w:t>Aby byly dodrženy výše uvedené zásady, je upraven finanční plán</w:t>
      </w:r>
      <w:r w:rsidR="00C91A42" w:rsidRPr="00E842CE">
        <w:rPr>
          <w:rFonts w:ascii="Times New Roman" w:hAnsi="Times New Roman" w:cs="Times New Roman"/>
          <w:sz w:val="24"/>
          <w:szCs w:val="24"/>
        </w:rPr>
        <w:t xml:space="preserve"> v rámci jednotlivých opatření</w:t>
      </w:r>
      <w:r w:rsidRPr="00E842CE">
        <w:rPr>
          <w:rFonts w:ascii="Times New Roman" w:hAnsi="Times New Roman" w:cs="Times New Roman"/>
          <w:sz w:val="24"/>
          <w:szCs w:val="24"/>
        </w:rPr>
        <w:t xml:space="preserve"> následovně</w:t>
      </w:r>
      <w:r w:rsidR="00C91A42" w:rsidRPr="00E842CE">
        <w:rPr>
          <w:rFonts w:ascii="Times New Roman" w:hAnsi="Times New Roman" w:cs="Times New Roman"/>
          <w:sz w:val="24"/>
          <w:szCs w:val="24"/>
        </w:rPr>
        <w:t>:</w:t>
      </w:r>
    </w:p>
    <w:p w14:paraId="35BBEFDF" w14:textId="7D209F21" w:rsidR="00CE0DC1" w:rsidRPr="00E842CE" w:rsidRDefault="00CE0DC1" w:rsidP="00C91A42">
      <w:pPr>
        <w:pStyle w:val="Odstavecseseznamem"/>
        <w:numPr>
          <w:ilvl w:val="0"/>
          <w:numId w:val="16"/>
        </w:numPr>
        <w:shd w:val="clear" w:color="auto" w:fill="FFFFFF" w:themeFill="background1"/>
        <w:spacing w:after="0" w:line="240" w:lineRule="auto"/>
        <w:jc w:val="both"/>
        <w:rPr>
          <w:rFonts w:ascii="Times New Roman" w:hAnsi="Times New Roman" w:cs="Times New Roman"/>
          <w:sz w:val="24"/>
          <w:szCs w:val="24"/>
        </w:rPr>
      </w:pPr>
      <w:r w:rsidRPr="00E842CE">
        <w:rPr>
          <w:rFonts w:ascii="Times New Roman" w:hAnsi="Times New Roman" w:cs="Times New Roman"/>
          <w:sz w:val="24"/>
          <w:szCs w:val="24"/>
        </w:rPr>
        <w:t>Opatření 1.1.2 (Parkoviště) - ne</w:t>
      </w:r>
      <w:r w:rsidR="004F67FC" w:rsidRPr="00E842CE">
        <w:rPr>
          <w:rFonts w:ascii="Times New Roman" w:hAnsi="Times New Roman" w:cs="Times New Roman"/>
          <w:sz w:val="24"/>
          <w:szCs w:val="24"/>
        </w:rPr>
        <w:t xml:space="preserve">vyčerpaná alokace rozložena do </w:t>
      </w:r>
      <w:proofErr w:type="gramStart"/>
      <w:r w:rsidRPr="00E842CE">
        <w:rPr>
          <w:rFonts w:ascii="Times New Roman" w:hAnsi="Times New Roman" w:cs="Times New Roman"/>
          <w:sz w:val="24"/>
          <w:szCs w:val="24"/>
        </w:rPr>
        <w:t>202</w:t>
      </w:r>
      <w:r w:rsidR="00042ACF" w:rsidRPr="00E842CE">
        <w:rPr>
          <w:rFonts w:ascii="Times New Roman" w:hAnsi="Times New Roman" w:cs="Times New Roman"/>
          <w:sz w:val="24"/>
          <w:szCs w:val="24"/>
        </w:rPr>
        <w:t>1</w:t>
      </w:r>
      <w:r w:rsidRPr="00E842CE">
        <w:rPr>
          <w:rFonts w:ascii="Times New Roman" w:hAnsi="Times New Roman" w:cs="Times New Roman"/>
          <w:sz w:val="24"/>
          <w:szCs w:val="24"/>
        </w:rPr>
        <w:t xml:space="preserve"> – 202</w:t>
      </w:r>
      <w:r w:rsidR="00042ACF" w:rsidRPr="00E842CE">
        <w:rPr>
          <w:rFonts w:ascii="Times New Roman" w:hAnsi="Times New Roman" w:cs="Times New Roman"/>
          <w:sz w:val="24"/>
          <w:szCs w:val="24"/>
        </w:rPr>
        <w:t>3</w:t>
      </w:r>
      <w:proofErr w:type="gramEnd"/>
      <w:r w:rsidRPr="00E842CE">
        <w:rPr>
          <w:rFonts w:ascii="Times New Roman" w:hAnsi="Times New Roman" w:cs="Times New Roman"/>
          <w:sz w:val="24"/>
          <w:szCs w:val="24"/>
        </w:rPr>
        <w:t>;</w:t>
      </w:r>
    </w:p>
    <w:p w14:paraId="05EE1A8D" w14:textId="5DA946DB" w:rsidR="00CE0DC1" w:rsidRPr="00E842CE" w:rsidRDefault="00CE0DC1" w:rsidP="00C91A42">
      <w:pPr>
        <w:pStyle w:val="Odstavecseseznamem"/>
        <w:numPr>
          <w:ilvl w:val="0"/>
          <w:numId w:val="16"/>
        </w:numPr>
        <w:shd w:val="clear" w:color="auto" w:fill="FFFFFF" w:themeFill="background1"/>
        <w:spacing w:after="0" w:line="240" w:lineRule="auto"/>
        <w:jc w:val="both"/>
        <w:rPr>
          <w:rFonts w:ascii="Times New Roman" w:hAnsi="Times New Roman" w:cs="Times New Roman"/>
          <w:sz w:val="24"/>
          <w:szCs w:val="24"/>
        </w:rPr>
      </w:pPr>
      <w:r w:rsidRPr="00E842CE">
        <w:rPr>
          <w:rFonts w:ascii="Times New Roman" w:hAnsi="Times New Roman" w:cs="Times New Roman"/>
          <w:sz w:val="24"/>
          <w:szCs w:val="24"/>
        </w:rPr>
        <w:t>Opatření 1.1.3 (Cyklostezky)</w:t>
      </w:r>
      <w:r w:rsidR="004F67FC" w:rsidRPr="00E842CE">
        <w:rPr>
          <w:rFonts w:ascii="Times New Roman" w:hAnsi="Times New Roman" w:cs="Times New Roman"/>
          <w:sz w:val="24"/>
          <w:szCs w:val="24"/>
        </w:rPr>
        <w:t xml:space="preserve"> </w:t>
      </w:r>
      <w:r w:rsidRPr="00E842CE">
        <w:rPr>
          <w:rFonts w:ascii="Times New Roman" w:hAnsi="Times New Roman" w:cs="Times New Roman"/>
          <w:sz w:val="24"/>
          <w:szCs w:val="24"/>
        </w:rPr>
        <w:t>– nevyčer</w:t>
      </w:r>
      <w:r w:rsidR="004F67FC" w:rsidRPr="00E842CE">
        <w:rPr>
          <w:rFonts w:ascii="Times New Roman" w:hAnsi="Times New Roman" w:cs="Times New Roman"/>
          <w:sz w:val="24"/>
          <w:szCs w:val="24"/>
        </w:rPr>
        <w:t xml:space="preserve">paná alokace rozložena do </w:t>
      </w:r>
      <w:proofErr w:type="gramStart"/>
      <w:r w:rsidRPr="00E842CE">
        <w:rPr>
          <w:rFonts w:ascii="Times New Roman" w:hAnsi="Times New Roman" w:cs="Times New Roman"/>
          <w:sz w:val="24"/>
          <w:szCs w:val="24"/>
        </w:rPr>
        <w:t>202</w:t>
      </w:r>
      <w:r w:rsidR="00042ACF" w:rsidRPr="00E842CE">
        <w:rPr>
          <w:rFonts w:ascii="Times New Roman" w:hAnsi="Times New Roman" w:cs="Times New Roman"/>
          <w:sz w:val="24"/>
          <w:szCs w:val="24"/>
        </w:rPr>
        <w:t>1</w:t>
      </w:r>
      <w:r w:rsidRPr="00E842CE">
        <w:rPr>
          <w:rFonts w:ascii="Times New Roman" w:hAnsi="Times New Roman" w:cs="Times New Roman"/>
          <w:sz w:val="24"/>
          <w:szCs w:val="24"/>
        </w:rPr>
        <w:t xml:space="preserve"> – 202</w:t>
      </w:r>
      <w:r w:rsidR="00042ACF" w:rsidRPr="00E842CE">
        <w:rPr>
          <w:rFonts w:ascii="Times New Roman" w:hAnsi="Times New Roman" w:cs="Times New Roman"/>
          <w:sz w:val="24"/>
          <w:szCs w:val="24"/>
        </w:rPr>
        <w:t>3</w:t>
      </w:r>
      <w:proofErr w:type="gramEnd"/>
      <w:r w:rsidRPr="00E842CE">
        <w:rPr>
          <w:rFonts w:ascii="Times New Roman" w:hAnsi="Times New Roman" w:cs="Times New Roman"/>
          <w:sz w:val="24"/>
          <w:szCs w:val="24"/>
        </w:rPr>
        <w:t>;</w:t>
      </w:r>
    </w:p>
    <w:p w14:paraId="1A7D5337" w14:textId="7D1166AF" w:rsidR="00CE0DC1" w:rsidRPr="00E842CE" w:rsidRDefault="00CE0DC1" w:rsidP="00C91A42">
      <w:pPr>
        <w:pStyle w:val="Odstavecseseznamem"/>
        <w:numPr>
          <w:ilvl w:val="0"/>
          <w:numId w:val="16"/>
        </w:numPr>
        <w:shd w:val="clear" w:color="auto" w:fill="FFFFFF" w:themeFill="background1"/>
        <w:spacing w:after="0" w:line="240" w:lineRule="auto"/>
        <w:jc w:val="both"/>
        <w:rPr>
          <w:rFonts w:ascii="Times New Roman" w:hAnsi="Times New Roman" w:cs="Times New Roman"/>
          <w:sz w:val="24"/>
          <w:szCs w:val="24"/>
        </w:rPr>
      </w:pPr>
      <w:r w:rsidRPr="00E842CE">
        <w:rPr>
          <w:rFonts w:ascii="Times New Roman" w:hAnsi="Times New Roman" w:cs="Times New Roman"/>
          <w:sz w:val="24"/>
          <w:szCs w:val="24"/>
        </w:rPr>
        <w:lastRenderedPageBreak/>
        <w:t xml:space="preserve">Opatření 1.1.4 (Telematika MHD, terminály) – nevyčerpaná alokace rozložena do období </w:t>
      </w:r>
      <w:proofErr w:type="gramStart"/>
      <w:r w:rsidRPr="00E842CE">
        <w:rPr>
          <w:rFonts w:ascii="Times New Roman" w:hAnsi="Times New Roman" w:cs="Times New Roman"/>
          <w:sz w:val="24"/>
          <w:szCs w:val="24"/>
        </w:rPr>
        <w:t>202</w:t>
      </w:r>
      <w:r w:rsidR="00042ACF" w:rsidRPr="00E842CE">
        <w:rPr>
          <w:rFonts w:ascii="Times New Roman" w:hAnsi="Times New Roman" w:cs="Times New Roman"/>
          <w:sz w:val="24"/>
          <w:szCs w:val="24"/>
        </w:rPr>
        <w:t>1</w:t>
      </w:r>
      <w:r w:rsidRPr="00E842CE">
        <w:rPr>
          <w:rFonts w:ascii="Times New Roman" w:hAnsi="Times New Roman" w:cs="Times New Roman"/>
          <w:sz w:val="24"/>
          <w:szCs w:val="24"/>
        </w:rPr>
        <w:t xml:space="preserve"> – 202</w:t>
      </w:r>
      <w:r w:rsidR="00042ACF" w:rsidRPr="00E842CE">
        <w:rPr>
          <w:rFonts w:ascii="Times New Roman" w:hAnsi="Times New Roman" w:cs="Times New Roman"/>
          <w:sz w:val="24"/>
          <w:szCs w:val="24"/>
        </w:rPr>
        <w:t>3</w:t>
      </w:r>
      <w:proofErr w:type="gramEnd"/>
      <w:r w:rsidRPr="00E842CE">
        <w:rPr>
          <w:rFonts w:ascii="Times New Roman" w:hAnsi="Times New Roman" w:cs="Times New Roman"/>
          <w:sz w:val="24"/>
          <w:szCs w:val="24"/>
        </w:rPr>
        <w:t xml:space="preserve">, předpokládá se realizace </w:t>
      </w:r>
      <w:r w:rsidR="00042ACF" w:rsidRPr="00E842CE">
        <w:rPr>
          <w:rFonts w:ascii="Times New Roman" w:hAnsi="Times New Roman" w:cs="Times New Roman"/>
          <w:sz w:val="24"/>
          <w:szCs w:val="24"/>
        </w:rPr>
        <w:t>1</w:t>
      </w:r>
      <w:r w:rsidRPr="00E842CE">
        <w:rPr>
          <w:rFonts w:ascii="Times New Roman" w:hAnsi="Times New Roman" w:cs="Times New Roman"/>
          <w:sz w:val="24"/>
          <w:szCs w:val="24"/>
        </w:rPr>
        <w:t xml:space="preserve"> terminál</w:t>
      </w:r>
      <w:r w:rsidR="00042ACF" w:rsidRPr="00E842CE">
        <w:rPr>
          <w:rFonts w:ascii="Times New Roman" w:hAnsi="Times New Roman" w:cs="Times New Roman"/>
          <w:sz w:val="24"/>
          <w:szCs w:val="24"/>
        </w:rPr>
        <w:t>u (Mariánské náměstí)</w:t>
      </w:r>
      <w:r w:rsidRPr="00E842CE">
        <w:rPr>
          <w:rFonts w:ascii="Times New Roman" w:hAnsi="Times New Roman" w:cs="Times New Roman"/>
          <w:sz w:val="24"/>
          <w:szCs w:val="24"/>
        </w:rPr>
        <w:t xml:space="preserve"> a 1 projektu na telematiku MHD;</w:t>
      </w:r>
    </w:p>
    <w:p w14:paraId="54EE1D1A" w14:textId="30B0D9D9" w:rsidR="00CE0DC1" w:rsidRPr="00E842CE" w:rsidRDefault="00CE0DC1" w:rsidP="00C91A42">
      <w:pPr>
        <w:pStyle w:val="Odstavecseseznamem"/>
        <w:numPr>
          <w:ilvl w:val="0"/>
          <w:numId w:val="16"/>
        </w:numPr>
        <w:shd w:val="clear" w:color="auto" w:fill="FFFFFF" w:themeFill="background1"/>
        <w:spacing w:after="0" w:line="240" w:lineRule="auto"/>
        <w:jc w:val="both"/>
        <w:rPr>
          <w:rFonts w:ascii="Times New Roman" w:hAnsi="Times New Roman" w:cs="Times New Roman"/>
          <w:sz w:val="24"/>
          <w:szCs w:val="24"/>
        </w:rPr>
      </w:pPr>
      <w:r w:rsidRPr="00E842CE">
        <w:rPr>
          <w:rFonts w:ascii="Times New Roman" w:hAnsi="Times New Roman" w:cs="Times New Roman"/>
          <w:sz w:val="24"/>
          <w:szCs w:val="24"/>
        </w:rPr>
        <w:t>Opatření 1.2.1 (Silnice II. a III. třídy) – alo</w:t>
      </w:r>
      <w:r w:rsidR="004F67FC" w:rsidRPr="00E842CE">
        <w:rPr>
          <w:rFonts w:ascii="Times New Roman" w:hAnsi="Times New Roman" w:cs="Times New Roman"/>
          <w:sz w:val="24"/>
          <w:szCs w:val="24"/>
        </w:rPr>
        <w:t>kace rozložena do</w:t>
      </w:r>
      <w:r w:rsidRPr="00E842CE">
        <w:rPr>
          <w:rFonts w:ascii="Times New Roman" w:hAnsi="Times New Roman" w:cs="Times New Roman"/>
          <w:sz w:val="24"/>
          <w:szCs w:val="24"/>
        </w:rPr>
        <w:t xml:space="preserve"> </w:t>
      </w:r>
      <w:proofErr w:type="gramStart"/>
      <w:r w:rsidRPr="00E842CE">
        <w:rPr>
          <w:rFonts w:ascii="Times New Roman" w:hAnsi="Times New Roman" w:cs="Times New Roman"/>
          <w:sz w:val="24"/>
          <w:szCs w:val="24"/>
        </w:rPr>
        <w:t>202</w:t>
      </w:r>
      <w:r w:rsidR="00042ACF" w:rsidRPr="00E842CE">
        <w:rPr>
          <w:rFonts w:ascii="Times New Roman" w:hAnsi="Times New Roman" w:cs="Times New Roman"/>
          <w:sz w:val="24"/>
          <w:szCs w:val="24"/>
        </w:rPr>
        <w:t>1</w:t>
      </w:r>
      <w:r w:rsidRPr="00E842CE">
        <w:rPr>
          <w:rFonts w:ascii="Times New Roman" w:hAnsi="Times New Roman" w:cs="Times New Roman"/>
          <w:sz w:val="24"/>
          <w:szCs w:val="24"/>
        </w:rPr>
        <w:t xml:space="preserve"> – 2023</w:t>
      </w:r>
      <w:proofErr w:type="gramEnd"/>
      <w:r w:rsidRPr="00E842CE">
        <w:rPr>
          <w:rFonts w:ascii="Times New Roman" w:hAnsi="Times New Roman" w:cs="Times New Roman"/>
          <w:sz w:val="24"/>
          <w:szCs w:val="24"/>
        </w:rPr>
        <w:t>.</w:t>
      </w:r>
      <w:r w:rsidR="00042ACF" w:rsidRPr="00E842CE">
        <w:rPr>
          <w:rFonts w:ascii="Times New Roman" w:hAnsi="Times New Roman" w:cs="Times New Roman"/>
          <w:sz w:val="24"/>
          <w:szCs w:val="24"/>
        </w:rPr>
        <w:t xml:space="preserve"> V realizaci jsou 2 projekty – Jižní tangenta a Přeložka silnice II/156 v obci Strážkovice.</w:t>
      </w:r>
    </w:p>
    <w:p w14:paraId="4DDF4A28" w14:textId="3314DDAC" w:rsidR="00CE0DC1" w:rsidRPr="00E842CE" w:rsidRDefault="00CE0DC1" w:rsidP="00C91A42">
      <w:pPr>
        <w:pStyle w:val="Odstavecseseznamem"/>
        <w:numPr>
          <w:ilvl w:val="0"/>
          <w:numId w:val="16"/>
        </w:numPr>
        <w:shd w:val="clear" w:color="auto" w:fill="FFFFFF" w:themeFill="background1"/>
        <w:spacing w:after="0" w:line="240" w:lineRule="auto"/>
        <w:jc w:val="both"/>
        <w:rPr>
          <w:rFonts w:ascii="Times New Roman" w:hAnsi="Times New Roman" w:cs="Times New Roman"/>
          <w:sz w:val="24"/>
          <w:szCs w:val="24"/>
        </w:rPr>
      </w:pPr>
      <w:r w:rsidRPr="00E842CE">
        <w:rPr>
          <w:rFonts w:ascii="Times New Roman" w:hAnsi="Times New Roman" w:cs="Times New Roman"/>
          <w:sz w:val="24"/>
          <w:szCs w:val="24"/>
        </w:rPr>
        <w:t>Opatření 2.1.1 – (technické učebny ZŠ) - nevyčerp</w:t>
      </w:r>
      <w:r w:rsidR="004F67FC" w:rsidRPr="00E842CE">
        <w:rPr>
          <w:rFonts w:ascii="Times New Roman" w:hAnsi="Times New Roman" w:cs="Times New Roman"/>
          <w:sz w:val="24"/>
          <w:szCs w:val="24"/>
        </w:rPr>
        <w:t xml:space="preserve">aná alokace bude vyčerpána ve </w:t>
      </w:r>
      <w:r w:rsidRPr="00E842CE">
        <w:rPr>
          <w:rFonts w:ascii="Times New Roman" w:hAnsi="Times New Roman" w:cs="Times New Roman"/>
          <w:sz w:val="24"/>
          <w:szCs w:val="24"/>
        </w:rPr>
        <w:t>202</w:t>
      </w:r>
      <w:r w:rsidR="00042ACF" w:rsidRPr="00E842CE">
        <w:rPr>
          <w:rFonts w:ascii="Times New Roman" w:hAnsi="Times New Roman" w:cs="Times New Roman"/>
          <w:sz w:val="24"/>
          <w:szCs w:val="24"/>
        </w:rPr>
        <w:t>3.</w:t>
      </w:r>
    </w:p>
    <w:p w14:paraId="0A2CC6F6" w14:textId="614C2CAC" w:rsidR="00CE0DC1" w:rsidRPr="00E842CE" w:rsidRDefault="00CE0DC1" w:rsidP="00C91A42">
      <w:pPr>
        <w:pStyle w:val="Odstavecseseznamem"/>
        <w:numPr>
          <w:ilvl w:val="0"/>
          <w:numId w:val="16"/>
        </w:numPr>
        <w:shd w:val="clear" w:color="auto" w:fill="FFFFFF" w:themeFill="background1"/>
        <w:spacing w:after="0" w:line="240" w:lineRule="auto"/>
        <w:jc w:val="both"/>
        <w:rPr>
          <w:rFonts w:ascii="Times New Roman" w:hAnsi="Times New Roman" w:cs="Times New Roman"/>
          <w:sz w:val="24"/>
          <w:szCs w:val="24"/>
        </w:rPr>
      </w:pPr>
      <w:r w:rsidRPr="00E842CE">
        <w:rPr>
          <w:rFonts w:ascii="Times New Roman" w:hAnsi="Times New Roman" w:cs="Times New Roman"/>
          <w:sz w:val="24"/>
          <w:szCs w:val="24"/>
        </w:rPr>
        <w:t xml:space="preserve">Opatření 2.1.2 – (technické učebny SŠ) - nevyčerpaná </w:t>
      </w:r>
      <w:r w:rsidR="004F67FC" w:rsidRPr="00E842CE">
        <w:rPr>
          <w:rFonts w:ascii="Times New Roman" w:hAnsi="Times New Roman" w:cs="Times New Roman"/>
          <w:sz w:val="24"/>
          <w:szCs w:val="24"/>
        </w:rPr>
        <w:t>alokace rozložena do</w:t>
      </w:r>
      <w:r w:rsidRPr="00E842CE">
        <w:rPr>
          <w:rFonts w:ascii="Times New Roman" w:hAnsi="Times New Roman" w:cs="Times New Roman"/>
          <w:sz w:val="24"/>
          <w:szCs w:val="24"/>
        </w:rPr>
        <w:t xml:space="preserve"> </w:t>
      </w:r>
      <w:proofErr w:type="gramStart"/>
      <w:r w:rsidRPr="00E842CE">
        <w:rPr>
          <w:rFonts w:ascii="Times New Roman" w:hAnsi="Times New Roman" w:cs="Times New Roman"/>
          <w:sz w:val="24"/>
          <w:szCs w:val="24"/>
        </w:rPr>
        <w:t>202</w:t>
      </w:r>
      <w:r w:rsidR="00042ACF" w:rsidRPr="00E842CE">
        <w:rPr>
          <w:rFonts w:ascii="Times New Roman" w:hAnsi="Times New Roman" w:cs="Times New Roman"/>
          <w:sz w:val="24"/>
          <w:szCs w:val="24"/>
        </w:rPr>
        <w:t>1</w:t>
      </w:r>
      <w:r w:rsidRPr="00E842CE">
        <w:rPr>
          <w:rFonts w:ascii="Times New Roman" w:hAnsi="Times New Roman" w:cs="Times New Roman"/>
          <w:sz w:val="24"/>
          <w:szCs w:val="24"/>
        </w:rPr>
        <w:t xml:space="preserve"> – 202</w:t>
      </w:r>
      <w:r w:rsidR="00042ACF" w:rsidRPr="00E842CE">
        <w:rPr>
          <w:rFonts w:ascii="Times New Roman" w:hAnsi="Times New Roman" w:cs="Times New Roman"/>
          <w:sz w:val="24"/>
          <w:szCs w:val="24"/>
        </w:rPr>
        <w:t>2</w:t>
      </w:r>
      <w:proofErr w:type="gramEnd"/>
      <w:r w:rsidRPr="00E842CE">
        <w:rPr>
          <w:rFonts w:ascii="Times New Roman" w:hAnsi="Times New Roman" w:cs="Times New Roman"/>
          <w:sz w:val="24"/>
          <w:szCs w:val="24"/>
        </w:rPr>
        <w:t xml:space="preserve">; </w:t>
      </w:r>
    </w:p>
    <w:p w14:paraId="72D98A74" w14:textId="2AF57815" w:rsidR="00CE0DC1" w:rsidRPr="00E842CE" w:rsidRDefault="00CE0DC1" w:rsidP="00C91A42">
      <w:pPr>
        <w:pStyle w:val="Odstavecseseznamem"/>
        <w:numPr>
          <w:ilvl w:val="0"/>
          <w:numId w:val="16"/>
        </w:numPr>
        <w:shd w:val="clear" w:color="auto" w:fill="FFFFFF" w:themeFill="background1"/>
        <w:spacing w:after="0" w:line="240" w:lineRule="auto"/>
        <w:jc w:val="both"/>
        <w:rPr>
          <w:rFonts w:ascii="Times New Roman" w:hAnsi="Times New Roman" w:cs="Times New Roman"/>
          <w:sz w:val="24"/>
          <w:szCs w:val="24"/>
        </w:rPr>
      </w:pPr>
      <w:r w:rsidRPr="00E842CE">
        <w:rPr>
          <w:rFonts w:ascii="Times New Roman" w:hAnsi="Times New Roman" w:cs="Times New Roman"/>
          <w:sz w:val="24"/>
          <w:szCs w:val="24"/>
        </w:rPr>
        <w:t xml:space="preserve">Opatření 2.1.3 – (kapacita MŠ) </w:t>
      </w:r>
      <w:r w:rsidR="00042ACF" w:rsidRPr="00E842CE">
        <w:rPr>
          <w:rFonts w:ascii="Times New Roman" w:hAnsi="Times New Roman" w:cs="Times New Roman"/>
          <w:sz w:val="24"/>
          <w:szCs w:val="24"/>
        </w:rPr>
        <w:t>–</w:t>
      </w:r>
      <w:r w:rsidRPr="00E842CE">
        <w:rPr>
          <w:rFonts w:ascii="Times New Roman" w:hAnsi="Times New Roman" w:cs="Times New Roman"/>
          <w:sz w:val="24"/>
          <w:szCs w:val="24"/>
        </w:rPr>
        <w:t xml:space="preserve"> </w:t>
      </w:r>
      <w:r w:rsidR="00042ACF" w:rsidRPr="00E842CE">
        <w:rPr>
          <w:rFonts w:ascii="Times New Roman" w:hAnsi="Times New Roman" w:cs="Times New Roman"/>
          <w:sz w:val="24"/>
          <w:szCs w:val="24"/>
        </w:rPr>
        <w:t>alokace opatření je vyčerpána.</w:t>
      </w:r>
    </w:p>
    <w:p w14:paraId="1EA18219" w14:textId="77777777" w:rsidR="003B1532" w:rsidRPr="00042ACF" w:rsidRDefault="003B1532">
      <w:pPr>
        <w:spacing w:after="160" w:line="259" w:lineRule="auto"/>
        <w:rPr>
          <w:rFonts w:ascii="Times New Roman" w:hAnsi="Times New Roman" w:cs="Times New Roman"/>
          <w:sz w:val="24"/>
          <w:szCs w:val="24"/>
        </w:rPr>
      </w:pPr>
      <w:r w:rsidRPr="00042ACF">
        <w:rPr>
          <w:rFonts w:ascii="Times New Roman" w:hAnsi="Times New Roman" w:cs="Times New Roman"/>
          <w:sz w:val="24"/>
          <w:szCs w:val="24"/>
        </w:rPr>
        <w:br w:type="page"/>
      </w:r>
    </w:p>
    <w:p w14:paraId="3508B999" w14:textId="77777777" w:rsidR="003B1532" w:rsidRPr="00E5441F" w:rsidRDefault="00E5441F" w:rsidP="00E5441F">
      <w:pPr>
        <w:shd w:val="clear" w:color="auto" w:fill="D9D9D9" w:themeFill="background1" w:themeFillShade="D9"/>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3)</w:t>
      </w:r>
      <w:r>
        <w:rPr>
          <w:rFonts w:ascii="Times New Roman" w:hAnsi="Times New Roman" w:cs="Times New Roman"/>
          <w:b/>
          <w:bCs/>
          <w:sz w:val="24"/>
          <w:szCs w:val="24"/>
        </w:rPr>
        <w:tab/>
      </w:r>
      <w:r w:rsidR="003B1532" w:rsidRPr="00E5441F">
        <w:rPr>
          <w:rFonts w:ascii="Times New Roman" w:hAnsi="Times New Roman" w:cs="Times New Roman"/>
          <w:b/>
          <w:bCs/>
          <w:sz w:val="24"/>
          <w:szCs w:val="24"/>
        </w:rPr>
        <w:t xml:space="preserve">Informace o přípravě ITI </w:t>
      </w:r>
      <w:r w:rsidR="00C4178E" w:rsidRPr="00E5441F">
        <w:rPr>
          <w:rFonts w:ascii="Times New Roman" w:hAnsi="Times New Roman" w:cs="Times New Roman"/>
          <w:b/>
          <w:bCs/>
          <w:sz w:val="24"/>
          <w:szCs w:val="24"/>
        </w:rPr>
        <w:t>Českobudějovické aglomerace</w:t>
      </w:r>
    </w:p>
    <w:p w14:paraId="2AC4E51F" w14:textId="77777777" w:rsidR="003B1532" w:rsidRDefault="003B1532" w:rsidP="00E5441F">
      <w:pPr>
        <w:pStyle w:val="rtejustify"/>
        <w:spacing w:before="0" w:beforeAutospacing="0" w:after="0" w:afterAutospacing="0"/>
        <w:rPr>
          <w:color w:val="221E1F"/>
        </w:rPr>
      </w:pPr>
      <w:r>
        <w:rPr>
          <w:color w:val="221E1F"/>
        </w:rPr>
        <w:t>V</w:t>
      </w:r>
      <w:r w:rsidRPr="00FE3760">
        <w:rPr>
          <w:color w:val="221E1F"/>
        </w:rPr>
        <w:t xml:space="preserve"> novém programovém období 2021-2027 </w:t>
      </w:r>
      <w:r>
        <w:rPr>
          <w:color w:val="221E1F"/>
        </w:rPr>
        <w:t xml:space="preserve">bude </w:t>
      </w:r>
      <w:r w:rsidRPr="00FE3760">
        <w:rPr>
          <w:color w:val="221E1F"/>
        </w:rPr>
        <w:t xml:space="preserve">využíván územní nástroj „Integrované teritoriální investice Českobudějovické aglomerace" (ITI), který v ČR pomohl nastartovat společné plánování a spolupráci </w:t>
      </w:r>
      <w:r>
        <w:rPr>
          <w:color w:val="221E1F"/>
        </w:rPr>
        <w:t>aglomerací</w:t>
      </w:r>
      <w:r w:rsidRPr="00FE3760">
        <w:rPr>
          <w:color w:val="221E1F"/>
        </w:rPr>
        <w:t xml:space="preserve"> měst a jejich přirozeného zázemí již v tomto programovém období 2014-2020 pod názvem IPRÚ (Integrovaný plán rozvoje území České Budějovice).</w:t>
      </w:r>
      <w:r>
        <w:rPr>
          <w:color w:val="221E1F"/>
        </w:rPr>
        <w:t xml:space="preserve"> Nástroj územní dimenze pod názvem ITI bude realizovat celkem 13 nositelů:</w:t>
      </w:r>
    </w:p>
    <w:p w14:paraId="5E969520" w14:textId="77777777" w:rsidR="003B1532" w:rsidRDefault="003B1532" w:rsidP="00E5441F">
      <w:pPr>
        <w:pStyle w:val="rtejustify"/>
        <w:spacing w:before="0" w:beforeAutospacing="0" w:after="120" w:afterAutospacing="0"/>
        <w:rPr>
          <w:color w:val="221E1F"/>
        </w:rPr>
      </w:pPr>
      <w:r>
        <w:rPr>
          <w:color w:val="221E1F"/>
        </w:rPr>
        <w:t xml:space="preserve">Jedná se celkem o 3 </w:t>
      </w:r>
      <w:r w:rsidR="00C4178E">
        <w:rPr>
          <w:color w:val="221E1F"/>
        </w:rPr>
        <w:t>metropolitní oblasti a 10 aglomerací.</w:t>
      </w:r>
    </w:p>
    <w:p w14:paraId="51E3D5AC" w14:textId="77777777" w:rsidR="00C4178E" w:rsidRDefault="00C4178E" w:rsidP="00E5441F">
      <w:pPr>
        <w:pStyle w:val="rtejustify"/>
        <w:spacing w:before="0" w:beforeAutospacing="0" w:after="0" w:afterAutospacing="0"/>
        <w:rPr>
          <w:color w:val="221E1F"/>
        </w:rPr>
      </w:pPr>
      <w:r>
        <w:rPr>
          <w:color w:val="221E1F"/>
        </w:rPr>
        <w:t>Metropolitní oblasti:</w:t>
      </w:r>
    </w:p>
    <w:p w14:paraId="2C891AA7" w14:textId="77777777" w:rsidR="00C4178E" w:rsidRDefault="003B1532" w:rsidP="00E5441F">
      <w:pPr>
        <w:pStyle w:val="rtejustify"/>
        <w:numPr>
          <w:ilvl w:val="0"/>
          <w:numId w:val="22"/>
        </w:numPr>
        <w:spacing w:before="0" w:beforeAutospacing="0" w:after="0" w:afterAutospacing="0"/>
        <w:ind w:left="0" w:firstLine="0"/>
        <w:rPr>
          <w:color w:val="221E1F"/>
        </w:rPr>
      </w:pPr>
      <w:r w:rsidRPr="00C4178E">
        <w:rPr>
          <w:color w:val="221E1F"/>
        </w:rPr>
        <w:t>Praha</w:t>
      </w:r>
    </w:p>
    <w:p w14:paraId="22D0331D" w14:textId="77777777" w:rsidR="00C4178E" w:rsidRDefault="003B1532" w:rsidP="00E5441F">
      <w:pPr>
        <w:pStyle w:val="rtejustify"/>
        <w:numPr>
          <w:ilvl w:val="0"/>
          <w:numId w:val="22"/>
        </w:numPr>
        <w:spacing w:before="0" w:beforeAutospacing="0" w:after="0" w:afterAutospacing="0"/>
        <w:ind w:left="0" w:firstLine="0"/>
        <w:rPr>
          <w:color w:val="221E1F"/>
        </w:rPr>
      </w:pPr>
      <w:r w:rsidRPr="00C4178E">
        <w:rPr>
          <w:color w:val="221E1F"/>
        </w:rPr>
        <w:t>Brno</w:t>
      </w:r>
    </w:p>
    <w:p w14:paraId="2845AD16" w14:textId="77777777" w:rsidR="00C4178E" w:rsidRDefault="003B1532" w:rsidP="00E5441F">
      <w:pPr>
        <w:pStyle w:val="rtejustify"/>
        <w:numPr>
          <w:ilvl w:val="0"/>
          <w:numId w:val="22"/>
        </w:numPr>
        <w:spacing w:before="0" w:beforeAutospacing="0" w:after="120" w:afterAutospacing="0"/>
        <w:ind w:left="0" w:firstLine="0"/>
        <w:rPr>
          <w:color w:val="221E1F"/>
        </w:rPr>
      </w:pPr>
      <w:r w:rsidRPr="00C4178E">
        <w:rPr>
          <w:color w:val="221E1F"/>
        </w:rPr>
        <w:t>Ostrava</w:t>
      </w:r>
    </w:p>
    <w:p w14:paraId="140DFEC2" w14:textId="77777777" w:rsidR="00C4178E" w:rsidRDefault="00C4178E" w:rsidP="00E5441F">
      <w:pPr>
        <w:pStyle w:val="rtejustify"/>
        <w:spacing w:before="0" w:beforeAutospacing="0" w:after="0" w:afterAutospacing="0"/>
        <w:rPr>
          <w:color w:val="221E1F"/>
        </w:rPr>
      </w:pPr>
      <w:r>
        <w:rPr>
          <w:color w:val="221E1F"/>
        </w:rPr>
        <w:t>Aglomerace:</w:t>
      </w:r>
    </w:p>
    <w:p w14:paraId="77F3232D" w14:textId="77777777" w:rsidR="00C4178E" w:rsidRDefault="003B1532" w:rsidP="00E5441F">
      <w:pPr>
        <w:pStyle w:val="rtejustify"/>
        <w:numPr>
          <w:ilvl w:val="0"/>
          <w:numId w:val="22"/>
        </w:numPr>
        <w:spacing w:before="0" w:beforeAutospacing="0" w:after="0" w:afterAutospacing="0"/>
        <w:ind w:left="0" w:firstLine="0"/>
        <w:rPr>
          <w:color w:val="221E1F"/>
        </w:rPr>
      </w:pPr>
      <w:r w:rsidRPr="00C4178E">
        <w:rPr>
          <w:color w:val="221E1F"/>
        </w:rPr>
        <w:t>Plzeň</w:t>
      </w:r>
    </w:p>
    <w:p w14:paraId="45997939" w14:textId="77777777" w:rsidR="00C4178E" w:rsidRDefault="003B1532" w:rsidP="00E5441F">
      <w:pPr>
        <w:pStyle w:val="rtejustify"/>
        <w:numPr>
          <w:ilvl w:val="0"/>
          <w:numId w:val="22"/>
        </w:numPr>
        <w:spacing w:before="0" w:beforeAutospacing="0" w:after="0" w:afterAutospacing="0"/>
        <w:ind w:left="0" w:firstLine="0"/>
        <w:rPr>
          <w:color w:val="221E1F"/>
        </w:rPr>
      </w:pPr>
      <w:r>
        <w:rPr>
          <w:color w:val="221E1F"/>
        </w:rPr>
        <w:t>Karlovy Vary</w:t>
      </w:r>
    </w:p>
    <w:p w14:paraId="2BCC4D8F" w14:textId="77777777" w:rsidR="00C4178E" w:rsidRDefault="003B1532" w:rsidP="00E5441F">
      <w:pPr>
        <w:pStyle w:val="rtejustify"/>
        <w:numPr>
          <w:ilvl w:val="0"/>
          <w:numId w:val="22"/>
        </w:numPr>
        <w:spacing w:before="0" w:beforeAutospacing="0" w:after="0" w:afterAutospacing="0"/>
        <w:ind w:left="0" w:firstLine="0"/>
        <w:rPr>
          <w:color w:val="221E1F"/>
        </w:rPr>
      </w:pPr>
      <w:r>
        <w:rPr>
          <w:color w:val="221E1F"/>
        </w:rPr>
        <w:t>Ústí nad Labem a Chomutov</w:t>
      </w:r>
    </w:p>
    <w:p w14:paraId="57C83639" w14:textId="77777777" w:rsidR="003B1532" w:rsidRPr="003B1532" w:rsidRDefault="003B1532" w:rsidP="00E5441F">
      <w:pPr>
        <w:pStyle w:val="rtejustify"/>
        <w:numPr>
          <w:ilvl w:val="0"/>
          <w:numId w:val="22"/>
        </w:numPr>
        <w:spacing w:before="0" w:beforeAutospacing="0" w:after="0" w:afterAutospacing="0"/>
        <w:ind w:left="0" w:firstLine="0"/>
        <w:rPr>
          <w:color w:val="221E1F"/>
        </w:rPr>
      </w:pPr>
      <w:r>
        <w:rPr>
          <w:color w:val="221E1F"/>
        </w:rPr>
        <w:t xml:space="preserve">Liberec a Jablonec nad Nisou </w:t>
      </w:r>
    </w:p>
    <w:p w14:paraId="36D5094A" w14:textId="77777777" w:rsidR="003B1532" w:rsidRDefault="003B1532" w:rsidP="00E5441F">
      <w:pPr>
        <w:pStyle w:val="rtejustify"/>
        <w:numPr>
          <w:ilvl w:val="0"/>
          <w:numId w:val="22"/>
        </w:numPr>
        <w:spacing w:before="0" w:beforeAutospacing="0" w:after="0" w:afterAutospacing="0"/>
        <w:ind w:left="0" w:firstLine="0"/>
        <w:rPr>
          <w:color w:val="221E1F"/>
        </w:rPr>
      </w:pPr>
      <w:r>
        <w:rPr>
          <w:color w:val="221E1F"/>
        </w:rPr>
        <w:t>Hradec Králové a Pardubice</w:t>
      </w:r>
    </w:p>
    <w:p w14:paraId="25D23AE5" w14:textId="77777777" w:rsidR="003B1532" w:rsidRDefault="003B1532" w:rsidP="00E5441F">
      <w:pPr>
        <w:pStyle w:val="rtejustify"/>
        <w:numPr>
          <w:ilvl w:val="0"/>
          <w:numId w:val="22"/>
        </w:numPr>
        <w:spacing w:before="0" w:beforeAutospacing="0" w:after="0" w:afterAutospacing="0"/>
        <w:ind w:left="0" w:firstLine="0"/>
        <w:rPr>
          <w:color w:val="221E1F"/>
        </w:rPr>
      </w:pPr>
      <w:r>
        <w:rPr>
          <w:color w:val="221E1F"/>
        </w:rPr>
        <w:t xml:space="preserve">Olomouc </w:t>
      </w:r>
    </w:p>
    <w:p w14:paraId="0D2A22F5" w14:textId="77777777" w:rsidR="003B1532" w:rsidRDefault="003B1532" w:rsidP="00E5441F">
      <w:pPr>
        <w:pStyle w:val="rtejustify"/>
        <w:numPr>
          <w:ilvl w:val="0"/>
          <w:numId w:val="22"/>
        </w:numPr>
        <w:spacing w:before="0" w:beforeAutospacing="0" w:after="0" w:afterAutospacing="0"/>
        <w:ind w:left="0" w:firstLine="0"/>
        <w:rPr>
          <w:color w:val="221E1F"/>
        </w:rPr>
      </w:pPr>
      <w:r>
        <w:rPr>
          <w:color w:val="221E1F"/>
        </w:rPr>
        <w:t xml:space="preserve">Zlín </w:t>
      </w:r>
    </w:p>
    <w:p w14:paraId="248BDA96" w14:textId="77777777" w:rsidR="003B1532" w:rsidRDefault="003B1532" w:rsidP="00E5441F">
      <w:pPr>
        <w:pStyle w:val="rtejustify"/>
        <w:numPr>
          <w:ilvl w:val="0"/>
          <w:numId w:val="22"/>
        </w:numPr>
        <w:spacing w:before="0" w:beforeAutospacing="0" w:after="0" w:afterAutospacing="0"/>
        <w:ind w:left="0" w:firstLine="0"/>
        <w:rPr>
          <w:color w:val="221E1F"/>
        </w:rPr>
      </w:pPr>
      <w:r>
        <w:rPr>
          <w:color w:val="221E1F"/>
        </w:rPr>
        <w:t xml:space="preserve">Jihlava </w:t>
      </w:r>
    </w:p>
    <w:p w14:paraId="244D6E35" w14:textId="77777777" w:rsidR="003B1532" w:rsidRDefault="003B1532" w:rsidP="00E5441F">
      <w:pPr>
        <w:pStyle w:val="rtejustify"/>
        <w:numPr>
          <w:ilvl w:val="0"/>
          <w:numId w:val="22"/>
        </w:numPr>
        <w:spacing w:before="0" w:beforeAutospacing="0" w:after="0" w:afterAutospacing="0"/>
        <w:ind w:left="0" w:firstLine="0"/>
        <w:rPr>
          <w:color w:val="221E1F"/>
        </w:rPr>
      </w:pPr>
      <w:r>
        <w:rPr>
          <w:color w:val="221E1F"/>
        </w:rPr>
        <w:t xml:space="preserve">České Budějovice </w:t>
      </w:r>
    </w:p>
    <w:p w14:paraId="4989A632" w14:textId="77777777" w:rsidR="003B1532" w:rsidRPr="003B1532" w:rsidRDefault="003B1532" w:rsidP="00E5441F">
      <w:pPr>
        <w:pStyle w:val="rtejustify"/>
        <w:numPr>
          <w:ilvl w:val="0"/>
          <w:numId w:val="22"/>
        </w:numPr>
        <w:spacing w:before="0" w:beforeAutospacing="0" w:after="120" w:afterAutospacing="0"/>
        <w:ind w:left="0" w:firstLine="0"/>
        <w:rPr>
          <w:color w:val="221E1F"/>
        </w:rPr>
      </w:pPr>
      <w:r>
        <w:rPr>
          <w:color w:val="221E1F"/>
        </w:rPr>
        <w:t>Mladá Boleslav</w:t>
      </w:r>
    </w:p>
    <w:p w14:paraId="40B995D2" w14:textId="1BBB464D" w:rsidR="00C4178E" w:rsidRPr="00E842CE" w:rsidRDefault="00AD0489" w:rsidP="00E5441F">
      <w:pPr>
        <w:pStyle w:val="rtejustify"/>
        <w:spacing w:before="0" w:beforeAutospacing="0" w:after="120" w:afterAutospacing="0"/>
        <w:rPr>
          <w:b/>
          <w:bCs/>
        </w:rPr>
      </w:pPr>
      <w:r w:rsidRPr="00E842CE">
        <w:rPr>
          <w:b/>
          <w:bCs/>
        </w:rPr>
        <w:t>Územní dimenze v operačních programech.</w:t>
      </w:r>
    </w:p>
    <w:p w14:paraId="7DC7E456" w14:textId="1A7F9328" w:rsidR="00C37576" w:rsidRPr="00E842CE" w:rsidRDefault="00AD0489" w:rsidP="00E5441F">
      <w:pPr>
        <w:pStyle w:val="rtejustify"/>
        <w:spacing w:before="0" w:beforeAutospacing="0" w:after="120" w:afterAutospacing="0"/>
      </w:pPr>
      <w:r w:rsidRPr="00E842CE">
        <w:t xml:space="preserve">Řídící orgány zastávají při jednání s nositeli budoucích strategií ITI rozdílná stanoviska k zapojení nástroje ITI do svých operačních programů. </w:t>
      </w:r>
      <w:r w:rsidR="008840AC" w:rsidRPr="00E842CE">
        <w:t>O</w:t>
      </w:r>
      <w:r w:rsidRPr="00E842CE">
        <w:t xml:space="preserve">bsahem tohoto materiálu </w:t>
      </w:r>
      <w:r w:rsidR="008840AC" w:rsidRPr="00E842CE">
        <w:t xml:space="preserve">je proto také uváděn </w:t>
      </w:r>
      <w:r w:rsidRPr="00E842CE">
        <w:t>přehled operačních programů a specifických cílů, ve kterých řídící orgány umo</w:t>
      </w:r>
      <w:r w:rsidR="00C37576" w:rsidRPr="00E842CE">
        <w:t>žňují realizaci prostřednictvím strategií ITI.</w:t>
      </w:r>
    </w:p>
    <w:p w14:paraId="1982A7BD" w14:textId="77E26BBC" w:rsidR="002B0486" w:rsidRPr="00E842CE" w:rsidRDefault="002B0486" w:rsidP="00E5441F">
      <w:pPr>
        <w:pStyle w:val="rtejustify"/>
        <w:spacing w:before="0" w:beforeAutospacing="0" w:after="120" w:afterAutospacing="0"/>
        <w:rPr>
          <w:b/>
          <w:bCs/>
        </w:rPr>
      </w:pPr>
      <w:r w:rsidRPr="00E842CE">
        <w:rPr>
          <w:b/>
          <w:bCs/>
        </w:rPr>
        <w:t>Integrovaný regionální operační program (IROP)</w:t>
      </w:r>
    </w:p>
    <w:tbl>
      <w:tblPr>
        <w:tblStyle w:val="Mkatabulky"/>
        <w:tblW w:w="0" w:type="auto"/>
        <w:tblLook w:val="04A0" w:firstRow="1" w:lastRow="0" w:firstColumn="1" w:lastColumn="0" w:noHBand="0" w:noVBand="1"/>
      </w:tblPr>
      <w:tblGrid>
        <w:gridCol w:w="9060"/>
      </w:tblGrid>
      <w:tr w:rsidR="00E842CE" w:rsidRPr="00E842CE" w14:paraId="42C066C5" w14:textId="77777777" w:rsidTr="0064696B">
        <w:tc>
          <w:tcPr>
            <w:tcW w:w="9060" w:type="dxa"/>
            <w:shd w:val="clear" w:color="auto" w:fill="D9D9D9" w:themeFill="background1" w:themeFillShade="D9"/>
          </w:tcPr>
          <w:p w14:paraId="540E46D6" w14:textId="54C439D5" w:rsidR="002B0486" w:rsidRPr="00E842CE" w:rsidRDefault="002B0486" w:rsidP="00E5441F">
            <w:pPr>
              <w:pStyle w:val="rtejustify"/>
              <w:spacing w:before="0" w:beforeAutospacing="0" w:after="120" w:afterAutospacing="0"/>
              <w:rPr>
                <w:b/>
                <w:bCs/>
              </w:rPr>
            </w:pPr>
            <w:r w:rsidRPr="00E842CE">
              <w:rPr>
                <w:b/>
                <w:bCs/>
              </w:rPr>
              <w:t>Specifické cíle pro ITI</w:t>
            </w:r>
          </w:p>
        </w:tc>
      </w:tr>
      <w:tr w:rsidR="00E842CE" w:rsidRPr="00E842CE" w14:paraId="2AF645AE" w14:textId="77777777" w:rsidTr="003F11C9">
        <w:tc>
          <w:tcPr>
            <w:tcW w:w="9060" w:type="dxa"/>
          </w:tcPr>
          <w:p w14:paraId="4D1147A4" w14:textId="4AF4C91D" w:rsidR="0064696B" w:rsidRPr="00E842CE" w:rsidRDefault="0064696B" w:rsidP="00E5441F">
            <w:pPr>
              <w:pStyle w:val="rtejustify"/>
              <w:spacing w:before="0" w:beforeAutospacing="0" w:after="120" w:afterAutospacing="0"/>
              <w:rPr>
                <w:b/>
                <w:bCs/>
              </w:rPr>
            </w:pPr>
            <w:bookmarkStart w:id="0" w:name="_Toc49164904"/>
            <w:r w:rsidRPr="00E842CE">
              <w:t>1.1 Využití přínosů digitalizace pro občany, podniky a vlády</w:t>
            </w:r>
            <w:bookmarkEnd w:id="0"/>
          </w:p>
        </w:tc>
      </w:tr>
      <w:tr w:rsidR="00E842CE" w:rsidRPr="00E842CE" w14:paraId="55046194" w14:textId="77777777" w:rsidTr="003F11C9">
        <w:tc>
          <w:tcPr>
            <w:tcW w:w="9060" w:type="dxa"/>
          </w:tcPr>
          <w:p w14:paraId="46520E88" w14:textId="7ABC08CB" w:rsidR="0064696B" w:rsidRPr="00E842CE" w:rsidRDefault="0064696B" w:rsidP="0064696B">
            <w:pPr>
              <w:pStyle w:val="rtejustify"/>
              <w:spacing w:before="0" w:beforeAutospacing="0" w:after="120" w:afterAutospacing="0"/>
              <w:rPr>
                <w:b/>
                <w:bCs/>
              </w:rPr>
            </w:pPr>
            <w:r w:rsidRPr="00E842CE">
              <w:t>2.1 Podpora udržitelné multimodální městské mobility</w:t>
            </w:r>
          </w:p>
        </w:tc>
      </w:tr>
      <w:tr w:rsidR="00E842CE" w:rsidRPr="00E842CE" w14:paraId="18A55609" w14:textId="77777777" w:rsidTr="003F11C9">
        <w:tc>
          <w:tcPr>
            <w:tcW w:w="9060" w:type="dxa"/>
          </w:tcPr>
          <w:p w14:paraId="072B0682" w14:textId="58FCBD36" w:rsidR="0064696B" w:rsidRPr="00E842CE" w:rsidRDefault="0064696B" w:rsidP="0064696B">
            <w:pPr>
              <w:pStyle w:val="rtejustify"/>
              <w:spacing w:before="0" w:beforeAutospacing="0" w:after="120" w:afterAutospacing="0"/>
              <w:rPr>
                <w:b/>
                <w:bCs/>
              </w:rPr>
            </w:pPr>
            <w:r w:rsidRPr="00E842CE">
              <w:t>2.2 Posílení ochrany přírody, biologické rozmanitosti, zelené infrastruktury v městském prostředí a snížení znečištění</w:t>
            </w:r>
          </w:p>
        </w:tc>
      </w:tr>
      <w:tr w:rsidR="00E842CE" w:rsidRPr="00E842CE" w14:paraId="34A8C912" w14:textId="77777777" w:rsidTr="003F11C9">
        <w:tc>
          <w:tcPr>
            <w:tcW w:w="9060" w:type="dxa"/>
          </w:tcPr>
          <w:p w14:paraId="1CEC69EF" w14:textId="7BAD2516" w:rsidR="0064696B" w:rsidRPr="00E842CE" w:rsidRDefault="0064696B" w:rsidP="0064696B">
            <w:pPr>
              <w:pStyle w:val="rtejustify"/>
              <w:spacing w:before="0" w:beforeAutospacing="0" w:after="120" w:afterAutospacing="0"/>
              <w:rPr>
                <w:b/>
                <w:bCs/>
              </w:rPr>
            </w:pPr>
            <w:r w:rsidRPr="00E842CE">
              <w:t>4.1 Zlepšení přístupu k inkluzivním a kvalitním službám v oblasti vzdělávání, odborné přípravy a celoživotního učení pomocí rozvoje infrastruktury</w:t>
            </w:r>
          </w:p>
        </w:tc>
      </w:tr>
      <w:tr w:rsidR="00E842CE" w:rsidRPr="00E842CE" w14:paraId="3E988814" w14:textId="77777777" w:rsidTr="003F11C9">
        <w:tc>
          <w:tcPr>
            <w:tcW w:w="9060" w:type="dxa"/>
          </w:tcPr>
          <w:p w14:paraId="2951B4F9" w14:textId="13B1B841" w:rsidR="0064696B" w:rsidRPr="00E842CE" w:rsidRDefault="0064696B" w:rsidP="0064696B">
            <w:pPr>
              <w:pStyle w:val="rtejustify"/>
              <w:spacing w:before="0" w:beforeAutospacing="0" w:after="120" w:afterAutospacing="0"/>
              <w:rPr>
                <w:b/>
                <w:bCs/>
              </w:rPr>
            </w:pPr>
            <w:r w:rsidRPr="00E842CE">
              <w:t xml:space="preserve">4.2 Posílení sociálně-ekonomické integrace </w:t>
            </w:r>
            <w:proofErr w:type="spellStart"/>
            <w:r w:rsidRPr="00E842CE">
              <w:t>marginalizovaných</w:t>
            </w:r>
            <w:proofErr w:type="spellEnd"/>
            <w:r w:rsidRPr="00E842CE">
              <w:t xml:space="preserve"> komunit, migrantů a znevýhodněných skupin pomocí integrovaných opatření včetně bydlení a sociálních služeb</w:t>
            </w:r>
          </w:p>
        </w:tc>
      </w:tr>
      <w:tr w:rsidR="00E842CE" w:rsidRPr="00E842CE" w14:paraId="05396269" w14:textId="77777777" w:rsidTr="003F11C9">
        <w:tc>
          <w:tcPr>
            <w:tcW w:w="9060" w:type="dxa"/>
          </w:tcPr>
          <w:p w14:paraId="028A0DA0" w14:textId="3689D8DE" w:rsidR="0064696B" w:rsidRPr="00E842CE" w:rsidRDefault="0064696B" w:rsidP="0064696B">
            <w:pPr>
              <w:pStyle w:val="rtejustify"/>
              <w:spacing w:before="0" w:beforeAutospacing="0" w:after="120" w:afterAutospacing="0"/>
              <w:rPr>
                <w:b/>
                <w:bCs/>
              </w:rPr>
            </w:pPr>
            <w:r w:rsidRPr="00E842CE">
              <w:t>4.4 Posílení role kultury a cestovního ruchu v hospodářském rozvoji, sociálním začleňování a v sociálních inovacích</w:t>
            </w:r>
          </w:p>
        </w:tc>
      </w:tr>
      <w:tr w:rsidR="00E842CE" w:rsidRPr="00E842CE" w14:paraId="14ABCD44" w14:textId="77777777" w:rsidTr="0064696B">
        <w:tc>
          <w:tcPr>
            <w:tcW w:w="9060" w:type="dxa"/>
            <w:shd w:val="clear" w:color="auto" w:fill="D9D9D9" w:themeFill="background1" w:themeFillShade="D9"/>
          </w:tcPr>
          <w:p w14:paraId="54E5F318" w14:textId="0C3CFDFF" w:rsidR="0064696B" w:rsidRPr="00E842CE" w:rsidRDefault="0064696B" w:rsidP="0064696B">
            <w:pPr>
              <w:pStyle w:val="rtejustify"/>
              <w:spacing w:before="0" w:beforeAutospacing="0" w:after="120" w:afterAutospacing="0"/>
              <w:rPr>
                <w:b/>
                <w:bCs/>
              </w:rPr>
            </w:pPr>
            <w:r w:rsidRPr="00E842CE">
              <w:rPr>
                <w:b/>
                <w:bCs/>
              </w:rPr>
              <w:t>Specifické cíle mimo ITI</w:t>
            </w:r>
          </w:p>
        </w:tc>
      </w:tr>
      <w:tr w:rsidR="00E842CE" w:rsidRPr="00E842CE" w14:paraId="44DB7705" w14:textId="77777777" w:rsidTr="003F11C9">
        <w:tc>
          <w:tcPr>
            <w:tcW w:w="9060" w:type="dxa"/>
          </w:tcPr>
          <w:p w14:paraId="12BF02CF" w14:textId="121ADDE8" w:rsidR="0064696B" w:rsidRPr="00E842CE" w:rsidRDefault="0064696B" w:rsidP="0064696B">
            <w:pPr>
              <w:pStyle w:val="rtejustify"/>
              <w:spacing w:before="0" w:beforeAutospacing="0" w:after="120" w:afterAutospacing="0"/>
              <w:rPr>
                <w:b/>
                <w:bCs/>
              </w:rPr>
            </w:pPr>
            <w:r w:rsidRPr="00E842CE">
              <w:t>2.3 Podpora přizpůsobení se změnám klimatu, prevence rizik a odolnosti vůči katastrofám</w:t>
            </w:r>
          </w:p>
        </w:tc>
      </w:tr>
      <w:tr w:rsidR="00E842CE" w:rsidRPr="00E842CE" w14:paraId="7FEECCBC" w14:textId="77777777" w:rsidTr="003F11C9">
        <w:tc>
          <w:tcPr>
            <w:tcW w:w="9060" w:type="dxa"/>
          </w:tcPr>
          <w:p w14:paraId="55D24D5D" w14:textId="106FD49F" w:rsidR="0064696B" w:rsidRPr="00E842CE" w:rsidRDefault="0064696B" w:rsidP="0064696B">
            <w:pPr>
              <w:pStyle w:val="rtejustify"/>
              <w:spacing w:before="0" w:beforeAutospacing="0" w:after="120" w:afterAutospacing="0"/>
              <w:rPr>
                <w:b/>
                <w:bCs/>
              </w:rPr>
            </w:pPr>
            <w:r w:rsidRPr="00E842CE">
              <w:lastRenderedPageBreak/>
              <w:t>3.1 Rozvoj udržitelné, inteligentní a intermodální celostátní, regionální a místní mobility, včetně zlepšeného přístupu k TEN-T a přeshraniční mobilitě</w:t>
            </w:r>
          </w:p>
        </w:tc>
      </w:tr>
      <w:tr w:rsidR="00E842CE" w:rsidRPr="00E842CE" w14:paraId="050533F9" w14:textId="77777777" w:rsidTr="003F11C9">
        <w:tc>
          <w:tcPr>
            <w:tcW w:w="9060" w:type="dxa"/>
          </w:tcPr>
          <w:p w14:paraId="0A7D53D1" w14:textId="6731B035" w:rsidR="0064696B" w:rsidRPr="00E842CE" w:rsidRDefault="0064696B" w:rsidP="0064696B">
            <w:pPr>
              <w:pStyle w:val="rtejustify"/>
              <w:spacing w:before="0" w:beforeAutospacing="0" w:after="120" w:afterAutospacing="0"/>
              <w:rPr>
                <w:b/>
                <w:bCs/>
              </w:rPr>
            </w:pPr>
            <w:r w:rsidRPr="00E842CE">
              <w:t>4.3 Zajištění rovného přístupu ke zdravotní péči pomocí rozvoje infrastruktury, včetně primární péče</w:t>
            </w:r>
          </w:p>
        </w:tc>
      </w:tr>
      <w:tr w:rsidR="00E842CE" w:rsidRPr="00E842CE" w14:paraId="33F83618" w14:textId="77777777" w:rsidTr="003F11C9">
        <w:tc>
          <w:tcPr>
            <w:tcW w:w="9060" w:type="dxa"/>
          </w:tcPr>
          <w:p w14:paraId="3E4D3BB4" w14:textId="3045E8ED" w:rsidR="0064696B" w:rsidRPr="00E842CE" w:rsidRDefault="0064696B" w:rsidP="0064696B">
            <w:pPr>
              <w:pStyle w:val="rtejustify"/>
              <w:spacing w:before="0" w:beforeAutospacing="0" w:after="120" w:afterAutospacing="0"/>
              <w:rPr>
                <w:b/>
                <w:bCs/>
              </w:rPr>
            </w:pPr>
            <w:r w:rsidRPr="00E842CE">
              <w:t>5.1 Podpora integrovaného, sociálního, hospodářského a environmentálního rozvoje a kulturního dědictví, cestovního ruchu a bezpečnosti mimo městská území</w:t>
            </w:r>
          </w:p>
        </w:tc>
      </w:tr>
    </w:tbl>
    <w:p w14:paraId="7A84C299" w14:textId="1F645F92" w:rsidR="00AD0489" w:rsidRPr="00E842CE" w:rsidRDefault="00AD0489" w:rsidP="00E5441F">
      <w:pPr>
        <w:pStyle w:val="rtejustify"/>
        <w:spacing w:before="0" w:beforeAutospacing="0" w:after="120" w:afterAutospacing="0"/>
      </w:pPr>
      <w:r w:rsidRPr="00E842CE">
        <w:t xml:space="preserve"> </w:t>
      </w:r>
    </w:p>
    <w:p w14:paraId="3EB2F9E9" w14:textId="4CB5B6ED" w:rsidR="0064696B" w:rsidRPr="00E842CE" w:rsidRDefault="0064696B" w:rsidP="0064696B">
      <w:pPr>
        <w:pStyle w:val="rtejustify"/>
        <w:spacing w:before="0" w:beforeAutospacing="0" w:after="120" w:afterAutospacing="0"/>
        <w:rPr>
          <w:b/>
          <w:bCs/>
        </w:rPr>
      </w:pPr>
      <w:r w:rsidRPr="00E842CE">
        <w:rPr>
          <w:b/>
          <w:bCs/>
        </w:rPr>
        <w:t>Operační program Doprava 2021-2027 (OP D 2021-2027)</w:t>
      </w:r>
    </w:p>
    <w:tbl>
      <w:tblPr>
        <w:tblStyle w:val="Mkatabulky"/>
        <w:tblW w:w="0" w:type="auto"/>
        <w:tblLook w:val="04A0" w:firstRow="1" w:lastRow="0" w:firstColumn="1" w:lastColumn="0" w:noHBand="0" w:noVBand="1"/>
      </w:tblPr>
      <w:tblGrid>
        <w:gridCol w:w="9060"/>
      </w:tblGrid>
      <w:tr w:rsidR="00E842CE" w:rsidRPr="00E842CE" w14:paraId="372E0D3C" w14:textId="77777777" w:rsidTr="003F11C9">
        <w:tc>
          <w:tcPr>
            <w:tcW w:w="9060" w:type="dxa"/>
            <w:shd w:val="clear" w:color="auto" w:fill="D9D9D9" w:themeFill="background1" w:themeFillShade="D9"/>
          </w:tcPr>
          <w:p w14:paraId="732A41DF" w14:textId="77777777" w:rsidR="0064696B" w:rsidRPr="00E842CE" w:rsidRDefault="0064696B" w:rsidP="003F11C9">
            <w:pPr>
              <w:pStyle w:val="rtejustify"/>
              <w:spacing w:before="0" w:beforeAutospacing="0" w:after="120" w:afterAutospacing="0"/>
              <w:rPr>
                <w:b/>
                <w:bCs/>
              </w:rPr>
            </w:pPr>
            <w:r w:rsidRPr="00E842CE">
              <w:rPr>
                <w:b/>
                <w:bCs/>
              </w:rPr>
              <w:t>Specifické cíle pro ITI</w:t>
            </w:r>
          </w:p>
        </w:tc>
      </w:tr>
      <w:tr w:rsidR="00E842CE" w:rsidRPr="00E842CE" w14:paraId="35861179" w14:textId="77777777" w:rsidTr="003F11C9">
        <w:tc>
          <w:tcPr>
            <w:tcW w:w="9060" w:type="dxa"/>
          </w:tcPr>
          <w:p w14:paraId="7CBE8F22" w14:textId="24A78BD7" w:rsidR="0064696B" w:rsidRPr="00E842CE" w:rsidRDefault="002D3AEE" w:rsidP="003F11C9">
            <w:pPr>
              <w:pStyle w:val="rtejustify"/>
              <w:spacing w:before="0" w:beforeAutospacing="0" w:after="120" w:afterAutospacing="0"/>
              <w:rPr>
                <w:b/>
                <w:bCs/>
              </w:rPr>
            </w:pPr>
            <w:r w:rsidRPr="00E842CE">
              <w:t>Rozvoj udržitelné, inteligentní a intermodální celostátní, regionální a místní mobility odolné vůči změnám klimatu, včetně lepšího přístupu k síti TEN-T a přeshraniční mobility</w:t>
            </w:r>
          </w:p>
        </w:tc>
      </w:tr>
      <w:tr w:rsidR="00E842CE" w:rsidRPr="00E842CE" w14:paraId="3F4DE278" w14:textId="77777777" w:rsidTr="003F11C9">
        <w:tc>
          <w:tcPr>
            <w:tcW w:w="9060" w:type="dxa"/>
          </w:tcPr>
          <w:p w14:paraId="73592E30" w14:textId="68DA95C6" w:rsidR="0064696B" w:rsidRPr="00E842CE" w:rsidRDefault="0064696B" w:rsidP="003F11C9">
            <w:pPr>
              <w:pStyle w:val="rtejustify"/>
              <w:spacing w:before="0" w:beforeAutospacing="0" w:after="120" w:afterAutospacing="0"/>
              <w:rPr>
                <w:b/>
                <w:bCs/>
              </w:rPr>
            </w:pPr>
            <w:r w:rsidRPr="00E842CE">
              <w:rPr>
                <w:rFonts w:eastAsia="Calibri"/>
              </w:rPr>
              <w:t>Podpora udržitelné multimodální městské mobility</w:t>
            </w:r>
          </w:p>
        </w:tc>
      </w:tr>
      <w:tr w:rsidR="00E842CE" w:rsidRPr="00E842CE" w14:paraId="42B894A1" w14:textId="77777777" w:rsidTr="003F11C9">
        <w:tc>
          <w:tcPr>
            <w:tcW w:w="9060" w:type="dxa"/>
            <w:shd w:val="clear" w:color="auto" w:fill="D9D9D9" w:themeFill="background1" w:themeFillShade="D9"/>
          </w:tcPr>
          <w:p w14:paraId="12397E8D" w14:textId="77777777" w:rsidR="0064696B" w:rsidRPr="00E842CE" w:rsidRDefault="0064696B" w:rsidP="003F11C9">
            <w:pPr>
              <w:pStyle w:val="rtejustify"/>
              <w:spacing w:before="0" w:beforeAutospacing="0" w:after="120" w:afterAutospacing="0"/>
              <w:rPr>
                <w:b/>
                <w:bCs/>
              </w:rPr>
            </w:pPr>
            <w:r w:rsidRPr="00E842CE">
              <w:rPr>
                <w:b/>
                <w:bCs/>
              </w:rPr>
              <w:t>Specifické cíle mimo ITI</w:t>
            </w:r>
          </w:p>
        </w:tc>
      </w:tr>
      <w:tr w:rsidR="00E842CE" w:rsidRPr="00E842CE" w14:paraId="0941A947" w14:textId="77777777" w:rsidTr="003F11C9">
        <w:tc>
          <w:tcPr>
            <w:tcW w:w="9060" w:type="dxa"/>
          </w:tcPr>
          <w:p w14:paraId="3E2AC12D" w14:textId="0D53B1CC" w:rsidR="0064696B" w:rsidRPr="00E842CE" w:rsidRDefault="0064696B" w:rsidP="003F11C9">
            <w:pPr>
              <w:pStyle w:val="rtejustify"/>
              <w:spacing w:before="0" w:beforeAutospacing="0" w:after="120" w:afterAutospacing="0"/>
              <w:rPr>
                <w:b/>
                <w:bCs/>
              </w:rPr>
            </w:pPr>
            <w:r w:rsidRPr="00E842CE">
              <w:rPr>
                <w:rFonts w:eastAsia="Calibri"/>
              </w:rPr>
              <w:t>Rozvoj udržitelné, inteligentní, bezpečné a intermodální sítě TEN-T odolné vůči změnám klimatu</w:t>
            </w:r>
            <w:r w:rsidRPr="00E842CE">
              <w:t xml:space="preserve"> </w:t>
            </w:r>
          </w:p>
        </w:tc>
      </w:tr>
      <w:tr w:rsidR="00E842CE" w:rsidRPr="00E842CE" w14:paraId="3E447AF2" w14:textId="77777777" w:rsidTr="003F11C9">
        <w:tc>
          <w:tcPr>
            <w:tcW w:w="9060" w:type="dxa"/>
          </w:tcPr>
          <w:p w14:paraId="3707B8AC" w14:textId="0C8C5370" w:rsidR="0064696B" w:rsidRPr="00E842CE" w:rsidRDefault="0064696B" w:rsidP="003F11C9">
            <w:pPr>
              <w:pStyle w:val="rtejustify"/>
              <w:spacing w:before="0" w:beforeAutospacing="0" w:after="120" w:afterAutospacing="0"/>
              <w:rPr>
                <w:b/>
                <w:bCs/>
              </w:rPr>
            </w:pPr>
            <w:r w:rsidRPr="00E842CE">
              <w:t>Rozvoj udržitelné, inteligentní a intermodální celostátní, regionální a místní mobility odolné vůči změnám klimatu, včetně lepšího přístupu k síti TEN-T a přeshraniční mobility</w:t>
            </w:r>
          </w:p>
        </w:tc>
      </w:tr>
    </w:tbl>
    <w:p w14:paraId="68B33988" w14:textId="723788D2" w:rsidR="0064696B" w:rsidRPr="00E842CE" w:rsidRDefault="0064696B" w:rsidP="00E5441F">
      <w:pPr>
        <w:pStyle w:val="rtejustify"/>
        <w:spacing w:before="0" w:beforeAutospacing="0" w:after="120" w:afterAutospacing="0"/>
      </w:pPr>
    </w:p>
    <w:p w14:paraId="104A7602" w14:textId="77777777" w:rsidR="005621F3" w:rsidRPr="00E842CE" w:rsidRDefault="005621F3" w:rsidP="005621F3">
      <w:pPr>
        <w:pStyle w:val="rtejustify"/>
        <w:spacing w:before="0" w:beforeAutospacing="0" w:after="120" w:afterAutospacing="0"/>
        <w:rPr>
          <w:b/>
          <w:bCs/>
        </w:rPr>
      </w:pPr>
      <w:r w:rsidRPr="00E842CE">
        <w:rPr>
          <w:b/>
          <w:bCs/>
        </w:rPr>
        <w:t>Operační program Životní prostředí 2021-2027 (OP ŽP 2021-2027)</w:t>
      </w:r>
    </w:p>
    <w:tbl>
      <w:tblPr>
        <w:tblStyle w:val="Mkatabulky"/>
        <w:tblW w:w="0" w:type="auto"/>
        <w:tblLook w:val="04A0" w:firstRow="1" w:lastRow="0" w:firstColumn="1" w:lastColumn="0" w:noHBand="0" w:noVBand="1"/>
      </w:tblPr>
      <w:tblGrid>
        <w:gridCol w:w="9060"/>
      </w:tblGrid>
      <w:tr w:rsidR="00E842CE" w:rsidRPr="00E842CE" w14:paraId="2CA128B3" w14:textId="77777777" w:rsidTr="003F11C9">
        <w:tc>
          <w:tcPr>
            <w:tcW w:w="9060" w:type="dxa"/>
            <w:shd w:val="clear" w:color="auto" w:fill="D9D9D9" w:themeFill="background1" w:themeFillShade="D9"/>
          </w:tcPr>
          <w:p w14:paraId="139DED31" w14:textId="77777777" w:rsidR="005621F3" w:rsidRPr="00E842CE" w:rsidRDefault="005621F3" w:rsidP="003F11C9">
            <w:pPr>
              <w:pStyle w:val="rtejustify"/>
              <w:spacing w:before="0" w:beforeAutospacing="0" w:after="120" w:afterAutospacing="0"/>
              <w:rPr>
                <w:b/>
                <w:bCs/>
              </w:rPr>
            </w:pPr>
            <w:r w:rsidRPr="00E842CE">
              <w:rPr>
                <w:b/>
                <w:bCs/>
              </w:rPr>
              <w:t>Specifické cíle pro ITI</w:t>
            </w:r>
          </w:p>
        </w:tc>
      </w:tr>
      <w:tr w:rsidR="00E842CE" w:rsidRPr="00E842CE" w14:paraId="3655DB2C" w14:textId="77777777" w:rsidTr="003F11C9">
        <w:tc>
          <w:tcPr>
            <w:tcW w:w="9060" w:type="dxa"/>
          </w:tcPr>
          <w:p w14:paraId="3DA321D6" w14:textId="77777777" w:rsidR="005621F3" w:rsidRPr="00E842CE" w:rsidRDefault="005621F3" w:rsidP="003F11C9">
            <w:pPr>
              <w:pStyle w:val="rtejustify"/>
              <w:spacing w:before="0" w:beforeAutospacing="0" w:after="120" w:afterAutospacing="0"/>
              <w:rPr>
                <w:b/>
                <w:bCs/>
              </w:rPr>
            </w:pPr>
            <w:r w:rsidRPr="00E842CE">
              <w:t>1.1 Podpora opatření v oblasti energetické účinnosti</w:t>
            </w:r>
          </w:p>
        </w:tc>
      </w:tr>
      <w:tr w:rsidR="00E842CE" w:rsidRPr="00E842CE" w14:paraId="40ED206F" w14:textId="77777777" w:rsidTr="003F11C9">
        <w:tc>
          <w:tcPr>
            <w:tcW w:w="9060" w:type="dxa"/>
          </w:tcPr>
          <w:p w14:paraId="16C5E4F4" w14:textId="77777777" w:rsidR="005621F3" w:rsidRPr="00E842CE" w:rsidRDefault="005621F3" w:rsidP="003F11C9">
            <w:pPr>
              <w:pStyle w:val="rtejustify"/>
              <w:spacing w:before="0" w:beforeAutospacing="0" w:after="120" w:afterAutospacing="0"/>
              <w:rPr>
                <w:b/>
                <w:bCs/>
              </w:rPr>
            </w:pPr>
            <w:r w:rsidRPr="00E842CE">
              <w:t>1.2 Podpora energie z obnovitelných zdrojů</w:t>
            </w:r>
          </w:p>
        </w:tc>
      </w:tr>
      <w:tr w:rsidR="00E842CE" w:rsidRPr="00E842CE" w14:paraId="3FB48C4B" w14:textId="77777777" w:rsidTr="003F11C9">
        <w:tc>
          <w:tcPr>
            <w:tcW w:w="9060" w:type="dxa"/>
          </w:tcPr>
          <w:p w14:paraId="64021A37" w14:textId="77777777" w:rsidR="005621F3" w:rsidRPr="00E842CE" w:rsidRDefault="005621F3" w:rsidP="003F11C9">
            <w:pPr>
              <w:pStyle w:val="rtejustify"/>
              <w:spacing w:before="0" w:beforeAutospacing="0" w:after="120" w:afterAutospacing="0"/>
            </w:pPr>
            <w:r w:rsidRPr="00E842CE">
              <w:t>1.3 Podpora přizpůsobení se změnám klimatu, prevence rizik a odolnosti vůči katastrofám</w:t>
            </w:r>
          </w:p>
        </w:tc>
      </w:tr>
      <w:tr w:rsidR="00E842CE" w:rsidRPr="00E842CE" w14:paraId="49167326" w14:textId="77777777" w:rsidTr="003F11C9">
        <w:tc>
          <w:tcPr>
            <w:tcW w:w="9060" w:type="dxa"/>
          </w:tcPr>
          <w:p w14:paraId="0C76EAB2" w14:textId="77777777" w:rsidR="005621F3" w:rsidRPr="00E842CE" w:rsidRDefault="005621F3" w:rsidP="003F11C9">
            <w:pPr>
              <w:pStyle w:val="rtejustify"/>
              <w:spacing w:before="0" w:beforeAutospacing="0" w:after="120" w:afterAutospacing="0"/>
            </w:pPr>
            <w:r w:rsidRPr="00E842CE">
              <w:t>1.5 Podpora přechodu k oběhovému hospodářství</w:t>
            </w:r>
          </w:p>
        </w:tc>
      </w:tr>
      <w:tr w:rsidR="00E842CE" w:rsidRPr="00E842CE" w14:paraId="74281451" w14:textId="77777777" w:rsidTr="003F11C9">
        <w:tc>
          <w:tcPr>
            <w:tcW w:w="9060" w:type="dxa"/>
            <w:shd w:val="clear" w:color="auto" w:fill="D9D9D9" w:themeFill="background1" w:themeFillShade="D9"/>
          </w:tcPr>
          <w:p w14:paraId="7D4C5364" w14:textId="77777777" w:rsidR="005621F3" w:rsidRPr="00E842CE" w:rsidRDefault="005621F3" w:rsidP="003F11C9">
            <w:pPr>
              <w:pStyle w:val="rtejustify"/>
              <w:spacing w:before="0" w:beforeAutospacing="0" w:after="120" w:afterAutospacing="0"/>
              <w:rPr>
                <w:b/>
                <w:bCs/>
              </w:rPr>
            </w:pPr>
            <w:r w:rsidRPr="00E842CE">
              <w:rPr>
                <w:b/>
                <w:bCs/>
              </w:rPr>
              <w:t>Specifické cíle mimo ITI</w:t>
            </w:r>
          </w:p>
        </w:tc>
      </w:tr>
      <w:tr w:rsidR="00E842CE" w:rsidRPr="00E842CE" w14:paraId="6435E2EC" w14:textId="77777777" w:rsidTr="003F11C9">
        <w:tc>
          <w:tcPr>
            <w:tcW w:w="9060" w:type="dxa"/>
          </w:tcPr>
          <w:p w14:paraId="40A06455" w14:textId="77777777" w:rsidR="005621F3" w:rsidRPr="00E842CE" w:rsidRDefault="005621F3" w:rsidP="003F11C9">
            <w:pPr>
              <w:pStyle w:val="rtejustify"/>
              <w:spacing w:before="0" w:beforeAutospacing="0" w:after="120" w:afterAutospacing="0"/>
              <w:rPr>
                <w:b/>
                <w:bCs/>
              </w:rPr>
            </w:pPr>
            <w:r w:rsidRPr="00E842CE">
              <w:t>1.4 Podpora udržitelného hospodaření s vodou</w:t>
            </w:r>
          </w:p>
        </w:tc>
      </w:tr>
      <w:tr w:rsidR="00E842CE" w:rsidRPr="00E842CE" w14:paraId="3D20AAB7" w14:textId="77777777" w:rsidTr="003F11C9">
        <w:tc>
          <w:tcPr>
            <w:tcW w:w="9060" w:type="dxa"/>
          </w:tcPr>
          <w:p w14:paraId="024F73F8" w14:textId="77777777" w:rsidR="005621F3" w:rsidRPr="00E842CE" w:rsidRDefault="005621F3" w:rsidP="003F11C9">
            <w:pPr>
              <w:pStyle w:val="rtejustify"/>
              <w:spacing w:before="0" w:beforeAutospacing="0" w:after="120" w:afterAutospacing="0"/>
              <w:rPr>
                <w:b/>
                <w:bCs/>
              </w:rPr>
            </w:pPr>
            <w:r w:rsidRPr="00E842CE">
              <w:t>1.6 Posílení biologické rozmanitosti, zelené infrastruktury v městském prostředí a snížení znečištění</w:t>
            </w:r>
          </w:p>
        </w:tc>
      </w:tr>
    </w:tbl>
    <w:p w14:paraId="5788E19D" w14:textId="32308AA9" w:rsidR="002D3AEE" w:rsidRPr="00E842CE" w:rsidRDefault="002D3AEE" w:rsidP="00E5441F">
      <w:pPr>
        <w:pStyle w:val="rtejustify"/>
        <w:spacing w:before="0" w:beforeAutospacing="0" w:after="120" w:afterAutospacing="0"/>
      </w:pPr>
    </w:p>
    <w:p w14:paraId="73E945C8" w14:textId="0F36A49F" w:rsidR="005621F3" w:rsidRPr="00E842CE" w:rsidRDefault="005621F3" w:rsidP="005621F3">
      <w:pPr>
        <w:pStyle w:val="rtejustify"/>
        <w:spacing w:before="0" w:beforeAutospacing="0" w:after="120" w:afterAutospacing="0"/>
        <w:rPr>
          <w:b/>
          <w:bCs/>
        </w:rPr>
      </w:pPr>
      <w:r w:rsidRPr="00E842CE">
        <w:rPr>
          <w:b/>
          <w:bCs/>
        </w:rPr>
        <w:t>Operační program Jan Ámos Komenský (OP JAK)</w:t>
      </w:r>
    </w:p>
    <w:tbl>
      <w:tblPr>
        <w:tblStyle w:val="Mkatabulky"/>
        <w:tblW w:w="0" w:type="auto"/>
        <w:tblLook w:val="04A0" w:firstRow="1" w:lastRow="0" w:firstColumn="1" w:lastColumn="0" w:noHBand="0" w:noVBand="1"/>
      </w:tblPr>
      <w:tblGrid>
        <w:gridCol w:w="9060"/>
      </w:tblGrid>
      <w:tr w:rsidR="00E842CE" w:rsidRPr="00E842CE" w14:paraId="0BD25B5D" w14:textId="77777777" w:rsidTr="003F11C9">
        <w:tc>
          <w:tcPr>
            <w:tcW w:w="9060" w:type="dxa"/>
            <w:shd w:val="clear" w:color="auto" w:fill="D9D9D9" w:themeFill="background1" w:themeFillShade="D9"/>
          </w:tcPr>
          <w:p w14:paraId="5726F002" w14:textId="77777777" w:rsidR="005621F3" w:rsidRPr="00E842CE" w:rsidRDefault="005621F3" w:rsidP="003F11C9">
            <w:pPr>
              <w:pStyle w:val="rtejustify"/>
              <w:spacing w:before="0" w:beforeAutospacing="0" w:after="120" w:afterAutospacing="0"/>
              <w:rPr>
                <w:b/>
                <w:bCs/>
              </w:rPr>
            </w:pPr>
            <w:r w:rsidRPr="00E842CE">
              <w:rPr>
                <w:b/>
                <w:bCs/>
              </w:rPr>
              <w:t>Specifické cíle pro ITI</w:t>
            </w:r>
          </w:p>
        </w:tc>
      </w:tr>
      <w:tr w:rsidR="00E842CE" w:rsidRPr="00E842CE" w14:paraId="64AD0AB9" w14:textId="77777777" w:rsidTr="003F11C9">
        <w:tc>
          <w:tcPr>
            <w:tcW w:w="9060" w:type="dxa"/>
          </w:tcPr>
          <w:p w14:paraId="2007C213" w14:textId="235C6562" w:rsidR="005621F3" w:rsidRPr="00E842CE" w:rsidRDefault="005621F3" w:rsidP="003F11C9">
            <w:pPr>
              <w:pStyle w:val="rtejustify"/>
              <w:spacing w:before="0" w:beforeAutospacing="0" w:after="120" w:afterAutospacing="0"/>
            </w:pPr>
            <w:r w:rsidRPr="00E842CE">
              <w:rPr>
                <w:lang w:bidi="cs-CZ"/>
              </w:rPr>
              <w:t>1.1 - Posílení výzkumných a inovačních kapacit a zavádění pokročilých technologií</w:t>
            </w:r>
          </w:p>
        </w:tc>
      </w:tr>
      <w:tr w:rsidR="00E842CE" w:rsidRPr="00E842CE" w14:paraId="3802BE12" w14:textId="77777777" w:rsidTr="003F11C9">
        <w:tc>
          <w:tcPr>
            <w:tcW w:w="9060" w:type="dxa"/>
            <w:shd w:val="clear" w:color="auto" w:fill="D9D9D9" w:themeFill="background1" w:themeFillShade="D9"/>
          </w:tcPr>
          <w:p w14:paraId="3C26CFE8" w14:textId="77777777" w:rsidR="005621F3" w:rsidRPr="00E842CE" w:rsidRDefault="005621F3" w:rsidP="003F11C9">
            <w:pPr>
              <w:pStyle w:val="rtejustify"/>
              <w:spacing w:before="0" w:beforeAutospacing="0" w:after="120" w:afterAutospacing="0"/>
              <w:rPr>
                <w:b/>
                <w:bCs/>
              </w:rPr>
            </w:pPr>
            <w:r w:rsidRPr="00E842CE">
              <w:rPr>
                <w:b/>
                <w:bCs/>
              </w:rPr>
              <w:t>Specifické cíle mimo ITI</w:t>
            </w:r>
          </w:p>
        </w:tc>
      </w:tr>
      <w:tr w:rsidR="00E842CE" w:rsidRPr="00E842CE" w14:paraId="0021AE7C" w14:textId="77777777" w:rsidTr="003F11C9">
        <w:tc>
          <w:tcPr>
            <w:tcW w:w="9060" w:type="dxa"/>
          </w:tcPr>
          <w:p w14:paraId="5C428CD5" w14:textId="44F673F7" w:rsidR="005621F3" w:rsidRPr="00E842CE" w:rsidRDefault="005621F3" w:rsidP="003F11C9">
            <w:pPr>
              <w:pStyle w:val="rtejustify"/>
              <w:spacing w:before="0" w:beforeAutospacing="0" w:after="120" w:afterAutospacing="0"/>
            </w:pPr>
            <w:r w:rsidRPr="00E842CE">
              <w:rPr>
                <w:lang w:bidi="cs-CZ"/>
              </w:rPr>
              <w:t>2.1 Zlepšení přístupu k inkluzivním a kvalitním službám v oblasti vzdělávání, odborné přípravy a celoživotního učení pomocí rozvoje infrastruktury</w:t>
            </w:r>
          </w:p>
        </w:tc>
      </w:tr>
      <w:tr w:rsidR="00E842CE" w:rsidRPr="00E842CE" w14:paraId="63B9B07D" w14:textId="77777777" w:rsidTr="003F11C9">
        <w:tc>
          <w:tcPr>
            <w:tcW w:w="9060" w:type="dxa"/>
          </w:tcPr>
          <w:p w14:paraId="272F7C20" w14:textId="1801D490" w:rsidR="005621F3" w:rsidRPr="00E842CE" w:rsidRDefault="005621F3" w:rsidP="003F11C9">
            <w:pPr>
              <w:pStyle w:val="rtejustify"/>
              <w:spacing w:before="0" w:beforeAutospacing="0" w:after="120" w:afterAutospacing="0"/>
            </w:pPr>
            <w:r w:rsidRPr="00E842CE">
              <w:rPr>
                <w:lang w:bidi="cs-CZ"/>
              </w:rPr>
              <w:t>2.2 Zvýšit kvalitu, účinnost a relevantnost systémů vzdělávání a odborné přípravy na trhu práce, aby se podpořilo získávání klíčových kompetencí včetně digitálních dovedností</w:t>
            </w:r>
          </w:p>
        </w:tc>
      </w:tr>
      <w:tr w:rsidR="00E842CE" w:rsidRPr="00E842CE" w14:paraId="1F96B7A6" w14:textId="77777777" w:rsidTr="003F11C9">
        <w:tc>
          <w:tcPr>
            <w:tcW w:w="9060" w:type="dxa"/>
          </w:tcPr>
          <w:p w14:paraId="206D63B4" w14:textId="74102B2D" w:rsidR="005621F3" w:rsidRPr="00E842CE" w:rsidRDefault="005621F3" w:rsidP="003F11C9">
            <w:pPr>
              <w:pStyle w:val="rtejustify"/>
              <w:spacing w:before="0" w:beforeAutospacing="0" w:after="120" w:afterAutospacing="0"/>
              <w:rPr>
                <w:lang w:bidi="cs-CZ"/>
              </w:rPr>
            </w:pPr>
            <w:r w:rsidRPr="00E842CE">
              <w:rPr>
                <w:lang w:bidi="cs-CZ"/>
              </w:rPr>
              <w:lastRenderedPageBreak/>
              <w:t>2.3 Podporovat rovný přístup ke kvalitnímu a inkluzivnímu vzdělávání a odborné přípravě a jejich úspěšnému ukončení, a to zejména pro znevýhodněné skupiny, od předškolního vzdělávání a péče, přes všeobecné vzdělávání a odborné vzdělávání a přípravu až po terciární úroveň, jakož i vzdělávání a studium dospělých včetně usnadnění vzdělávací mobility pro všechny.</w:t>
            </w:r>
          </w:p>
        </w:tc>
      </w:tr>
      <w:tr w:rsidR="00E842CE" w:rsidRPr="00E842CE" w14:paraId="3BB76DC4" w14:textId="77777777" w:rsidTr="003F11C9">
        <w:tc>
          <w:tcPr>
            <w:tcW w:w="9060" w:type="dxa"/>
          </w:tcPr>
          <w:p w14:paraId="326A8685" w14:textId="06FACB14" w:rsidR="005621F3" w:rsidRPr="00E842CE" w:rsidRDefault="005621F3" w:rsidP="003F11C9">
            <w:pPr>
              <w:pStyle w:val="rtejustify"/>
              <w:spacing w:before="0" w:beforeAutospacing="0" w:after="120" w:afterAutospacing="0"/>
              <w:rPr>
                <w:lang w:bidi="cs-CZ"/>
              </w:rPr>
            </w:pPr>
            <w:r w:rsidRPr="00E842CE">
              <w:rPr>
                <w:lang w:bidi="cs-CZ"/>
              </w:rPr>
              <w:t>2.4 Podporovat celoživotní učení, zejména flexibilní možnosti rozšiřování dovedností a rekvalifikace pro všechny s ohledem na digitální dovednosti, lépe předvídat změny a nové požadavky na dovednosti vycházející z potřeb trhu práce, usnadnit přechody mezi zaměstnáními a podporovat profesní mobilitu.</w:t>
            </w:r>
          </w:p>
        </w:tc>
      </w:tr>
    </w:tbl>
    <w:p w14:paraId="0B444486" w14:textId="5EC661A5" w:rsidR="005621F3" w:rsidRPr="00E842CE" w:rsidRDefault="005621F3" w:rsidP="00E5441F">
      <w:pPr>
        <w:pStyle w:val="rtejustify"/>
        <w:spacing w:before="0" w:beforeAutospacing="0" w:after="120" w:afterAutospacing="0"/>
      </w:pPr>
    </w:p>
    <w:p w14:paraId="15FD646E" w14:textId="3502889C" w:rsidR="003512C5" w:rsidRPr="00E842CE" w:rsidRDefault="005621F3" w:rsidP="005621F3">
      <w:pPr>
        <w:pStyle w:val="rtejustify"/>
        <w:spacing w:before="0" w:beforeAutospacing="0" w:after="120" w:afterAutospacing="0"/>
        <w:rPr>
          <w:b/>
          <w:bCs/>
        </w:rPr>
      </w:pPr>
      <w:r w:rsidRPr="00E842CE">
        <w:rPr>
          <w:b/>
          <w:bCs/>
        </w:rPr>
        <w:t xml:space="preserve">Operační program Technologie a aplikace </w:t>
      </w:r>
      <w:r w:rsidR="003512C5" w:rsidRPr="00E842CE">
        <w:rPr>
          <w:b/>
          <w:bCs/>
        </w:rPr>
        <w:t>pro konkurenceschopnost (</w:t>
      </w:r>
      <w:r w:rsidRPr="00E842CE">
        <w:rPr>
          <w:b/>
          <w:bCs/>
        </w:rPr>
        <w:t>2021-2027</w:t>
      </w:r>
      <w:r w:rsidR="003512C5" w:rsidRPr="00E842CE">
        <w:rPr>
          <w:b/>
          <w:bCs/>
        </w:rPr>
        <w:t>)</w:t>
      </w:r>
    </w:p>
    <w:p w14:paraId="30AE1C2A" w14:textId="32D7A5B8" w:rsidR="005621F3" w:rsidRPr="00E842CE" w:rsidRDefault="005621F3" w:rsidP="005621F3">
      <w:pPr>
        <w:pStyle w:val="rtejustify"/>
        <w:spacing w:before="0" w:beforeAutospacing="0" w:after="120" w:afterAutospacing="0"/>
        <w:rPr>
          <w:b/>
          <w:bCs/>
        </w:rPr>
      </w:pPr>
      <w:r w:rsidRPr="00E842CE">
        <w:rPr>
          <w:b/>
          <w:bCs/>
        </w:rPr>
        <w:t xml:space="preserve">(OP </w:t>
      </w:r>
      <w:r w:rsidR="003512C5" w:rsidRPr="00E842CE">
        <w:rPr>
          <w:b/>
          <w:bCs/>
        </w:rPr>
        <w:t>TAK</w:t>
      </w:r>
      <w:r w:rsidRPr="00E842CE">
        <w:rPr>
          <w:b/>
          <w:bCs/>
        </w:rPr>
        <w:t xml:space="preserve"> 2021-2027)</w:t>
      </w:r>
    </w:p>
    <w:tbl>
      <w:tblPr>
        <w:tblStyle w:val="Mkatabulky"/>
        <w:tblW w:w="0" w:type="auto"/>
        <w:tblLook w:val="04A0" w:firstRow="1" w:lastRow="0" w:firstColumn="1" w:lastColumn="0" w:noHBand="0" w:noVBand="1"/>
      </w:tblPr>
      <w:tblGrid>
        <w:gridCol w:w="9060"/>
      </w:tblGrid>
      <w:tr w:rsidR="00E842CE" w:rsidRPr="00E842CE" w14:paraId="6F1CA6AD" w14:textId="77777777" w:rsidTr="003F11C9">
        <w:tc>
          <w:tcPr>
            <w:tcW w:w="9060" w:type="dxa"/>
            <w:shd w:val="clear" w:color="auto" w:fill="D9D9D9" w:themeFill="background1" w:themeFillShade="D9"/>
          </w:tcPr>
          <w:p w14:paraId="227B4BEE" w14:textId="77777777" w:rsidR="005621F3" w:rsidRPr="00E842CE" w:rsidRDefault="005621F3" w:rsidP="003F11C9">
            <w:pPr>
              <w:pStyle w:val="rtejustify"/>
              <w:spacing w:before="0" w:beforeAutospacing="0" w:after="120" w:afterAutospacing="0"/>
              <w:rPr>
                <w:b/>
                <w:bCs/>
              </w:rPr>
            </w:pPr>
            <w:r w:rsidRPr="00E842CE">
              <w:rPr>
                <w:b/>
                <w:bCs/>
              </w:rPr>
              <w:t>Specifické cíle pro ITI</w:t>
            </w:r>
          </w:p>
        </w:tc>
      </w:tr>
      <w:tr w:rsidR="00E842CE" w:rsidRPr="00E842CE" w14:paraId="79FABB18" w14:textId="77777777" w:rsidTr="003F11C9">
        <w:tc>
          <w:tcPr>
            <w:tcW w:w="9060" w:type="dxa"/>
          </w:tcPr>
          <w:p w14:paraId="3933240C" w14:textId="64EB9E9A" w:rsidR="005621F3" w:rsidRPr="00E842CE" w:rsidRDefault="003633D7" w:rsidP="003F11C9">
            <w:pPr>
              <w:pStyle w:val="rtejustify"/>
              <w:spacing w:before="0" w:beforeAutospacing="0" w:after="120" w:afterAutospacing="0"/>
              <w:rPr>
                <w:bCs/>
              </w:rPr>
            </w:pPr>
            <w:r w:rsidRPr="00E842CE">
              <w:rPr>
                <w:bCs/>
              </w:rPr>
              <w:t>1.1 - Posílení výzkumných a inovačních kapacit a zavádění pokročilých technologií</w:t>
            </w:r>
          </w:p>
        </w:tc>
      </w:tr>
      <w:tr w:rsidR="00E842CE" w:rsidRPr="00E842CE" w14:paraId="4D825CC1" w14:textId="77777777" w:rsidTr="003F11C9">
        <w:tc>
          <w:tcPr>
            <w:tcW w:w="9060" w:type="dxa"/>
          </w:tcPr>
          <w:p w14:paraId="22E886A6" w14:textId="02F6099A" w:rsidR="005621F3" w:rsidRPr="00E842CE" w:rsidRDefault="003633D7" w:rsidP="003F11C9">
            <w:pPr>
              <w:pStyle w:val="rtejustify"/>
              <w:spacing w:before="0" w:beforeAutospacing="0" w:after="120" w:afterAutospacing="0"/>
              <w:rPr>
                <w:bCs/>
              </w:rPr>
            </w:pPr>
            <w:r w:rsidRPr="00E842CE">
              <w:rPr>
                <w:bCs/>
              </w:rPr>
              <w:t>1.2 - Využití přínosů digitalizace pro občany, podniky a vlády</w:t>
            </w:r>
          </w:p>
        </w:tc>
      </w:tr>
      <w:tr w:rsidR="00E842CE" w:rsidRPr="00E842CE" w14:paraId="6AE7C38B" w14:textId="77777777" w:rsidTr="003F11C9">
        <w:tc>
          <w:tcPr>
            <w:tcW w:w="9060" w:type="dxa"/>
          </w:tcPr>
          <w:p w14:paraId="1D2D38C6" w14:textId="7200E188" w:rsidR="005621F3" w:rsidRPr="00E842CE" w:rsidRDefault="003633D7" w:rsidP="003F11C9">
            <w:pPr>
              <w:pStyle w:val="rtejustify"/>
              <w:spacing w:before="0" w:beforeAutospacing="0" w:after="120" w:afterAutospacing="0"/>
              <w:rPr>
                <w:bCs/>
              </w:rPr>
            </w:pPr>
            <w:r w:rsidRPr="00E842CE">
              <w:rPr>
                <w:bCs/>
              </w:rPr>
              <w:t>1.3 – Rozvoj dovedností pro inteligentní specializaci, průmyslovou transformaci a podnikání</w:t>
            </w:r>
          </w:p>
        </w:tc>
      </w:tr>
      <w:tr w:rsidR="00E842CE" w:rsidRPr="00E842CE" w14:paraId="7F5257D0" w14:textId="77777777" w:rsidTr="003F11C9">
        <w:tc>
          <w:tcPr>
            <w:tcW w:w="9060" w:type="dxa"/>
          </w:tcPr>
          <w:p w14:paraId="58458D80" w14:textId="19404139" w:rsidR="005621F3" w:rsidRPr="00E842CE" w:rsidRDefault="003633D7" w:rsidP="003F11C9">
            <w:pPr>
              <w:pStyle w:val="rtejustify"/>
              <w:spacing w:before="0" w:beforeAutospacing="0" w:after="120" w:afterAutospacing="0"/>
              <w:rPr>
                <w:bCs/>
              </w:rPr>
            </w:pPr>
            <w:r w:rsidRPr="00E842CE">
              <w:rPr>
                <w:bCs/>
              </w:rPr>
              <w:t>2.1 - Posílení růstu a konkurenceschopnosti MSP</w:t>
            </w:r>
          </w:p>
        </w:tc>
      </w:tr>
      <w:tr w:rsidR="00E842CE" w:rsidRPr="00E842CE" w14:paraId="490AB7E5" w14:textId="77777777" w:rsidTr="003F11C9">
        <w:tc>
          <w:tcPr>
            <w:tcW w:w="9060" w:type="dxa"/>
          </w:tcPr>
          <w:p w14:paraId="7E6D7ABE" w14:textId="46E4D323" w:rsidR="003633D7" w:rsidRPr="00E842CE" w:rsidRDefault="003633D7" w:rsidP="003F11C9">
            <w:pPr>
              <w:pStyle w:val="rtejustify"/>
              <w:spacing w:before="0" w:beforeAutospacing="0" w:after="120" w:afterAutospacing="0"/>
              <w:rPr>
                <w:bCs/>
              </w:rPr>
            </w:pPr>
            <w:r w:rsidRPr="00E842CE">
              <w:rPr>
                <w:bCs/>
              </w:rPr>
              <w:t>3.1 - Podpora opatření v oblasti energetické účinnosti</w:t>
            </w:r>
          </w:p>
        </w:tc>
      </w:tr>
      <w:tr w:rsidR="00E842CE" w:rsidRPr="00E842CE" w14:paraId="06541950" w14:textId="77777777" w:rsidTr="003F11C9">
        <w:tc>
          <w:tcPr>
            <w:tcW w:w="9060" w:type="dxa"/>
          </w:tcPr>
          <w:p w14:paraId="46AA177E" w14:textId="3C385E77" w:rsidR="003633D7" w:rsidRPr="00E842CE" w:rsidRDefault="003633D7" w:rsidP="003F11C9">
            <w:pPr>
              <w:pStyle w:val="rtejustify"/>
              <w:spacing w:before="0" w:beforeAutospacing="0" w:after="120" w:afterAutospacing="0"/>
              <w:rPr>
                <w:bCs/>
              </w:rPr>
            </w:pPr>
            <w:r w:rsidRPr="00E842CE">
              <w:rPr>
                <w:bCs/>
              </w:rPr>
              <w:t>3.2 - Podpora energie z obnovitelných zdrojů</w:t>
            </w:r>
          </w:p>
        </w:tc>
      </w:tr>
      <w:tr w:rsidR="00E842CE" w:rsidRPr="00E842CE" w14:paraId="1D9E9BF8" w14:textId="77777777" w:rsidTr="003F11C9">
        <w:tc>
          <w:tcPr>
            <w:tcW w:w="9060" w:type="dxa"/>
          </w:tcPr>
          <w:p w14:paraId="54961B35" w14:textId="72760EA2" w:rsidR="003633D7" w:rsidRPr="00E842CE" w:rsidRDefault="003633D7" w:rsidP="003F11C9">
            <w:pPr>
              <w:pStyle w:val="rtejustify"/>
              <w:spacing w:before="0" w:beforeAutospacing="0" w:after="120" w:afterAutospacing="0"/>
              <w:rPr>
                <w:bCs/>
              </w:rPr>
            </w:pPr>
            <w:r w:rsidRPr="00E842CE">
              <w:rPr>
                <w:bCs/>
              </w:rPr>
              <w:t xml:space="preserve">4.1 - Podpora přizpůsobení se změnám klimatu, prevence rizik a odolnosti vůči katastrofám </w:t>
            </w:r>
          </w:p>
        </w:tc>
      </w:tr>
      <w:tr w:rsidR="00E842CE" w:rsidRPr="00E842CE" w14:paraId="387666DA" w14:textId="77777777" w:rsidTr="003F11C9">
        <w:tc>
          <w:tcPr>
            <w:tcW w:w="9060" w:type="dxa"/>
          </w:tcPr>
          <w:p w14:paraId="57C8411A" w14:textId="361C5902" w:rsidR="003633D7" w:rsidRPr="00E842CE" w:rsidRDefault="003633D7" w:rsidP="003F11C9">
            <w:pPr>
              <w:pStyle w:val="rtejustify"/>
              <w:spacing w:before="0" w:beforeAutospacing="0" w:after="120" w:afterAutospacing="0"/>
              <w:rPr>
                <w:bCs/>
              </w:rPr>
            </w:pPr>
            <w:r w:rsidRPr="00E842CE">
              <w:rPr>
                <w:bCs/>
              </w:rPr>
              <w:t>4.2 - Podpora přechodu k oběhovému hospodářství</w:t>
            </w:r>
          </w:p>
        </w:tc>
      </w:tr>
      <w:tr w:rsidR="00E842CE" w:rsidRPr="00E842CE" w14:paraId="24A6C594" w14:textId="77777777" w:rsidTr="003F11C9">
        <w:tc>
          <w:tcPr>
            <w:tcW w:w="9060" w:type="dxa"/>
          </w:tcPr>
          <w:p w14:paraId="2806B6FD" w14:textId="2CF6850D" w:rsidR="003512C5" w:rsidRPr="00E842CE" w:rsidRDefault="003512C5" w:rsidP="003F11C9">
            <w:pPr>
              <w:pStyle w:val="rtejustify"/>
              <w:spacing w:before="0" w:beforeAutospacing="0" w:after="120" w:afterAutospacing="0"/>
              <w:rPr>
                <w:bCs/>
              </w:rPr>
            </w:pPr>
            <w:r w:rsidRPr="00E842CE">
              <w:rPr>
                <w:bCs/>
              </w:rPr>
              <w:t>5.1 - Zvýšení digitálního propojení</w:t>
            </w:r>
          </w:p>
        </w:tc>
      </w:tr>
      <w:tr w:rsidR="00E842CE" w:rsidRPr="00E842CE" w14:paraId="35142C88" w14:textId="77777777" w:rsidTr="003F11C9">
        <w:tc>
          <w:tcPr>
            <w:tcW w:w="9060" w:type="dxa"/>
            <w:shd w:val="clear" w:color="auto" w:fill="D9D9D9" w:themeFill="background1" w:themeFillShade="D9"/>
          </w:tcPr>
          <w:p w14:paraId="14FFD17C" w14:textId="77777777" w:rsidR="005621F3" w:rsidRPr="00E842CE" w:rsidRDefault="005621F3" w:rsidP="003F11C9">
            <w:pPr>
              <w:pStyle w:val="rtejustify"/>
              <w:spacing w:before="0" w:beforeAutospacing="0" w:after="120" w:afterAutospacing="0"/>
              <w:rPr>
                <w:b/>
              </w:rPr>
            </w:pPr>
            <w:r w:rsidRPr="00E842CE">
              <w:rPr>
                <w:b/>
              </w:rPr>
              <w:t>Specifické cíle mimo ITI</w:t>
            </w:r>
          </w:p>
        </w:tc>
      </w:tr>
      <w:tr w:rsidR="00E842CE" w:rsidRPr="00E842CE" w14:paraId="4A2EDE34" w14:textId="77777777" w:rsidTr="003F11C9">
        <w:tc>
          <w:tcPr>
            <w:tcW w:w="9060" w:type="dxa"/>
          </w:tcPr>
          <w:p w14:paraId="61FD36DE" w14:textId="06CF5B43" w:rsidR="005621F3" w:rsidRPr="00E842CE" w:rsidRDefault="003633D7" w:rsidP="003F11C9">
            <w:pPr>
              <w:pStyle w:val="rtejustify"/>
              <w:spacing w:before="0" w:beforeAutospacing="0" w:after="120" w:afterAutospacing="0"/>
              <w:rPr>
                <w:bCs/>
              </w:rPr>
            </w:pPr>
            <w:r w:rsidRPr="00E842CE">
              <w:rPr>
                <w:bCs/>
              </w:rPr>
              <w:t>3.3 - Rozvoj inteligentních energetických systémů, sítí a skladování na místní úrovni</w:t>
            </w:r>
          </w:p>
        </w:tc>
      </w:tr>
      <w:tr w:rsidR="00E842CE" w:rsidRPr="00E842CE" w14:paraId="7FB7F6D0" w14:textId="77777777" w:rsidTr="003F11C9">
        <w:tc>
          <w:tcPr>
            <w:tcW w:w="9060" w:type="dxa"/>
          </w:tcPr>
          <w:p w14:paraId="030F5EE4" w14:textId="52080A01" w:rsidR="005621F3" w:rsidRPr="00E842CE" w:rsidRDefault="003633D7" w:rsidP="003F11C9">
            <w:pPr>
              <w:pStyle w:val="rtejustify"/>
              <w:spacing w:before="0" w:beforeAutospacing="0" w:after="120" w:afterAutospacing="0"/>
              <w:rPr>
                <w:bCs/>
              </w:rPr>
            </w:pPr>
            <w:r w:rsidRPr="00E842CE">
              <w:rPr>
                <w:bCs/>
              </w:rPr>
              <w:t>3.4 - Posílení biologické rozmanitosti, zelené infrastruktury v městském prostředí a snížení znečištění</w:t>
            </w:r>
          </w:p>
        </w:tc>
      </w:tr>
    </w:tbl>
    <w:p w14:paraId="7B9CCCE1" w14:textId="3D3F8870" w:rsidR="005621F3" w:rsidRPr="00E842CE" w:rsidRDefault="005621F3" w:rsidP="00E5441F">
      <w:pPr>
        <w:pStyle w:val="rtejustify"/>
        <w:spacing w:before="0" w:beforeAutospacing="0" w:after="120" w:afterAutospacing="0"/>
      </w:pPr>
    </w:p>
    <w:p w14:paraId="5B3F2CFE" w14:textId="51DF7080" w:rsidR="003512C5" w:rsidRPr="00E842CE" w:rsidRDefault="003512C5" w:rsidP="003512C5">
      <w:pPr>
        <w:pStyle w:val="rtejustify"/>
        <w:spacing w:before="0" w:beforeAutospacing="0" w:after="120" w:afterAutospacing="0"/>
        <w:rPr>
          <w:b/>
          <w:bCs/>
        </w:rPr>
      </w:pPr>
      <w:r w:rsidRPr="00E842CE">
        <w:rPr>
          <w:b/>
          <w:bCs/>
        </w:rPr>
        <w:t>Operační program Zaměstnanost plus 2021-2027</w:t>
      </w:r>
    </w:p>
    <w:p w14:paraId="21ADFE77" w14:textId="38C3D4D9" w:rsidR="003512C5" w:rsidRPr="00E842CE" w:rsidRDefault="003512C5" w:rsidP="003512C5">
      <w:pPr>
        <w:pStyle w:val="rtejustify"/>
        <w:spacing w:before="0" w:beforeAutospacing="0" w:after="120" w:afterAutospacing="0"/>
        <w:rPr>
          <w:b/>
          <w:bCs/>
        </w:rPr>
      </w:pPr>
      <w:r w:rsidRPr="00E842CE">
        <w:rPr>
          <w:b/>
          <w:bCs/>
        </w:rPr>
        <w:t>(OP Z plus 2021-2027)</w:t>
      </w:r>
    </w:p>
    <w:p w14:paraId="4BC95436" w14:textId="276733B4" w:rsidR="003512C5" w:rsidRPr="00E842CE" w:rsidRDefault="008A4D2B" w:rsidP="003512C5">
      <w:pPr>
        <w:pStyle w:val="rtejustify"/>
        <w:spacing w:before="0" w:beforeAutospacing="0" w:after="120" w:afterAutospacing="0"/>
      </w:pPr>
      <w:r w:rsidRPr="00E842CE">
        <w:t>Pro</w:t>
      </w:r>
      <w:r w:rsidR="003512C5" w:rsidRPr="00E842CE">
        <w:t xml:space="preserve"> OP Z plus 2021-2027 je uveden přehled specifických cílů. Řídící orgán dosud nedeklaroval jasné stanovisko k územní dimenzi ITI, takže nelze uvést relevantní určení dimenze ITI v tomto operačním programu.</w:t>
      </w:r>
    </w:p>
    <w:tbl>
      <w:tblPr>
        <w:tblStyle w:val="Mkatabulky"/>
        <w:tblW w:w="0" w:type="auto"/>
        <w:tblLook w:val="04A0" w:firstRow="1" w:lastRow="0" w:firstColumn="1" w:lastColumn="0" w:noHBand="0" w:noVBand="1"/>
      </w:tblPr>
      <w:tblGrid>
        <w:gridCol w:w="9060"/>
      </w:tblGrid>
      <w:tr w:rsidR="00E842CE" w:rsidRPr="00E842CE" w14:paraId="6A49111B" w14:textId="77777777" w:rsidTr="003F11C9">
        <w:tc>
          <w:tcPr>
            <w:tcW w:w="9060" w:type="dxa"/>
            <w:shd w:val="clear" w:color="auto" w:fill="D9D9D9" w:themeFill="background1" w:themeFillShade="D9"/>
          </w:tcPr>
          <w:p w14:paraId="2B07EE2D" w14:textId="37A55366" w:rsidR="003512C5" w:rsidRPr="00E842CE" w:rsidRDefault="003512C5" w:rsidP="003F11C9">
            <w:pPr>
              <w:pStyle w:val="rtejustify"/>
              <w:spacing w:before="0" w:beforeAutospacing="0" w:after="120" w:afterAutospacing="0"/>
              <w:rPr>
                <w:b/>
                <w:bCs/>
              </w:rPr>
            </w:pPr>
            <w:r w:rsidRPr="00E842CE">
              <w:rPr>
                <w:b/>
                <w:bCs/>
              </w:rPr>
              <w:t xml:space="preserve">Specifické cíle </w:t>
            </w:r>
          </w:p>
        </w:tc>
      </w:tr>
      <w:tr w:rsidR="00E842CE" w:rsidRPr="00E842CE" w14:paraId="0B34424D" w14:textId="77777777" w:rsidTr="003F11C9">
        <w:tc>
          <w:tcPr>
            <w:tcW w:w="9060" w:type="dxa"/>
          </w:tcPr>
          <w:p w14:paraId="10223412" w14:textId="2FD2F43B" w:rsidR="003512C5" w:rsidRPr="00E842CE" w:rsidRDefault="003512C5" w:rsidP="003F11C9">
            <w:pPr>
              <w:pStyle w:val="rtejustify"/>
              <w:spacing w:before="0" w:beforeAutospacing="0" w:after="120" w:afterAutospacing="0"/>
              <w:rPr>
                <w:bCs/>
              </w:rPr>
            </w:pPr>
            <w:r w:rsidRPr="00E842CE">
              <w:t>1.1: i) zlepšit přístup k zaměstnání pro všechny uchazeče o zaměstnání, zejména mladé lidi a dlouhodobě nezaměstnané a znevýhodněné skupiny na trhu práce a neaktivní osoby, podporovat samostatně výdělečné činnosti a sociální ekonomiku</w:t>
            </w:r>
          </w:p>
        </w:tc>
      </w:tr>
      <w:tr w:rsidR="00E842CE" w:rsidRPr="00E842CE" w14:paraId="2B2F0347" w14:textId="77777777" w:rsidTr="003F11C9">
        <w:tc>
          <w:tcPr>
            <w:tcW w:w="9060" w:type="dxa"/>
          </w:tcPr>
          <w:p w14:paraId="6EE03A71" w14:textId="7477EF12" w:rsidR="003512C5" w:rsidRPr="00E842CE" w:rsidRDefault="003512C5" w:rsidP="003F11C9">
            <w:pPr>
              <w:pStyle w:val="rtejustify"/>
              <w:spacing w:before="0" w:beforeAutospacing="0" w:after="120" w:afterAutospacing="0"/>
              <w:rPr>
                <w:bCs/>
              </w:rPr>
            </w:pPr>
            <w:r w:rsidRPr="00E842CE">
              <w:t xml:space="preserve">1.2: </w:t>
            </w:r>
            <w:proofErr w:type="spellStart"/>
            <w:r w:rsidRPr="00E842CE">
              <w:t>ii</w:t>
            </w:r>
            <w:proofErr w:type="spellEnd"/>
            <w:r w:rsidRPr="00E842CE">
              <w:t xml:space="preserve">) modernizovat instituce a služby trhu práce s cílem posoudit a předvídat potřeby dovedností a zajistit včasnou, individuálně uzpůsobenou pomoc i podporu při vytváření </w:t>
            </w:r>
            <w:r w:rsidRPr="00E842CE">
              <w:lastRenderedPageBreak/>
              <w:t>souladu mezi nabídkou a poptávkou na trhu práce, jakož i během přechodů mezi zaměstnáními a během mobility</w:t>
            </w:r>
          </w:p>
        </w:tc>
      </w:tr>
      <w:tr w:rsidR="00E842CE" w:rsidRPr="00E842CE" w14:paraId="479B70B3" w14:textId="77777777" w:rsidTr="003F11C9">
        <w:tc>
          <w:tcPr>
            <w:tcW w:w="9060" w:type="dxa"/>
          </w:tcPr>
          <w:p w14:paraId="459D88F1" w14:textId="60A0C0A2" w:rsidR="003512C5" w:rsidRPr="00E842CE" w:rsidRDefault="003512C5" w:rsidP="003F11C9">
            <w:pPr>
              <w:pStyle w:val="rtejustify"/>
              <w:spacing w:before="0" w:beforeAutospacing="0" w:after="120" w:afterAutospacing="0"/>
              <w:rPr>
                <w:bCs/>
              </w:rPr>
            </w:pPr>
            <w:r w:rsidRPr="00E842CE">
              <w:lastRenderedPageBreak/>
              <w:t xml:space="preserve">1.3: </w:t>
            </w:r>
            <w:proofErr w:type="spellStart"/>
            <w:r w:rsidRPr="00E842CE">
              <w:t>iii</w:t>
            </w:r>
            <w:proofErr w:type="spellEnd"/>
            <w:r w:rsidRPr="00E842CE">
              <w:t>) prosazovat rovnováhu mezi muži a ženami na trhu práce, lepší rovnováhu mezi prací a osobním životem – včetně přístupu k péči o děti a péči o závislé osoby</w:t>
            </w:r>
          </w:p>
        </w:tc>
      </w:tr>
      <w:tr w:rsidR="00E842CE" w:rsidRPr="00E842CE" w14:paraId="6564D321" w14:textId="77777777" w:rsidTr="003F11C9">
        <w:tc>
          <w:tcPr>
            <w:tcW w:w="9060" w:type="dxa"/>
          </w:tcPr>
          <w:p w14:paraId="313F5320" w14:textId="75A6D085" w:rsidR="003512C5" w:rsidRPr="00E842CE" w:rsidRDefault="003512C5" w:rsidP="003F11C9">
            <w:pPr>
              <w:pStyle w:val="rtejustify"/>
              <w:spacing w:before="0" w:beforeAutospacing="0" w:after="120" w:afterAutospacing="0"/>
              <w:rPr>
                <w:bCs/>
              </w:rPr>
            </w:pPr>
            <w:r w:rsidRPr="00E842CE">
              <w:t xml:space="preserve">1.4: </w:t>
            </w:r>
            <w:proofErr w:type="spellStart"/>
            <w:r w:rsidRPr="00E842CE">
              <w:t>iii</w:t>
            </w:r>
            <w:proofErr w:type="spellEnd"/>
            <w:r w:rsidRPr="00E842CE">
              <w:t xml:space="preserve"> bis) prosazovat přizpůsobení pracovníků, podniků a podnikatelů změnám, aktivní a zdravé stárnutí a zdravé a přiměřené pracovní prostředí s ohledem na zdravotní rizika</w:t>
            </w:r>
          </w:p>
        </w:tc>
      </w:tr>
      <w:tr w:rsidR="00E842CE" w:rsidRPr="00E842CE" w14:paraId="1330C194" w14:textId="77777777" w:rsidTr="003F11C9">
        <w:tc>
          <w:tcPr>
            <w:tcW w:w="9060" w:type="dxa"/>
          </w:tcPr>
          <w:p w14:paraId="68049764" w14:textId="57B4A94A" w:rsidR="003512C5" w:rsidRPr="00E842CE" w:rsidRDefault="008A4D2B" w:rsidP="003F11C9">
            <w:pPr>
              <w:pStyle w:val="rtejustify"/>
              <w:spacing w:before="0" w:beforeAutospacing="0" w:after="120" w:afterAutospacing="0"/>
              <w:rPr>
                <w:bCs/>
              </w:rPr>
            </w:pPr>
            <w:r w:rsidRPr="00E842CE">
              <w:t xml:space="preserve">2.1: </w:t>
            </w:r>
            <w:proofErr w:type="spellStart"/>
            <w:r w:rsidRPr="00E842CE">
              <w:t>vii</w:t>
            </w:r>
            <w:proofErr w:type="spellEnd"/>
            <w:r w:rsidRPr="00E842CE">
              <w:t>) posílit aktivní začleňování občanů, a podpořit tak jejich rovné příležitosti a aktivní účast a nabídnout jim lepší zaměstnatelnost</w:t>
            </w:r>
          </w:p>
        </w:tc>
      </w:tr>
      <w:tr w:rsidR="00E842CE" w:rsidRPr="00E842CE" w14:paraId="362DFCB1" w14:textId="77777777" w:rsidTr="003F11C9">
        <w:tc>
          <w:tcPr>
            <w:tcW w:w="9060" w:type="dxa"/>
          </w:tcPr>
          <w:p w14:paraId="507F13F8" w14:textId="29DB57C0" w:rsidR="003512C5" w:rsidRPr="00E842CE" w:rsidRDefault="008A4D2B" w:rsidP="003F11C9">
            <w:pPr>
              <w:pStyle w:val="rtejustify"/>
              <w:spacing w:before="0" w:beforeAutospacing="0" w:after="120" w:afterAutospacing="0"/>
              <w:rPr>
                <w:bCs/>
              </w:rPr>
            </w:pPr>
            <w:r w:rsidRPr="00E842CE">
              <w:t xml:space="preserve">2.2: </w:t>
            </w:r>
            <w:proofErr w:type="spellStart"/>
            <w:r w:rsidRPr="00E842CE">
              <w:t>ix</w:t>
            </w:r>
            <w:proofErr w:type="spellEnd"/>
            <w:r w:rsidRPr="00E842CE">
              <w:t>) zvyšovat rovný a včasný přístup ke kvalitním, udržitelným a cenově dostupným službám; modernizovat systémy sociální ochrany včetně podpory přístupu k sociální ochraně; zlepšit dostupnost, účinnost a odolnost systémů zdravotní péče a služeb dlouhodobé zdravotní péče</w:t>
            </w:r>
          </w:p>
        </w:tc>
      </w:tr>
      <w:tr w:rsidR="00E842CE" w:rsidRPr="00E842CE" w14:paraId="50D57D9D" w14:textId="77777777" w:rsidTr="003F11C9">
        <w:tc>
          <w:tcPr>
            <w:tcW w:w="9060" w:type="dxa"/>
          </w:tcPr>
          <w:p w14:paraId="1D43E5D9" w14:textId="58B038EC" w:rsidR="003512C5" w:rsidRPr="00E842CE" w:rsidRDefault="008A4D2B" w:rsidP="003F11C9">
            <w:pPr>
              <w:pStyle w:val="rtejustify"/>
              <w:spacing w:before="0" w:beforeAutospacing="0" w:after="120" w:afterAutospacing="0"/>
              <w:rPr>
                <w:bCs/>
              </w:rPr>
            </w:pPr>
            <w:r w:rsidRPr="00E842CE">
              <w:t xml:space="preserve">3.1: </w:t>
            </w:r>
            <w:proofErr w:type="spellStart"/>
            <w:r w:rsidRPr="00E842CE">
              <w:t>vii</w:t>
            </w:r>
            <w:proofErr w:type="spellEnd"/>
            <w:r w:rsidRPr="00E842CE">
              <w:t>) posílit aktivní začleňování občanů, a podpořit tak jejich rovné příležitosti a aktivní účast a nabídnout jim lepší zaměstnatelnost</w:t>
            </w:r>
          </w:p>
        </w:tc>
      </w:tr>
      <w:tr w:rsidR="00E842CE" w:rsidRPr="00E842CE" w14:paraId="359EA746" w14:textId="77777777" w:rsidTr="003F11C9">
        <w:tc>
          <w:tcPr>
            <w:tcW w:w="9060" w:type="dxa"/>
          </w:tcPr>
          <w:p w14:paraId="2940CA53" w14:textId="4E7BA228" w:rsidR="003512C5" w:rsidRPr="00E842CE" w:rsidRDefault="008A4D2B" w:rsidP="003F11C9">
            <w:pPr>
              <w:pStyle w:val="rtejustify"/>
              <w:spacing w:before="0" w:beforeAutospacing="0" w:after="120" w:afterAutospacing="0"/>
              <w:rPr>
                <w:bCs/>
              </w:rPr>
            </w:pPr>
            <w:r w:rsidRPr="00E842CE">
              <w:t xml:space="preserve">4.1: </w:t>
            </w:r>
            <w:proofErr w:type="spellStart"/>
            <w:r w:rsidRPr="00E842CE">
              <w:t>xi</w:t>
            </w:r>
            <w:proofErr w:type="spellEnd"/>
            <w:r w:rsidRPr="00E842CE">
              <w:t>) řešit materiální deprivaci poskytnutím potravinové a/nebo základní materiální pomoci nejchudším osobám, včetně doprovodných opatření.</w:t>
            </w:r>
          </w:p>
        </w:tc>
      </w:tr>
    </w:tbl>
    <w:p w14:paraId="4961FA44" w14:textId="77777777" w:rsidR="003512C5" w:rsidRDefault="003512C5" w:rsidP="00E5441F">
      <w:pPr>
        <w:pStyle w:val="rtejustify"/>
        <w:spacing w:before="0" w:beforeAutospacing="0" w:after="120" w:afterAutospacing="0"/>
        <w:rPr>
          <w:color w:val="221E1F"/>
        </w:rPr>
      </w:pPr>
    </w:p>
    <w:p w14:paraId="2AB561F9" w14:textId="77777777" w:rsidR="00C4178E" w:rsidRPr="00FE3760" w:rsidRDefault="00C4178E" w:rsidP="00E5441F">
      <w:pPr>
        <w:pStyle w:val="Normlnweb"/>
        <w:spacing w:before="0" w:beforeAutospacing="0" w:after="120" w:afterAutospacing="0"/>
        <w:jc w:val="both"/>
        <w:rPr>
          <w:color w:val="221E1F"/>
        </w:rPr>
      </w:pPr>
      <w:r w:rsidRPr="00FE3760">
        <w:rPr>
          <w:rStyle w:val="Siln"/>
          <w:color w:val="221E1F"/>
        </w:rPr>
        <w:t>Vymezení území ITI Českobudějovické aglomerace.</w:t>
      </w:r>
    </w:p>
    <w:p w14:paraId="0B7C4847" w14:textId="0EAA7D69" w:rsidR="00C4178E" w:rsidRPr="008A4D2B" w:rsidRDefault="00C4178E" w:rsidP="00E5441F">
      <w:pPr>
        <w:pStyle w:val="Normlnweb"/>
        <w:spacing w:before="0" w:beforeAutospacing="0" w:after="0" w:afterAutospacing="0"/>
        <w:jc w:val="both"/>
        <w:rPr>
          <w:b/>
          <w:bCs/>
          <w:color w:val="0070C0"/>
        </w:rPr>
      </w:pPr>
      <w:r w:rsidRPr="00FE3760">
        <w:rPr>
          <w:color w:val="221E1F"/>
        </w:rPr>
        <w:t xml:space="preserve">Vymezení území, jako základní předpoklad pro zahájení přípravy strategie ITI, bylo definitivně nastaveno </w:t>
      </w:r>
      <w:r>
        <w:rPr>
          <w:color w:val="221E1F"/>
        </w:rPr>
        <w:t xml:space="preserve">Ministerstvem pro místní rozvoj ČR (dále jen MMR) </w:t>
      </w:r>
      <w:r w:rsidRPr="00FE3760">
        <w:rPr>
          <w:color w:val="221E1F"/>
        </w:rPr>
        <w:t xml:space="preserve">v únoru 2020. Na rozdíl od současného programového období </w:t>
      </w:r>
      <w:proofErr w:type="gramStart"/>
      <w:r w:rsidRPr="00FE3760">
        <w:rPr>
          <w:color w:val="221E1F"/>
        </w:rPr>
        <w:t>2014 - 2020</w:t>
      </w:r>
      <w:proofErr w:type="gramEnd"/>
      <w:r w:rsidRPr="00FE3760">
        <w:rPr>
          <w:color w:val="221E1F"/>
        </w:rPr>
        <w:t>, kdy rozsah území IPRÚ vygenerovala analýza strategického dokumentu Strategie IPRÚ, rozhodlo MMR, že území jednotlivých aglomerací budou nastavena ze strany MMR. Vymezení území pro všech 13 aglomerací ITI provedl na základě veřejné zakázky odborný tým složený z Přírodovědecké fakulty Univerzity Karlovy a Urbánní a regionální laboratoře. Příprava vymezení území proběhla od ledna 2019 do února 2020.</w:t>
      </w:r>
      <w:r w:rsidR="000E3734">
        <w:rPr>
          <w:color w:val="221E1F"/>
        </w:rPr>
        <w:t xml:space="preserve"> </w:t>
      </w:r>
      <w:r w:rsidR="000E3734" w:rsidRPr="000E3734">
        <w:rPr>
          <w:rStyle w:val="Siln"/>
          <w:b w:val="0"/>
          <w:bCs w:val="0"/>
          <w:color w:val="221E1F"/>
        </w:rPr>
        <w:t>Ú</w:t>
      </w:r>
      <w:r w:rsidRPr="000E3734">
        <w:rPr>
          <w:rStyle w:val="Siln"/>
          <w:b w:val="0"/>
          <w:bCs w:val="0"/>
          <w:color w:val="221E1F"/>
        </w:rPr>
        <w:t>zemí ITI Českobudějovické aglomerace zahrnuje celkem 81 obcí a </w:t>
      </w:r>
      <w:r w:rsidR="008A4D2B">
        <w:rPr>
          <w:rStyle w:val="Siln"/>
          <w:b w:val="0"/>
          <w:bCs w:val="0"/>
          <w:color w:val="221E1F"/>
        </w:rPr>
        <w:t xml:space="preserve">mapa území je </w:t>
      </w:r>
      <w:r w:rsidR="008A4D2B" w:rsidRPr="00D355AD">
        <w:rPr>
          <w:rStyle w:val="Siln"/>
          <w:b w:val="0"/>
          <w:bCs w:val="0"/>
        </w:rPr>
        <w:t xml:space="preserve">umístěna na webu města v sekci </w:t>
      </w:r>
      <w:r w:rsidR="008A4D2B" w:rsidRPr="00D355AD">
        <w:rPr>
          <w:rStyle w:val="Siln"/>
          <w:b w:val="0"/>
          <w:bCs w:val="0"/>
          <w:i/>
          <w:iCs/>
        </w:rPr>
        <w:t xml:space="preserve">Rozvoj města, </w:t>
      </w:r>
      <w:proofErr w:type="gramStart"/>
      <w:r w:rsidR="008A4D2B" w:rsidRPr="00D355AD">
        <w:rPr>
          <w:rStyle w:val="Siln"/>
          <w:b w:val="0"/>
          <w:bCs w:val="0"/>
          <w:i/>
          <w:iCs/>
        </w:rPr>
        <w:t>Plánování - Nástěnka</w:t>
      </w:r>
      <w:proofErr w:type="gramEnd"/>
      <w:r w:rsidR="008A4D2B" w:rsidRPr="00D355AD">
        <w:rPr>
          <w:rStyle w:val="Siln"/>
          <w:b w:val="0"/>
          <w:bCs w:val="0"/>
          <w:i/>
          <w:iCs/>
        </w:rPr>
        <w:t xml:space="preserve"> ITI Vymezení území </w:t>
      </w:r>
      <w:r w:rsidR="008A4D2B" w:rsidRPr="008A4D2B">
        <w:rPr>
          <w:rStyle w:val="Siln"/>
          <w:b w:val="0"/>
          <w:bCs w:val="0"/>
          <w:i/>
          <w:iCs/>
          <w:color w:val="0070C0"/>
        </w:rPr>
        <w:t xml:space="preserve">(odkaz  </w:t>
      </w:r>
      <w:hyperlink r:id="rId8" w:history="1">
        <w:r w:rsidR="008A4D2B" w:rsidRPr="008A4D2B">
          <w:rPr>
            <w:rStyle w:val="Hypertextovodkaz"/>
            <w:i/>
            <w:iCs/>
            <w:color w:val="0070C0"/>
          </w:rPr>
          <w:t>https://www.c-budejovice.cz/nastenka-iti-vymezeni-uzemiymezení</w:t>
        </w:r>
      </w:hyperlink>
      <w:r w:rsidRPr="008A4D2B">
        <w:rPr>
          <w:rStyle w:val="Siln"/>
          <w:b w:val="0"/>
          <w:bCs w:val="0"/>
          <w:color w:val="0070C0"/>
        </w:rPr>
        <w:t>.</w:t>
      </w:r>
      <w:r w:rsidR="008A4D2B" w:rsidRPr="008A4D2B">
        <w:rPr>
          <w:rStyle w:val="Siln"/>
          <w:b w:val="0"/>
          <w:bCs w:val="0"/>
          <w:color w:val="0070C0"/>
        </w:rPr>
        <w:t>)</w:t>
      </w:r>
    </w:p>
    <w:p w14:paraId="39ED95D3" w14:textId="77777777" w:rsidR="00C4178E" w:rsidRPr="008A4D2B" w:rsidRDefault="00C4178E" w:rsidP="00E5441F">
      <w:pPr>
        <w:pStyle w:val="rtejustify"/>
        <w:spacing w:before="0" w:beforeAutospacing="0" w:after="120" w:afterAutospacing="0"/>
        <w:rPr>
          <w:color w:val="0070C0"/>
        </w:rPr>
      </w:pPr>
    </w:p>
    <w:p w14:paraId="6A9984CF" w14:textId="77777777" w:rsidR="00C4178E" w:rsidRPr="00FE3760" w:rsidRDefault="00C4178E" w:rsidP="00E5441F">
      <w:pPr>
        <w:pStyle w:val="Normlnweb"/>
        <w:spacing w:before="0" w:beforeAutospacing="0" w:after="120" w:afterAutospacing="0"/>
        <w:jc w:val="both"/>
        <w:rPr>
          <w:color w:val="221E1F"/>
        </w:rPr>
      </w:pPr>
      <w:r>
        <w:rPr>
          <w:rStyle w:val="Siln"/>
          <w:color w:val="221E1F"/>
        </w:rPr>
        <w:t xml:space="preserve">Popis </w:t>
      </w:r>
      <w:r w:rsidR="000E3734">
        <w:rPr>
          <w:rStyle w:val="Siln"/>
          <w:color w:val="221E1F"/>
        </w:rPr>
        <w:t>nástroje územní dimenze</w:t>
      </w:r>
      <w:r w:rsidRPr="00FE3760">
        <w:rPr>
          <w:rStyle w:val="Siln"/>
          <w:color w:val="221E1F"/>
        </w:rPr>
        <w:t xml:space="preserve"> ITI Českobudějovické aglomerace.</w:t>
      </w:r>
    </w:p>
    <w:p w14:paraId="1E88EC24" w14:textId="2B3D2140" w:rsidR="000E3734" w:rsidRPr="00E842CE" w:rsidRDefault="003B1532" w:rsidP="00E5441F">
      <w:pPr>
        <w:pStyle w:val="rtejustify"/>
        <w:spacing w:before="0" w:beforeAutospacing="0" w:after="120" w:afterAutospacing="0"/>
      </w:pPr>
      <w:r w:rsidRPr="00FE3760">
        <w:rPr>
          <w:color w:val="221E1F"/>
        </w:rPr>
        <w:t xml:space="preserve">Nástroj územní dimenze ITI Českobudějovické aglomerace dává </w:t>
      </w:r>
      <w:proofErr w:type="gramStart"/>
      <w:r w:rsidRPr="00FE3760">
        <w:rPr>
          <w:color w:val="221E1F"/>
        </w:rPr>
        <w:t>partnerům - subjektům</w:t>
      </w:r>
      <w:proofErr w:type="gramEnd"/>
      <w:r w:rsidRPr="00FE3760">
        <w:rPr>
          <w:color w:val="221E1F"/>
        </w:rPr>
        <w:t>, kteří jsou v území ITI</w:t>
      </w:r>
      <w:r w:rsidR="00CA0171">
        <w:rPr>
          <w:color w:val="221E1F"/>
        </w:rPr>
        <w:t>,</w:t>
      </w:r>
      <w:r w:rsidRPr="00FE3760">
        <w:rPr>
          <w:color w:val="221E1F"/>
        </w:rPr>
        <w:t xml:space="preserve"> možnost realizovat projekty zařazené v rámci strategie ITI</w:t>
      </w:r>
      <w:r w:rsidR="00CA0171">
        <w:rPr>
          <w:color w:val="221E1F"/>
        </w:rPr>
        <w:t>. Strategie</w:t>
      </w:r>
      <w:r w:rsidRPr="00FE3760">
        <w:rPr>
          <w:color w:val="221E1F"/>
        </w:rPr>
        <w:t xml:space="preserve"> bude po svém schválení, které by mělo proběhnout v druhé polovině roku 2021, disponovat rezervovanou alokací a projekty</w:t>
      </w:r>
      <w:r w:rsidR="000E3734">
        <w:rPr>
          <w:color w:val="221E1F"/>
        </w:rPr>
        <w:t xml:space="preserve">, zařazené ve strategii, </w:t>
      </w:r>
      <w:r w:rsidR="00CA0171">
        <w:rPr>
          <w:color w:val="221E1F"/>
        </w:rPr>
        <w:t>nebudou mezi sebou</w:t>
      </w:r>
      <w:r w:rsidRPr="00FE3760">
        <w:rPr>
          <w:color w:val="221E1F"/>
        </w:rPr>
        <w:t xml:space="preserve"> </w:t>
      </w:r>
      <w:r w:rsidR="000E3734" w:rsidRPr="00FE3760">
        <w:rPr>
          <w:color w:val="221E1F"/>
        </w:rPr>
        <w:t xml:space="preserve">soutěžit </w:t>
      </w:r>
      <w:r w:rsidRPr="00FE3760">
        <w:rPr>
          <w:color w:val="221E1F"/>
        </w:rPr>
        <w:t>v rámci individuálních celorepublikových výzev. Základní podmínkou</w:t>
      </w:r>
      <w:r w:rsidR="00CA0171">
        <w:rPr>
          <w:color w:val="221E1F"/>
        </w:rPr>
        <w:t xml:space="preserve"> pro akceptaci projektů v ITI</w:t>
      </w:r>
      <w:r w:rsidRPr="00FE3760">
        <w:rPr>
          <w:color w:val="221E1F"/>
        </w:rPr>
        <w:t xml:space="preserve">, která je řídícími orgány vyžadována, je stupeň připravenosti, a to minimálně </w:t>
      </w:r>
      <w:r w:rsidR="00CA0171">
        <w:rPr>
          <w:color w:val="221E1F"/>
        </w:rPr>
        <w:t>do</w:t>
      </w:r>
      <w:r w:rsidRPr="00FE3760">
        <w:rPr>
          <w:color w:val="221E1F"/>
        </w:rPr>
        <w:t xml:space="preserve"> fáz</w:t>
      </w:r>
      <w:r w:rsidR="00CA0171">
        <w:rPr>
          <w:color w:val="221E1F"/>
        </w:rPr>
        <w:t>e</w:t>
      </w:r>
      <w:r w:rsidRPr="00FE3760">
        <w:rPr>
          <w:color w:val="221E1F"/>
        </w:rPr>
        <w:t xml:space="preserve"> vydaného územního rozhodnutí</w:t>
      </w:r>
      <w:r w:rsidR="000E3734">
        <w:rPr>
          <w:color w:val="221E1F"/>
        </w:rPr>
        <w:t>, či stavebního povolení</w:t>
      </w:r>
      <w:r w:rsidRPr="00FE3760">
        <w:rPr>
          <w:color w:val="221E1F"/>
        </w:rPr>
        <w:t xml:space="preserve">. </w:t>
      </w:r>
      <w:r w:rsidR="00CA0171">
        <w:rPr>
          <w:color w:val="221E1F"/>
        </w:rPr>
        <w:t>P</w:t>
      </w:r>
      <w:r w:rsidRPr="00FE3760">
        <w:rPr>
          <w:color w:val="221E1F"/>
        </w:rPr>
        <w:t xml:space="preserve">rojekty </w:t>
      </w:r>
      <w:r w:rsidR="00CA0171">
        <w:rPr>
          <w:color w:val="221E1F"/>
        </w:rPr>
        <w:t xml:space="preserve">v ITI </w:t>
      </w:r>
      <w:r w:rsidRPr="00FE3760">
        <w:rPr>
          <w:color w:val="221E1F"/>
        </w:rPr>
        <w:t>musí vykazovat charakter strategického projektu, což znamená</w:t>
      </w:r>
      <w:r w:rsidR="00CA0171">
        <w:rPr>
          <w:color w:val="221E1F"/>
        </w:rPr>
        <w:t>,</w:t>
      </w:r>
      <w:r w:rsidRPr="00FE3760">
        <w:rPr>
          <w:color w:val="221E1F"/>
        </w:rPr>
        <w:t xml:space="preserve"> že svým významem a dopadem </w:t>
      </w:r>
      <w:r w:rsidR="00CA0171">
        <w:rPr>
          <w:color w:val="221E1F"/>
        </w:rPr>
        <w:t>mají</w:t>
      </w:r>
      <w:r w:rsidRPr="00FE3760">
        <w:rPr>
          <w:color w:val="221E1F"/>
        </w:rPr>
        <w:t xml:space="preserve"> zásadní vliv </w:t>
      </w:r>
      <w:r w:rsidR="00CA0171">
        <w:rPr>
          <w:color w:val="221E1F"/>
        </w:rPr>
        <w:t>na</w:t>
      </w:r>
      <w:r w:rsidRPr="00FE3760">
        <w:rPr>
          <w:color w:val="221E1F"/>
        </w:rPr>
        <w:t xml:space="preserve"> </w:t>
      </w:r>
      <w:r w:rsidRPr="00E842CE">
        <w:t xml:space="preserve">rozvoj vymezené aglomerace. </w:t>
      </w:r>
      <w:r w:rsidR="000E3734" w:rsidRPr="00E842CE">
        <w:t>M</w:t>
      </w:r>
      <w:r w:rsidR="00CA0171" w:rsidRPr="00E842CE">
        <w:t>M</w:t>
      </w:r>
      <w:r w:rsidR="000E3734" w:rsidRPr="00E842CE">
        <w:t>R určilo 3 druhy strategických projektů:</w:t>
      </w:r>
    </w:p>
    <w:p w14:paraId="05D7ECFC" w14:textId="6D47107E" w:rsidR="000E3734" w:rsidRPr="00E842CE" w:rsidRDefault="000E3734" w:rsidP="00E5441F">
      <w:pPr>
        <w:pStyle w:val="rtejustify"/>
        <w:numPr>
          <w:ilvl w:val="0"/>
          <w:numId w:val="22"/>
        </w:numPr>
        <w:spacing w:before="0" w:beforeAutospacing="0" w:after="0" w:afterAutospacing="0"/>
        <w:ind w:left="0" w:firstLine="0"/>
      </w:pPr>
      <w:r w:rsidRPr="00E842CE">
        <w:t>Jedinečný S</w:t>
      </w:r>
      <w:r w:rsidR="008A4D2B" w:rsidRPr="00E842CE">
        <w:t>trategický projekt</w:t>
      </w:r>
    </w:p>
    <w:p w14:paraId="47AB3319" w14:textId="74475F26" w:rsidR="000E3734" w:rsidRPr="00E842CE" w:rsidRDefault="000E3734" w:rsidP="00E5441F">
      <w:pPr>
        <w:pStyle w:val="rtejustify"/>
        <w:numPr>
          <w:ilvl w:val="0"/>
          <w:numId w:val="22"/>
        </w:numPr>
        <w:spacing w:before="0" w:beforeAutospacing="0" w:after="0" w:afterAutospacing="0"/>
        <w:ind w:left="0" w:firstLine="0"/>
      </w:pPr>
      <w:r w:rsidRPr="00E842CE">
        <w:t xml:space="preserve">Složený </w:t>
      </w:r>
      <w:r w:rsidR="008A4D2B" w:rsidRPr="00E842CE">
        <w:t>Strategický projekt</w:t>
      </w:r>
    </w:p>
    <w:p w14:paraId="0DD41EBA" w14:textId="155C404E" w:rsidR="000E3734" w:rsidRPr="00E842CE" w:rsidRDefault="000E3734" w:rsidP="00E5441F">
      <w:pPr>
        <w:pStyle w:val="rtejustify"/>
        <w:numPr>
          <w:ilvl w:val="0"/>
          <w:numId w:val="22"/>
        </w:numPr>
        <w:spacing w:before="0" w:beforeAutospacing="0" w:after="120" w:afterAutospacing="0"/>
        <w:ind w:left="0" w:firstLine="0"/>
      </w:pPr>
      <w:r w:rsidRPr="00E842CE">
        <w:t xml:space="preserve">Síťový </w:t>
      </w:r>
      <w:r w:rsidR="008A4D2B" w:rsidRPr="00E842CE">
        <w:t>Strategický projekt</w:t>
      </w:r>
    </w:p>
    <w:p w14:paraId="1DAB747A" w14:textId="74198492" w:rsidR="003B1532" w:rsidRPr="00C4178E" w:rsidRDefault="003B1532" w:rsidP="00E5441F">
      <w:pPr>
        <w:pStyle w:val="rtejustify"/>
        <w:spacing w:before="0" w:beforeAutospacing="0" w:after="0" w:afterAutospacing="0"/>
        <w:rPr>
          <w:rStyle w:val="Zdraznn"/>
          <w:i w:val="0"/>
          <w:iCs w:val="0"/>
          <w:color w:val="221E1F"/>
        </w:rPr>
      </w:pPr>
      <w:r w:rsidRPr="00FE3760">
        <w:rPr>
          <w:color w:val="221E1F"/>
        </w:rPr>
        <w:t>Další</w:t>
      </w:r>
      <w:r w:rsidR="00CA0171">
        <w:rPr>
          <w:color w:val="221E1F"/>
        </w:rPr>
        <w:t>m</w:t>
      </w:r>
      <w:r w:rsidRPr="00FE3760">
        <w:rPr>
          <w:color w:val="221E1F"/>
        </w:rPr>
        <w:t xml:space="preserve"> nezbytný</w:t>
      </w:r>
      <w:r w:rsidR="00CA0171">
        <w:rPr>
          <w:color w:val="221E1F"/>
        </w:rPr>
        <w:t>m</w:t>
      </w:r>
      <w:r w:rsidRPr="00FE3760">
        <w:rPr>
          <w:color w:val="221E1F"/>
        </w:rPr>
        <w:t xml:space="preserve"> předpoklad</w:t>
      </w:r>
      <w:r w:rsidR="00CA0171">
        <w:rPr>
          <w:color w:val="221E1F"/>
        </w:rPr>
        <w:t>em</w:t>
      </w:r>
      <w:r w:rsidRPr="00FE3760">
        <w:rPr>
          <w:color w:val="221E1F"/>
        </w:rPr>
        <w:t xml:space="preserve"> </w:t>
      </w:r>
      <w:r w:rsidR="000E3734">
        <w:rPr>
          <w:color w:val="221E1F"/>
        </w:rPr>
        <w:t xml:space="preserve">pro </w:t>
      </w:r>
      <w:r w:rsidR="00CA0171">
        <w:rPr>
          <w:color w:val="221E1F"/>
        </w:rPr>
        <w:t xml:space="preserve">zahájení </w:t>
      </w:r>
      <w:r w:rsidR="000E3734">
        <w:rPr>
          <w:color w:val="221E1F"/>
        </w:rPr>
        <w:t>realizac</w:t>
      </w:r>
      <w:r w:rsidR="00CA0171">
        <w:rPr>
          <w:color w:val="221E1F"/>
        </w:rPr>
        <w:t>e</w:t>
      </w:r>
      <w:r w:rsidR="000E3734">
        <w:rPr>
          <w:color w:val="221E1F"/>
        </w:rPr>
        <w:t xml:space="preserve"> strategie </w:t>
      </w:r>
      <w:r w:rsidRPr="00FE3760">
        <w:rPr>
          <w:color w:val="221E1F"/>
        </w:rPr>
        <w:t xml:space="preserve">je schválení dokumentu Strategie ITI Českobudějovické aglomerace řídícími orgány. Příprava těchto zásadních kroků je </w:t>
      </w:r>
      <w:r w:rsidRPr="00FE3760">
        <w:rPr>
          <w:color w:val="221E1F"/>
        </w:rPr>
        <w:lastRenderedPageBreak/>
        <w:t xml:space="preserve">koordinována nositelem </w:t>
      </w:r>
      <w:proofErr w:type="gramStart"/>
      <w:r w:rsidRPr="00FE3760">
        <w:rPr>
          <w:color w:val="221E1F"/>
        </w:rPr>
        <w:t xml:space="preserve">strategie - </w:t>
      </w:r>
      <w:r w:rsidR="00CA0171">
        <w:rPr>
          <w:color w:val="221E1F"/>
        </w:rPr>
        <w:t>s</w:t>
      </w:r>
      <w:r w:rsidRPr="00FE3760">
        <w:rPr>
          <w:color w:val="221E1F"/>
        </w:rPr>
        <w:t>tatutárním</w:t>
      </w:r>
      <w:proofErr w:type="gramEnd"/>
      <w:r w:rsidRPr="00FE3760">
        <w:rPr>
          <w:color w:val="221E1F"/>
        </w:rPr>
        <w:t xml:space="preserve"> městem České Budějovice, které </w:t>
      </w:r>
      <w:r w:rsidR="000E3734">
        <w:rPr>
          <w:color w:val="221E1F"/>
        </w:rPr>
        <w:t xml:space="preserve">prostřednictvím gesčního odboru (ORVZ) </w:t>
      </w:r>
      <w:r w:rsidRPr="00FE3760">
        <w:rPr>
          <w:color w:val="221E1F"/>
        </w:rPr>
        <w:t xml:space="preserve">zpracovává strategický dokument a realizuje jednání s partnery v území. </w:t>
      </w:r>
    </w:p>
    <w:p w14:paraId="55A03AEB" w14:textId="77777777" w:rsidR="003B1532" w:rsidRPr="000E3734" w:rsidRDefault="003B1532" w:rsidP="00E5441F">
      <w:pPr>
        <w:spacing w:after="0" w:line="240" w:lineRule="auto"/>
        <w:jc w:val="both"/>
        <w:rPr>
          <w:rFonts w:ascii="Times New Roman" w:hAnsi="Times New Roman" w:cs="Times New Roman"/>
          <w:sz w:val="24"/>
          <w:szCs w:val="24"/>
        </w:rPr>
      </w:pPr>
    </w:p>
    <w:p w14:paraId="7F0137F6" w14:textId="0F1BC04A" w:rsidR="003B1532" w:rsidRDefault="003B1532" w:rsidP="008A4D2B">
      <w:pPr>
        <w:pStyle w:val="Normlnweb"/>
        <w:spacing w:before="0" w:beforeAutospacing="0" w:after="120" w:afterAutospacing="0"/>
        <w:jc w:val="both"/>
        <w:rPr>
          <w:rStyle w:val="Siln"/>
          <w:color w:val="221E1F"/>
        </w:rPr>
      </w:pPr>
      <w:r w:rsidRPr="000E3734">
        <w:rPr>
          <w:rStyle w:val="Siln"/>
          <w:color w:val="221E1F"/>
        </w:rPr>
        <w:t>Průběh přípravy strategie</w:t>
      </w:r>
    </w:p>
    <w:p w14:paraId="36AC8317" w14:textId="6331652C" w:rsidR="008A4D2B" w:rsidRPr="00E842CE" w:rsidRDefault="006B54ED" w:rsidP="008A4D2B">
      <w:pPr>
        <w:pStyle w:val="Normlnweb"/>
        <w:spacing w:before="0" w:beforeAutospacing="0" w:after="120" w:afterAutospacing="0"/>
        <w:jc w:val="both"/>
      </w:pPr>
      <w:r w:rsidRPr="00E842CE">
        <w:t xml:space="preserve">Přípravu strategie zajišťuje ve své gesci Odbor rozvoje a veřejných zakázek souběžně </w:t>
      </w:r>
      <w:r w:rsidR="008840AC" w:rsidRPr="00E842CE">
        <w:t>na</w:t>
      </w:r>
      <w:r w:rsidRPr="00E842CE">
        <w:t> několika úrovních:</w:t>
      </w:r>
    </w:p>
    <w:p w14:paraId="71FAFE70" w14:textId="0958BEF2" w:rsidR="006B54ED" w:rsidRPr="00E842CE" w:rsidRDefault="006B54ED" w:rsidP="008A4D2B">
      <w:pPr>
        <w:pStyle w:val="Normlnweb"/>
        <w:spacing w:before="0" w:beforeAutospacing="0" w:after="120" w:afterAutospacing="0"/>
        <w:jc w:val="both"/>
      </w:pPr>
      <w:r w:rsidRPr="00E842CE">
        <w:t>1)</w:t>
      </w:r>
      <w:r w:rsidRPr="00E842CE">
        <w:tab/>
      </w:r>
      <w:r w:rsidRPr="00E842CE">
        <w:rPr>
          <w:b/>
          <w:bCs/>
        </w:rPr>
        <w:t>Spolupráce s řídícími orgány a nositeli ostatních strategií</w:t>
      </w:r>
      <w:r w:rsidRPr="00E842CE">
        <w:t>. Na této úrovni probíhají jednání Národní stále konference</w:t>
      </w:r>
      <w:r w:rsidR="008840AC" w:rsidRPr="00E842CE">
        <w:t xml:space="preserve"> (dále jen NSK)</w:t>
      </w:r>
      <w:r w:rsidRPr="00E842CE">
        <w:t>, která je nejvyšší společnou platformou pro aktéry územní dimenze (řídící orgány</w:t>
      </w:r>
      <w:r w:rsidR="003F11C9" w:rsidRPr="00E842CE">
        <w:t xml:space="preserve"> (dále ŘO)</w:t>
      </w:r>
      <w:r w:rsidRPr="00E842CE">
        <w:t>, MMR ČR – metodické vedení přípravy strategií, ITI, CLLD (MAS), SMO ČR, SMS ČR</w:t>
      </w:r>
      <w:r w:rsidR="003F11C9" w:rsidRPr="00E842CE">
        <w:t>). Mimo tato společná jednání v rámci NSK probíhali v r. 2019 a 2020 jednání zástupců ITI s jednotlivými řídícími orgány k přípravě operačních programů a k zapojení ITI do těchto programů. Zástupci měst ITI organizovali pravidelná (minimálně jednou za čtvrtletí) společná jednání nositelů, kde byly porovnávány zkušenosti a specifika jednotlivých aglomerací, nastavován společný postup pro jednání s ŘO. Metodické řízení přípravy strategií má ve své gesci Odbor regionální politiky MMR ČR. Na této platformě se uskutečnila jednání, jejichž tématem byla procesní, obsahová a systémová problematika tvorby dokumentu strategie. Tato oblast není k dnešnímu dni dosud definitivně dořešena – chybí natavení programových rámců</w:t>
      </w:r>
      <w:r w:rsidR="00A976E8" w:rsidRPr="00E842CE">
        <w:t xml:space="preserve">, což je zásadní předpoklad pro to, aby nositelé mohli zpracovat návrhovou část strategie a následně předložit v polovině roku 2021 </w:t>
      </w:r>
      <w:r w:rsidR="008840AC" w:rsidRPr="00E842CE">
        <w:t xml:space="preserve">do </w:t>
      </w:r>
      <w:proofErr w:type="gramStart"/>
      <w:r w:rsidR="008840AC" w:rsidRPr="00E842CE">
        <w:t xml:space="preserve">procesu </w:t>
      </w:r>
      <w:r w:rsidR="00A976E8" w:rsidRPr="00E842CE">
        <w:t xml:space="preserve"> schvalování</w:t>
      </w:r>
      <w:proofErr w:type="gramEnd"/>
      <w:r w:rsidR="00A976E8" w:rsidRPr="00E842CE">
        <w:t>.</w:t>
      </w:r>
    </w:p>
    <w:p w14:paraId="07718B77" w14:textId="2CA21212" w:rsidR="00A976E8" w:rsidRPr="00E842CE" w:rsidRDefault="00A976E8" w:rsidP="008A4D2B">
      <w:pPr>
        <w:pStyle w:val="Normlnweb"/>
        <w:spacing w:before="0" w:beforeAutospacing="0" w:after="120" w:afterAutospacing="0"/>
        <w:jc w:val="both"/>
      </w:pPr>
      <w:r w:rsidRPr="00E842CE">
        <w:t>2)</w:t>
      </w:r>
      <w:r w:rsidRPr="00E842CE">
        <w:tab/>
      </w:r>
      <w:r w:rsidRPr="00E842CE">
        <w:rPr>
          <w:b/>
          <w:bCs/>
        </w:rPr>
        <w:t>Zpracování dokumentu strategie</w:t>
      </w:r>
      <w:r w:rsidRPr="00E842CE">
        <w:t xml:space="preserve"> – dokument strategie pro ITI ČB aglomerace zpracovává firma KP projekt </w:t>
      </w:r>
      <w:proofErr w:type="gramStart"/>
      <w:r w:rsidRPr="00E842CE">
        <w:t>s.r.o..</w:t>
      </w:r>
      <w:proofErr w:type="gramEnd"/>
      <w:r w:rsidRPr="00E842CE">
        <w:t xml:space="preserve"> Zpracování dokumentu bylo zahájeno na základě uzavřené smlouvy v září 2019. Popis spolupráce je uveden níže v chronologickém popisu přípravy.</w:t>
      </w:r>
    </w:p>
    <w:p w14:paraId="4A10E206" w14:textId="69202E18" w:rsidR="00A976E8" w:rsidRPr="00E842CE" w:rsidRDefault="00A976E8" w:rsidP="008A4D2B">
      <w:pPr>
        <w:pStyle w:val="Normlnweb"/>
        <w:spacing w:before="0" w:beforeAutospacing="0" w:after="120" w:afterAutospacing="0"/>
        <w:jc w:val="both"/>
      </w:pPr>
      <w:r w:rsidRPr="00E842CE">
        <w:t>3)</w:t>
      </w:r>
      <w:r w:rsidRPr="00E842CE">
        <w:tab/>
      </w:r>
      <w:r w:rsidRPr="00E842CE">
        <w:rPr>
          <w:b/>
          <w:bCs/>
        </w:rPr>
        <w:t xml:space="preserve">Spolupráce s územními partnery. </w:t>
      </w:r>
      <w:r w:rsidRPr="00E842CE">
        <w:t>Cílem spolupráce na této úrovni je vygenerovat projekty, které jsou připraveny k realizaci a potenci</w:t>
      </w:r>
      <w:r w:rsidR="00AB13C6" w:rsidRPr="00E842CE">
        <w:t>o</w:t>
      </w:r>
      <w:r w:rsidRPr="00E842CE">
        <w:t>nálně připraveny k zařazení do strategie. Jednání probíha</w:t>
      </w:r>
      <w:r w:rsidR="00AB13C6" w:rsidRPr="00E842CE">
        <w:t>jí</w:t>
      </w:r>
      <w:r w:rsidRPr="00E842CE">
        <w:t xml:space="preserve"> s</w:t>
      </w:r>
      <w:r w:rsidR="00AB13C6" w:rsidRPr="00E842CE">
        <w:t xml:space="preserve"> obcemi v území (81 obcí), </w:t>
      </w:r>
      <w:r w:rsidR="008840AC" w:rsidRPr="00E842CE">
        <w:t xml:space="preserve">s podnikateli </w:t>
      </w:r>
      <w:r w:rsidR="00AB13C6" w:rsidRPr="00E842CE">
        <w:t xml:space="preserve">prostřednictvím Jihočeské hospodářské </w:t>
      </w:r>
      <w:proofErr w:type="gramStart"/>
      <w:r w:rsidR="00AB13C6" w:rsidRPr="00E842CE">
        <w:t>komory ,</w:t>
      </w:r>
      <w:proofErr w:type="gramEnd"/>
      <w:r w:rsidR="00AB13C6" w:rsidRPr="00E842CE">
        <w:t xml:space="preserve"> </w:t>
      </w:r>
      <w:r w:rsidR="008840AC" w:rsidRPr="00E842CE">
        <w:t xml:space="preserve">s </w:t>
      </w:r>
      <w:r w:rsidR="00AB13C6" w:rsidRPr="00E842CE">
        <w:t xml:space="preserve"> Českobudějovick</w:t>
      </w:r>
      <w:r w:rsidR="008840AC" w:rsidRPr="00E842CE">
        <w:t>ým</w:t>
      </w:r>
      <w:r w:rsidR="00AB13C6" w:rsidRPr="00E842CE">
        <w:t xml:space="preserve"> biskupství</w:t>
      </w:r>
      <w:r w:rsidR="008840AC" w:rsidRPr="00E842CE">
        <w:t>m. J</w:t>
      </w:r>
      <w:r w:rsidR="00AB13C6" w:rsidRPr="00E842CE">
        <w:t xml:space="preserve">ednání o zařazení projektů jsou </w:t>
      </w:r>
      <w:r w:rsidR="008840AC" w:rsidRPr="00E842CE">
        <w:t xml:space="preserve">také </w:t>
      </w:r>
      <w:r w:rsidR="00AB13C6" w:rsidRPr="00E842CE">
        <w:t>vedena s</w:t>
      </w:r>
      <w:r w:rsidR="008840AC" w:rsidRPr="00E842CE">
        <w:t>e</w:t>
      </w:r>
      <w:r w:rsidR="00AB13C6" w:rsidRPr="00E842CE">
        <w:t xml:space="preserve"> vzdělávacími institucemi a </w:t>
      </w:r>
      <w:r w:rsidR="008840AC" w:rsidRPr="00E842CE">
        <w:t xml:space="preserve">s </w:t>
      </w:r>
      <w:r w:rsidR="00AB13C6" w:rsidRPr="00E842CE">
        <w:t xml:space="preserve">výzkumnými organizacemi </w:t>
      </w:r>
      <w:r w:rsidR="008840AC" w:rsidRPr="00E842CE">
        <w:t>jako je</w:t>
      </w:r>
      <w:r w:rsidR="00AB13C6" w:rsidRPr="00E842CE">
        <w:t xml:space="preserve"> </w:t>
      </w:r>
      <w:proofErr w:type="spellStart"/>
      <w:r w:rsidR="00AB13C6" w:rsidRPr="00E842CE">
        <w:t>JčU</w:t>
      </w:r>
      <w:proofErr w:type="spellEnd"/>
      <w:r w:rsidR="00AB13C6" w:rsidRPr="00E842CE">
        <w:t>, VŠTE, BC AV ČR</w:t>
      </w:r>
      <w:r w:rsidR="008840AC" w:rsidRPr="00E842CE">
        <w:t>. Dále</w:t>
      </w:r>
      <w:r w:rsidR="00AB13C6" w:rsidRPr="00E842CE">
        <w:t xml:space="preserve"> prostřednictvím managementu RIS 3 strategie </w:t>
      </w:r>
      <w:r w:rsidR="008840AC" w:rsidRPr="00E842CE">
        <w:t xml:space="preserve">a </w:t>
      </w:r>
      <w:r w:rsidR="00AB13C6" w:rsidRPr="00E842CE">
        <w:t>s dalšími výzkumnými subjekty. Výčet není úplný, neboť příprava stále probíhá</w:t>
      </w:r>
      <w:r w:rsidR="008840AC" w:rsidRPr="00E842CE">
        <w:t>. Zjišťování abso</w:t>
      </w:r>
      <w:r w:rsidR="00403DDC" w:rsidRPr="00E842CE">
        <w:t>rp</w:t>
      </w:r>
      <w:r w:rsidR="008840AC" w:rsidRPr="00E842CE">
        <w:t>ční kapacity je rozsáhlé</w:t>
      </w:r>
      <w:r w:rsidR="00403DDC" w:rsidRPr="00E842CE">
        <w:t>,</w:t>
      </w:r>
      <w:r w:rsidR="00AB13C6" w:rsidRPr="00E842CE">
        <w:t xml:space="preserve"> jsou oslovovány i další subjekty v území.</w:t>
      </w:r>
    </w:p>
    <w:p w14:paraId="0CCB6FD0" w14:textId="21561A8D" w:rsidR="00B36ECD" w:rsidRPr="00E842CE" w:rsidRDefault="00AB13C6" w:rsidP="008A4D2B">
      <w:pPr>
        <w:pStyle w:val="Normlnweb"/>
        <w:spacing w:before="0" w:beforeAutospacing="0" w:after="120" w:afterAutospacing="0"/>
        <w:jc w:val="both"/>
      </w:pPr>
      <w:r w:rsidRPr="00E842CE">
        <w:t>4)</w:t>
      </w:r>
      <w:r w:rsidRPr="00E842CE">
        <w:tab/>
      </w:r>
      <w:r w:rsidRPr="00E842CE">
        <w:rPr>
          <w:b/>
          <w:bCs/>
        </w:rPr>
        <w:t xml:space="preserve">Informační </w:t>
      </w:r>
      <w:r w:rsidR="00B36ECD" w:rsidRPr="00E842CE">
        <w:rPr>
          <w:b/>
          <w:bCs/>
        </w:rPr>
        <w:t xml:space="preserve">platforma. </w:t>
      </w:r>
      <w:r w:rsidR="00403DDC" w:rsidRPr="00E842CE">
        <w:t>S</w:t>
      </w:r>
      <w:r w:rsidR="00B36ECD" w:rsidRPr="00E842CE">
        <w:t>ubjekty v území jsou informováni o přípravě strategie průběžně od r. 2019</w:t>
      </w:r>
      <w:r w:rsidR="00403DDC" w:rsidRPr="00E842CE">
        <w:t>,</w:t>
      </w:r>
      <w:r w:rsidR="00B36ECD" w:rsidRPr="00E842CE">
        <w:t xml:space="preserve"> a to:</w:t>
      </w:r>
    </w:p>
    <w:p w14:paraId="7C5093EF" w14:textId="26F24547" w:rsidR="00B36ECD" w:rsidRPr="00E842CE" w:rsidRDefault="00B36ECD" w:rsidP="00B36ECD">
      <w:pPr>
        <w:pStyle w:val="Normlnweb"/>
        <w:numPr>
          <w:ilvl w:val="0"/>
          <w:numId w:val="22"/>
        </w:numPr>
        <w:spacing w:before="0" w:beforeAutospacing="0" w:after="0" w:afterAutospacing="0"/>
        <w:ind w:left="714" w:hanging="357"/>
        <w:jc w:val="both"/>
      </w:pPr>
      <w:proofErr w:type="gramStart"/>
      <w:r w:rsidRPr="00E842CE">
        <w:t>korespondenčně  -</w:t>
      </w:r>
      <w:proofErr w:type="gramEnd"/>
      <w:r w:rsidRPr="00E842CE">
        <w:t xml:space="preserve"> prosinec 2019, únor 2020</w:t>
      </w:r>
    </w:p>
    <w:p w14:paraId="4FA3CC2C" w14:textId="4FF30091" w:rsidR="00B36ECD" w:rsidRPr="00E842CE" w:rsidRDefault="00B36ECD" w:rsidP="00B36ECD">
      <w:pPr>
        <w:pStyle w:val="Normlnweb"/>
        <w:numPr>
          <w:ilvl w:val="0"/>
          <w:numId w:val="22"/>
        </w:numPr>
        <w:spacing w:before="0" w:beforeAutospacing="0" w:after="0" w:afterAutospacing="0"/>
        <w:ind w:left="714" w:hanging="357"/>
        <w:jc w:val="both"/>
      </w:pPr>
      <w:r w:rsidRPr="00E842CE">
        <w:t xml:space="preserve">prostřednictvím společných jednání </w:t>
      </w:r>
      <w:r w:rsidR="00403DDC" w:rsidRPr="00E842CE">
        <w:t xml:space="preserve">a formou prezentací ORVZ </w:t>
      </w:r>
      <w:r w:rsidRPr="00E842CE">
        <w:t xml:space="preserve">(Hotel </w:t>
      </w:r>
      <w:proofErr w:type="spellStart"/>
      <w:r w:rsidRPr="00E842CE">
        <w:t>Clarion</w:t>
      </w:r>
      <w:proofErr w:type="spellEnd"/>
      <w:r w:rsidRPr="00E842CE">
        <w:t xml:space="preserve"> – březen 2020, Regionální stálá konference – březen 2020, </w:t>
      </w:r>
    </w:p>
    <w:p w14:paraId="29A878CD" w14:textId="38699484" w:rsidR="00B36ECD" w:rsidRPr="00E842CE" w:rsidRDefault="00B36ECD" w:rsidP="00B36ECD">
      <w:pPr>
        <w:pStyle w:val="Normlnweb"/>
        <w:numPr>
          <w:ilvl w:val="0"/>
          <w:numId w:val="22"/>
        </w:numPr>
        <w:spacing w:before="0" w:beforeAutospacing="0" w:after="0" w:afterAutospacing="0"/>
        <w:ind w:left="714" w:hanging="357"/>
        <w:jc w:val="both"/>
      </w:pPr>
      <w:r w:rsidRPr="00E842CE">
        <w:t>seminář</w:t>
      </w:r>
      <w:r w:rsidR="00403DDC" w:rsidRPr="00E842CE">
        <w:t>i</w:t>
      </w:r>
      <w:r w:rsidRPr="00E842CE">
        <w:t xml:space="preserve"> pro obce a MAS, říjen a listopad 2020,</w:t>
      </w:r>
    </w:p>
    <w:p w14:paraId="22A78AEE" w14:textId="2DC9DAE4" w:rsidR="00AB13C6" w:rsidRPr="00E842CE" w:rsidRDefault="00B36ECD" w:rsidP="00B36ECD">
      <w:pPr>
        <w:pStyle w:val="Normlnweb"/>
        <w:numPr>
          <w:ilvl w:val="0"/>
          <w:numId w:val="22"/>
        </w:numPr>
        <w:spacing w:before="0" w:beforeAutospacing="0" w:after="0" w:afterAutospacing="0"/>
        <w:ind w:left="714" w:hanging="357"/>
        <w:jc w:val="both"/>
      </w:pPr>
      <w:r w:rsidRPr="00E842CE">
        <w:t>individuálně – konzultace projektů s obcemi průběžně od listopadu 2020</w:t>
      </w:r>
    </w:p>
    <w:p w14:paraId="33DF2908" w14:textId="6B617787" w:rsidR="00B36ECD" w:rsidRPr="00E842CE" w:rsidRDefault="00B36ECD" w:rsidP="00B36ECD">
      <w:pPr>
        <w:pStyle w:val="Normlnweb"/>
        <w:numPr>
          <w:ilvl w:val="0"/>
          <w:numId w:val="22"/>
        </w:numPr>
        <w:spacing w:before="0" w:beforeAutospacing="0" w:after="0" w:afterAutospacing="0"/>
        <w:ind w:left="714" w:hanging="357"/>
        <w:jc w:val="both"/>
      </w:pPr>
      <w:r w:rsidRPr="00E842CE">
        <w:t>prostřednictvím webu na www stránkách nositele – Nástěnka ITI (</w:t>
      </w:r>
      <w:hyperlink r:id="rId9" w:history="1">
        <w:r w:rsidRPr="00E842CE">
          <w:rPr>
            <w:rStyle w:val="Hypertextovodkaz"/>
            <w:color w:val="auto"/>
          </w:rPr>
          <w:t>https://www.c-budejovice.cz/nastenka-iti</w:t>
        </w:r>
      </w:hyperlink>
      <w:r w:rsidRPr="00E842CE">
        <w:t>)</w:t>
      </w:r>
    </w:p>
    <w:p w14:paraId="52F15801" w14:textId="45E4F382" w:rsidR="00B36ECD" w:rsidRPr="00E842CE" w:rsidRDefault="00B36ECD" w:rsidP="00B36ECD">
      <w:pPr>
        <w:pStyle w:val="Normlnweb"/>
        <w:spacing w:before="120" w:beforeAutospacing="0" w:after="0" w:afterAutospacing="0"/>
        <w:jc w:val="both"/>
      </w:pPr>
      <w:r w:rsidRPr="00E842CE">
        <w:t>5)</w:t>
      </w:r>
      <w:r w:rsidRPr="00E842CE">
        <w:tab/>
      </w:r>
      <w:r w:rsidRPr="00E842CE">
        <w:rPr>
          <w:b/>
          <w:bCs/>
        </w:rPr>
        <w:t xml:space="preserve">Koordinace s ostatními nástroji územní dimenze. </w:t>
      </w:r>
      <w:r w:rsidR="00403DDC" w:rsidRPr="00E842CE">
        <w:t>Významnými</w:t>
      </w:r>
      <w:r w:rsidRPr="00E842CE">
        <w:t xml:space="preserve"> partnery</w:t>
      </w:r>
      <w:r w:rsidRPr="00E842CE">
        <w:rPr>
          <w:b/>
          <w:bCs/>
        </w:rPr>
        <w:t xml:space="preserve"> </w:t>
      </w:r>
      <w:r w:rsidR="00D539CD" w:rsidRPr="00E842CE">
        <w:t>pro koordinaci aktivit jsou MAS (Místní akční skupiny), které mají v IROP vyčleněný Specifický cíl 5. 1, zaměřený na komunitně vedený místní rozvoj. Se zástupci MAS proběhlo jednání ohledně územních překryvů a sladění činnosti. Se zástupci RAP se uskuteční jednání v nejbližších dnech. Jednání s managementem RIS 3 strategie prob</w:t>
      </w:r>
      <w:r w:rsidR="00403DDC" w:rsidRPr="00E842CE">
        <w:t xml:space="preserve">íhá od začátku vzniku </w:t>
      </w:r>
      <w:r w:rsidR="00403DDC" w:rsidRPr="00E842CE">
        <w:lastRenderedPageBreak/>
        <w:t>strategie, naposledy</w:t>
      </w:r>
      <w:r w:rsidR="00D539CD" w:rsidRPr="00E842CE">
        <w:t xml:space="preserve"> v</w:t>
      </w:r>
      <w:r w:rsidR="00403DDC" w:rsidRPr="00E842CE">
        <w:t> </w:t>
      </w:r>
      <w:r w:rsidR="00D539CD" w:rsidRPr="00E842CE">
        <w:t>prosinci</w:t>
      </w:r>
      <w:r w:rsidR="00403DDC" w:rsidRPr="00E842CE">
        <w:t>, a to</w:t>
      </w:r>
      <w:r w:rsidR="00D539CD" w:rsidRPr="00E842CE">
        <w:t xml:space="preserve"> za účelem dohodnutí dalšího postupu přípravy </w:t>
      </w:r>
      <w:r w:rsidR="00403DDC" w:rsidRPr="00E842CE">
        <w:t xml:space="preserve">konkrétních </w:t>
      </w:r>
      <w:r w:rsidR="00D539CD" w:rsidRPr="00E842CE">
        <w:t>navržených projektů.</w:t>
      </w:r>
    </w:p>
    <w:p w14:paraId="42193538" w14:textId="3F710E24" w:rsidR="003F11C9" w:rsidRPr="00E842CE" w:rsidRDefault="00D539CD" w:rsidP="00D539CD">
      <w:pPr>
        <w:pStyle w:val="Normlnweb"/>
        <w:spacing w:before="120" w:beforeAutospacing="0" w:after="120" w:afterAutospacing="0"/>
        <w:jc w:val="both"/>
      </w:pPr>
      <w:r w:rsidRPr="00E842CE">
        <w:t>6)</w:t>
      </w:r>
      <w:r w:rsidRPr="00E842CE">
        <w:tab/>
      </w:r>
      <w:r w:rsidRPr="00E842CE">
        <w:rPr>
          <w:b/>
          <w:bCs/>
        </w:rPr>
        <w:t>Strategické projekty nositele strategie – statutárního města České Budějovice.</w:t>
      </w:r>
      <w:r w:rsidRPr="00E842CE">
        <w:t xml:space="preserve"> Projekty města jsou připravovány v gesci jednotlivých členů vedení a při jejich přípravě je prioritní, aby realizací projektu bylo dosaženo synergického efektu, který </w:t>
      </w:r>
      <w:r w:rsidR="00905CC3" w:rsidRPr="00E842CE">
        <w:t xml:space="preserve">vytvoří komplexnější zlepšení života obyvatel města. Popis připravovaných projektů je uveden v závěru tohoto materiálu. Podrobnější specifikace připravovaných projektů bude předložena vedení města a zastupitelům v horizontu 2 měsíců. </w:t>
      </w:r>
      <w:r w:rsidRPr="00E842CE">
        <w:t xml:space="preserve"> </w:t>
      </w:r>
    </w:p>
    <w:p w14:paraId="6F386147" w14:textId="505C33DE" w:rsidR="00905CC3" w:rsidRPr="00E842CE" w:rsidRDefault="00905CC3" w:rsidP="00D539CD">
      <w:pPr>
        <w:pStyle w:val="Normlnweb"/>
        <w:spacing w:before="120" w:beforeAutospacing="0" w:after="120" w:afterAutospacing="0"/>
        <w:jc w:val="both"/>
        <w:rPr>
          <w:b/>
          <w:bCs/>
        </w:rPr>
      </w:pPr>
      <w:r w:rsidRPr="00E842CE">
        <w:rPr>
          <w:b/>
          <w:bCs/>
        </w:rPr>
        <w:t>Chronologický průběh přípravy strategie.</w:t>
      </w:r>
    </w:p>
    <w:p w14:paraId="6CCCDC77" w14:textId="235577AE" w:rsidR="003B1532" w:rsidRPr="00FE3760" w:rsidRDefault="003B1532" w:rsidP="00E5441F">
      <w:pPr>
        <w:pStyle w:val="Normlnweb"/>
        <w:numPr>
          <w:ilvl w:val="0"/>
          <w:numId w:val="20"/>
        </w:numPr>
        <w:spacing w:before="0" w:beforeAutospacing="0" w:after="0" w:afterAutospacing="0"/>
        <w:ind w:left="0" w:firstLine="0"/>
        <w:jc w:val="both"/>
        <w:rPr>
          <w:color w:val="221E1F"/>
        </w:rPr>
      </w:pPr>
      <w:r w:rsidRPr="00FE3760">
        <w:rPr>
          <w:color w:val="221E1F"/>
        </w:rPr>
        <w:t xml:space="preserve">Příprava strategie ITI Českobudějovické aglomerace byla zahájena v první polovině roku 2019, kdy Odbor regionální politiky Ministerstva pro místní rozvoj ČR (dále jen MMR) na jednání měst (nositelů strategií v současném programovém období) oznámil zahájení příprav na nové programové období 2021-2027. Současně zástupci ministerstva sdělili nositelům strategií, že v novém programovém období budou všechny aglomerace nést označení ITI (Integrovaná teritoriální investice). Další změnou oproti současnému období byla informace, že vymezení území nebudou provádět aglomerace. MMR nastaví vymezení území pro všech 13 aglomerací podle studie, kterou zadalo prostřednictvím veřejné zakázky Přírodovědecké fakultě Univerzity Karlovy a Urbánní a regionální laboratoři. Zpracování této studie proběhlo od února 2019 do února 2020. V únoru 2020 byl nositelům předán definitivní </w:t>
      </w:r>
      <w:proofErr w:type="gramStart"/>
      <w:r w:rsidRPr="00FE3760">
        <w:rPr>
          <w:color w:val="221E1F"/>
        </w:rPr>
        <w:t>výstup - vymezen</w:t>
      </w:r>
      <w:r w:rsidR="00905CC3">
        <w:rPr>
          <w:color w:val="221E1F"/>
        </w:rPr>
        <w:t>í</w:t>
      </w:r>
      <w:proofErr w:type="gramEnd"/>
      <w:r w:rsidRPr="00FE3760">
        <w:rPr>
          <w:color w:val="221E1F"/>
        </w:rPr>
        <w:t xml:space="preserve"> území ITI.</w:t>
      </w:r>
    </w:p>
    <w:p w14:paraId="0A32A411" w14:textId="20DD1E89" w:rsidR="003B1532" w:rsidRPr="00FE3760" w:rsidRDefault="003B1532" w:rsidP="00E5441F">
      <w:pPr>
        <w:pStyle w:val="Normlnweb"/>
        <w:numPr>
          <w:ilvl w:val="0"/>
          <w:numId w:val="20"/>
        </w:numPr>
        <w:spacing w:before="0" w:beforeAutospacing="0" w:after="0" w:afterAutospacing="0"/>
        <w:ind w:left="0" w:firstLine="0"/>
        <w:jc w:val="both"/>
        <w:rPr>
          <w:color w:val="221E1F"/>
        </w:rPr>
      </w:pPr>
      <w:r w:rsidRPr="00FE3760">
        <w:rPr>
          <w:color w:val="221E1F"/>
        </w:rPr>
        <w:t xml:space="preserve">Statutární město České Budějovice (dále jen Nositel strategie) zahájilo zpracování dokumentu strategie ITI v září 2019, kdy uzavřelo smlouvu s firmou KP Projekt. Hlavním motivem tohoto předčasného kroku, kdy </w:t>
      </w:r>
      <w:r w:rsidR="00400031">
        <w:rPr>
          <w:color w:val="221E1F"/>
        </w:rPr>
        <w:t xml:space="preserve">město </w:t>
      </w:r>
      <w:r w:rsidRPr="00FE3760">
        <w:rPr>
          <w:color w:val="221E1F"/>
        </w:rPr>
        <w:t xml:space="preserve">nečekalo na konečný výstup z MMR k vymezení území, byla zkušenost </w:t>
      </w:r>
      <w:proofErr w:type="gramStart"/>
      <w:r w:rsidR="00400031">
        <w:rPr>
          <w:color w:val="221E1F"/>
        </w:rPr>
        <w:t>se</w:t>
      </w:r>
      <w:proofErr w:type="gramEnd"/>
      <w:r w:rsidR="00400031">
        <w:rPr>
          <w:color w:val="221E1F"/>
        </w:rPr>
        <w:t xml:space="preserve"> zpracování strategie v </w:t>
      </w:r>
      <w:r w:rsidRPr="00FE3760">
        <w:rPr>
          <w:color w:val="221E1F"/>
        </w:rPr>
        <w:t>současné</w:t>
      </w:r>
      <w:r w:rsidR="00400031">
        <w:rPr>
          <w:color w:val="221E1F"/>
        </w:rPr>
        <w:t>m</w:t>
      </w:r>
      <w:r w:rsidRPr="00FE3760">
        <w:rPr>
          <w:color w:val="221E1F"/>
        </w:rPr>
        <w:t xml:space="preserve"> období 2014 </w:t>
      </w:r>
      <w:r w:rsidR="00400031">
        <w:rPr>
          <w:color w:val="221E1F"/>
        </w:rPr>
        <w:t>–</w:t>
      </w:r>
      <w:r w:rsidRPr="00FE3760">
        <w:rPr>
          <w:color w:val="221E1F"/>
        </w:rPr>
        <w:t xml:space="preserve"> 2020</w:t>
      </w:r>
      <w:r w:rsidR="00400031">
        <w:rPr>
          <w:color w:val="221E1F"/>
        </w:rPr>
        <w:t>.</w:t>
      </w:r>
      <w:r w:rsidRPr="00FE3760">
        <w:rPr>
          <w:color w:val="221E1F"/>
        </w:rPr>
        <w:t xml:space="preserve"> </w:t>
      </w:r>
      <w:r w:rsidR="00400031">
        <w:rPr>
          <w:color w:val="221E1F"/>
        </w:rPr>
        <w:t>K</w:t>
      </w:r>
      <w:r w:rsidR="000E3734">
        <w:rPr>
          <w:color w:val="221E1F"/>
        </w:rPr>
        <w:t>oncepční</w:t>
      </w:r>
      <w:r w:rsidRPr="00FE3760">
        <w:rPr>
          <w:color w:val="221E1F"/>
        </w:rPr>
        <w:t xml:space="preserve"> část dokumentu </w:t>
      </w:r>
      <w:r w:rsidR="00400031">
        <w:rPr>
          <w:color w:val="221E1F"/>
        </w:rPr>
        <w:t xml:space="preserve">je </w:t>
      </w:r>
      <w:r w:rsidRPr="00FE3760">
        <w:rPr>
          <w:color w:val="221E1F"/>
        </w:rPr>
        <w:t>z převážné části </w:t>
      </w:r>
      <w:r w:rsidR="000E3734">
        <w:rPr>
          <w:color w:val="221E1F"/>
        </w:rPr>
        <w:t>dokončena</w:t>
      </w:r>
      <w:r w:rsidRPr="00FE3760">
        <w:rPr>
          <w:color w:val="221E1F"/>
        </w:rPr>
        <w:t>. V</w:t>
      </w:r>
      <w:r w:rsidR="000E3734">
        <w:rPr>
          <w:color w:val="221E1F"/>
        </w:rPr>
        <w:t> prosinci 2020</w:t>
      </w:r>
      <w:r w:rsidRPr="00FE3760">
        <w:rPr>
          <w:color w:val="221E1F"/>
        </w:rPr>
        <w:t xml:space="preserve"> byl Nositeli předán </w:t>
      </w:r>
      <w:r w:rsidR="006B39D7">
        <w:rPr>
          <w:color w:val="221E1F"/>
        </w:rPr>
        <w:t>druhý</w:t>
      </w:r>
      <w:r w:rsidRPr="00FE3760">
        <w:rPr>
          <w:color w:val="221E1F"/>
        </w:rPr>
        <w:t xml:space="preserve"> draft Koncepční části</w:t>
      </w:r>
      <w:r w:rsidR="00905CC3">
        <w:rPr>
          <w:color w:val="221E1F"/>
        </w:rPr>
        <w:t xml:space="preserve"> </w:t>
      </w:r>
      <w:r w:rsidRPr="00FE3760">
        <w:rPr>
          <w:color w:val="221E1F"/>
        </w:rPr>
        <w:t xml:space="preserve">a nyní probíhá </w:t>
      </w:r>
      <w:r w:rsidR="00400031">
        <w:rPr>
          <w:color w:val="221E1F"/>
        </w:rPr>
        <w:t xml:space="preserve">jeho </w:t>
      </w:r>
      <w:r w:rsidRPr="00FE3760">
        <w:rPr>
          <w:color w:val="221E1F"/>
        </w:rPr>
        <w:t xml:space="preserve">připomínkování a následně proběhne projednání v orgánech Nositele strategie. </w:t>
      </w:r>
    </w:p>
    <w:p w14:paraId="53CCC3C4" w14:textId="2D6C2DE7" w:rsidR="003B1532" w:rsidRPr="00FE3760" w:rsidRDefault="003B1532" w:rsidP="00E5441F">
      <w:pPr>
        <w:pStyle w:val="Normlnweb"/>
        <w:numPr>
          <w:ilvl w:val="0"/>
          <w:numId w:val="20"/>
        </w:numPr>
        <w:spacing w:before="0" w:beforeAutospacing="0" w:after="0" w:afterAutospacing="0"/>
        <w:ind w:left="0" w:firstLine="0"/>
        <w:jc w:val="both"/>
        <w:rPr>
          <w:color w:val="221E1F"/>
        </w:rPr>
      </w:pPr>
      <w:r w:rsidRPr="00FE3760">
        <w:rPr>
          <w:color w:val="221E1F"/>
        </w:rPr>
        <w:t>V prosinci 2019, kdy</w:t>
      </w:r>
      <w:r w:rsidR="00905CC3">
        <w:rPr>
          <w:color w:val="221E1F"/>
        </w:rPr>
        <w:t>ž</w:t>
      </w:r>
      <w:r w:rsidRPr="00FE3760">
        <w:rPr>
          <w:color w:val="221E1F"/>
        </w:rPr>
        <w:t xml:space="preserve"> byly známy první indikace konečných výstupů k vymezení území, </w:t>
      </w:r>
      <w:r w:rsidR="00B977EE">
        <w:rPr>
          <w:color w:val="221E1F"/>
        </w:rPr>
        <w:t>byl zahájen proces zjišťování absorpční kapacity v území. P</w:t>
      </w:r>
      <w:r w:rsidRPr="00FE3760">
        <w:rPr>
          <w:color w:val="221E1F"/>
        </w:rPr>
        <w:t xml:space="preserve">roběhlo první oslovení </w:t>
      </w:r>
      <w:proofErr w:type="gramStart"/>
      <w:r w:rsidRPr="00FE3760">
        <w:rPr>
          <w:color w:val="221E1F"/>
        </w:rPr>
        <w:t>partnerů - obcí</w:t>
      </w:r>
      <w:proofErr w:type="gramEnd"/>
      <w:r w:rsidRPr="00FE3760">
        <w:rPr>
          <w:color w:val="221E1F"/>
        </w:rPr>
        <w:t xml:space="preserve">, které byly obeslány a požádány o zaslání </w:t>
      </w:r>
      <w:r w:rsidR="00400031">
        <w:rPr>
          <w:color w:val="221E1F"/>
        </w:rPr>
        <w:t xml:space="preserve">svých </w:t>
      </w:r>
      <w:r w:rsidRPr="00FE3760">
        <w:rPr>
          <w:color w:val="221E1F"/>
        </w:rPr>
        <w:t xml:space="preserve">projektových záměrů, které plánují v připravovaném období 2021-2027 realizovat. Hned jak došlo k definitivnímu vymezení území, v únoru 2020, byly osloveny obce v krátkém časovém sledu </w:t>
      </w:r>
      <w:r w:rsidR="006B39D7">
        <w:rPr>
          <w:color w:val="221E1F"/>
        </w:rPr>
        <w:t>znovu, a to</w:t>
      </w:r>
      <w:r w:rsidRPr="00FE3760">
        <w:rPr>
          <w:color w:val="221E1F"/>
        </w:rPr>
        <w:t xml:space="preserve"> dopisem náměstka primátora Ing. Petra Holického. Na jaře 2020, z důvodu celoplošných omezení v souvislosti s explozí pandemie, byly aktivity jak ze strany řídících orgánů, tak i ze strany všech měst ITI dočasně omezeny. Nositel strategie, jako jediné město ITI ve spolupráci s MMR realizoval před zavedením celoplošných omezení dne 3. 3. 2020 v </w:t>
      </w:r>
      <w:proofErr w:type="spellStart"/>
      <w:r w:rsidRPr="00FE3760">
        <w:rPr>
          <w:color w:val="221E1F"/>
        </w:rPr>
        <w:t>Clarion</w:t>
      </w:r>
      <w:proofErr w:type="spellEnd"/>
      <w:r w:rsidRPr="00FE3760">
        <w:rPr>
          <w:color w:val="221E1F"/>
        </w:rPr>
        <w:t xml:space="preserve"> </w:t>
      </w:r>
      <w:proofErr w:type="spellStart"/>
      <w:r w:rsidRPr="00FE3760">
        <w:rPr>
          <w:color w:val="221E1F"/>
        </w:rPr>
        <w:t>Congress</w:t>
      </w:r>
      <w:proofErr w:type="spellEnd"/>
      <w:r w:rsidRPr="00FE3760">
        <w:rPr>
          <w:color w:val="221E1F"/>
        </w:rPr>
        <w:t xml:space="preserve"> Hotel v Českých Budějovicích seminář pro obce a partnery v území. Na tomto semináři byli účastnici prostřednictvím prezentace manažera ITI Nositele strategie seznámeni se všemi atributy nástroje územní dimenze ITI Českobudějovické aglomerace, s vymezeným územím, </w:t>
      </w:r>
      <w:r w:rsidR="00400031">
        <w:rPr>
          <w:color w:val="221E1F"/>
        </w:rPr>
        <w:t xml:space="preserve">s </w:t>
      </w:r>
      <w:r w:rsidRPr="00FE3760">
        <w:rPr>
          <w:color w:val="221E1F"/>
        </w:rPr>
        <w:t>podporovanými oblastmi operačních programů pro ITI</w:t>
      </w:r>
      <w:r w:rsidR="00400031">
        <w:rPr>
          <w:color w:val="221E1F"/>
        </w:rPr>
        <w:t>.</w:t>
      </w:r>
      <w:r w:rsidRPr="00FE3760">
        <w:rPr>
          <w:color w:val="221E1F"/>
        </w:rPr>
        <w:t xml:space="preserve"> </w:t>
      </w:r>
      <w:r w:rsidR="00400031">
        <w:rPr>
          <w:color w:val="221E1F"/>
        </w:rPr>
        <w:t>Z</w:t>
      </w:r>
      <w:r w:rsidRPr="00FE3760">
        <w:rPr>
          <w:color w:val="221E1F"/>
        </w:rPr>
        <w:t xml:space="preserve">ejména byly prezentovány rozdíly v pojetí ITI oproti současnému programovému období 2014-2020, ve kterém Nositel strategie realizuje strategii pod názvem IPRÚ České Budějovice. </w:t>
      </w:r>
    </w:p>
    <w:p w14:paraId="717F1AC1" w14:textId="30E6F242" w:rsidR="003B1532" w:rsidRPr="00FE3760" w:rsidRDefault="003B1532" w:rsidP="00E5441F">
      <w:pPr>
        <w:pStyle w:val="Normlnweb"/>
        <w:numPr>
          <w:ilvl w:val="0"/>
          <w:numId w:val="20"/>
        </w:numPr>
        <w:spacing w:before="0" w:beforeAutospacing="0" w:after="0" w:afterAutospacing="0"/>
        <w:ind w:left="0" w:firstLine="0"/>
        <w:jc w:val="both"/>
        <w:rPr>
          <w:color w:val="221E1F"/>
        </w:rPr>
      </w:pPr>
      <w:r w:rsidRPr="00FE3760">
        <w:rPr>
          <w:color w:val="221E1F"/>
        </w:rPr>
        <w:t>Následně proběhlo dne 10. 3. 2020 jednání Regionální stálé konference (dále jen RSK), na kterém </w:t>
      </w:r>
      <w:r w:rsidR="00403DDC">
        <w:rPr>
          <w:color w:val="221E1F"/>
        </w:rPr>
        <w:t>byla poskytnuta prezentace</w:t>
      </w:r>
      <w:r w:rsidRPr="00FE3760">
        <w:rPr>
          <w:color w:val="221E1F"/>
        </w:rPr>
        <w:t xml:space="preserve"> členům RSK </w:t>
      </w:r>
      <w:r w:rsidR="00403DDC">
        <w:rPr>
          <w:color w:val="221E1F"/>
        </w:rPr>
        <w:t xml:space="preserve">s </w:t>
      </w:r>
      <w:r w:rsidR="006B39D7">
        <w:rPr>
          <w:color w:val="221E1F"/>
        </w:rPr>
        <w:t>podrobnou</w:t>
      </w:r>
      <w:r w:rsidRPr="00FE3760">
        <w:rPr>
          <w:color w:val="221E1F"/>
        </w:rPr>
        <w:t xml:space="preserve"> informac</w:t>
      </w:r>
      <w:r w:rsidR="00403DDC">
        <w:rPr>
          <w:color w:val="221E1F"/>
        </w:rPr>
        <w:t>í</w:t>
      </w:r>
      <w:r w:rsidRPr="00FE3760">
        <w:rPr>
          <w:color w:val="221E1F"/>
        </w:rPr>
        <w:t xml:space="preserve"> o nástroji ITI a </w:t>
      </w:r>
      <w:r w:rsidR="00400031">
        <w:rPr>
          <w:color w:val="221E1F"/>
        </w:rPr>
        <w:t xml:space="preserve">o </w:t>
      </w:r>
      <w:r w:rsidRPr="00FE3760">
        <w:rPr>
          <w:color w:val="221E1F"/>
        </w:rPr>
        <w:t>průběhu přípravy strategie</w:t>
      </w:r>
      <w:r w:rsidR="00400031">
        <w:rPr>
          <w:color w:val="221E1F"/>
        </w:rPr>
        <w:t xml:space="preserve"> ITI Českobudějovické aglomerace</w:t>
      </w:r>
      <w:r w:rsidRPr="00FE3760">
        <w:rPr>
          <w:color w:val="221E1F"/>
        </w:rPr>
        <w:t>.</w:t>
      </w:r>
    </w:p>
    <w:p w14:paraId="3432552D" w14:textId="71F676D0" w:rsidR="003B1532" w:rsidRPr="00FE3760" w:rsidRDefault="003B1532" w:rsidP="00E5441F">
      <w:pPr>
        <w:pStyle w:val="Normlnweb"/>
        <w:numPr>
          <w:ilvl w:val="0"/>
          <w:numId w:val="20"/>
        </w:numPr>
        <w:spacing w:before="0" w:beforeAutospacing="0" w:after="0" w:afterAutospacing="0"/>
        <w:ind w:left="0" w:firstLine="0"/>
        <w:jc w:val="both"/>
        <w:rPr>
          <w:color w:val="221E1F"/>
        </w:rPr>
      </w:pPr>
      <w:r w:rsidRPr="00FE3760">
        <w:rPr>
          <w:color w:val="221E1F"/>
        </w:rPr>
        <w:t>No</w:t>
      </w:r>
      <w:r w:rsidR="006B39D7">
        <w:rPr>
          <w:color w:val="221E1F"/>
        </w:rPr>
        <w:t>s</w:t>
      </w:r>
      <w:r w:rsidRPr="00FE3760">
        <w:rPr>
          <w:color w:val="221E1F"/>
        </w:rPr>
        <w:t xml:space="preserve">itel strategie průběžně v r. 2020 absolvoval jednání s MMR Odborem regionální politiky (dále jen ORP), který s městy ITI projednával přípravu Metodiky pro povinnou strukturu strategie. Tato metodika je k dnešku ORP zpracována pouze pro analytickou část, chybí dořešení metodiky pro návrhovou část, </w:t>
      </w:r>
      <w:r w:rsidRPr="006B39D7">
        <w:rPr>
          <w:b/>
          <w:bCs/>
          <w:color w:val="221E1F"/>
        </w:rPr>
        <w:t>zejména pro klíčov</w:t>
      </w:r>
      <w:r w:rsidR="00905CC3">
        <w:rPr>
          <w:b/>
          <w:bCs/>
          <w:color w:val="221E1F"/>
        </w:rPr>
        <w:t xml:space="preserve">ou </w:t>
      </w:r>
      <w:proofErr w:type="gramStart"/>
      <w:r w:rsidR="00905CC3">
        <w:rPr>
          <w:b/>
          <w:bCs/>
          <w:color w:val="221E1F"/>
        </w:rPr>
        <w:t>část</w:t>
      </w:r>
      <w:r w:rsidRPr="006B39D7">
        <w:rPr>
          <w:b/>
          <w:bCs/>
          <w:color w:val="221E1F"/>
        </w:rPr>
        <w:t xml:space="preserve"> - programové</w:t>
      </w:r>
      <w:proofErr w:type="gramEnd"/>
      <w:r w:rsidRPr="006B39D7">
        <w:rPr>
          <w:b/>
          <w:bCs/>
          <w:color w:val="221E1F"/>
        </w:rPr>
        <w:t xml:space="preserve"> </w:t>
      </w:r>
      <w:r w:rsidRPr="006B39D7">
        <w:rPr>
          <w:b/>
          <w:bCs/>
          <w:color w:val="221E1F"/>
        </w:rPr>
        <w:lastRenderedPageBreak/>
        <w:t>rámce.</w:t>
      </w:r>
      <w:r w:rsidRPr="00FE3760">
        <w:rPr>
          <w:color w:val="221E1F"/>
        </w:rPr>
        <w:t xml:space="preserve"> </w:t>
      </w:r>
      <w:r w:rsidR="00400031">
        <w:rPr>
          <w:color w:val="221E1F"/>
        </w:rPr>
        <w:t xml:space="preserve">Doposud se uskutečnilo několik </w:t>
      </w:r>
      <w:r w:rsidRPr="00FE3760">
        <w:rPr>
          <w:color w:val="221E1F"/>
        </w:rPr>
        <w:t xml:space="preserve">jednání s jednotlivými řídícími orgány, na kterých byly ze strany měst požadovány závazné informace k vymezení podporovaných aktivit pro oblast ITI a dále k uznatelným výdajům. Průřezově byly odpovědi na </w:t>
      </w:r>
      <w:r w:rsidR="006B39D7">
        <w:rPr>
          <w:color w:val="221E1F"/>
        </w:rPr>
        <w:t xml:space="preserve">tyto dotazy </w:t>
      </w:r>
      <w:r w:rsidRPr="00FE3760">
        <w:rPr>
          <w:color w:val="221E1F"/>
        </w:rPr>
        <w:t>ze strany řídících orgánů totožné ve smyslu, vše je v rámci přípravy, definitivní stanoviska a metodiky budou finalizovány v r. 2021. Tato nejistota má zásadní dopad i na hodnocení projektů, které nositel při</w:t>
      </w:r>
      <w:r w:rsidR="006B39D7">
        <w:rPr>
          <w:color w:val="221E1F"/>
        </w:rPr>
        <w:t>pravuje</w:t>
      </w:r>
      <w:r w:rsidR="00400031">
        <w:rPr>
          <w:color w:val="221E1F"/>
        </w:rPr>
        <w:t>. A</w:t>
      </w:r>
      <w:r w:rsidRPr="00FE3760">
        <w:rPr>
          <w:color w:val="221E1F"/>
        </w:rPr>
        <w:t>by mohl</w:t>
      </w:r>
      <w:r w:rsidR="00400031">
        <w:rPr>
          <w:color w:val="221E1F"/>
        </w:rPr>
        <w:t>y být</w:t>
      </w:r>
      <w:r w:rsidRPr="00FE3760">
        <w:rPr>
          <w:color w:val="221E1F"/>
        </w:rPr>
        <w:t xml:space="preserve"> předáv</w:t>
      </w:r>
      <w:r w:rsidR="00400031">
        <w:rPr>
          <w:color w:val="221E1F"/>
        </w:rPr>
        <w:t>ány</w:t>
      </w:r>
      <w:r w:rsidRPr="00FE3760">
        <w:rPr>
          <w:color w:val="221E1F"/>
        </w:rPr>
        <w:t xml:space="preserve"> relevantní informace směrem k partnerům v</w:t>
      </w:r>
      <w:r w:rsidR="00400031">
        <w:rPr>
          <w:color w:val="221E1F"/>
        </w:rPr>
        <w:t> </w:t>
      </w:r>
      <w:r w:rsidRPr="00FE3760">
        <w:rPr>
          <w:color w:val="221E1F"/>
        </w:rPr>
        <w:t>území</w:t>
      </w:r>
      <w:r w:rsidR="00400031">
        <w:rPr>
          <w:color w:val="221E1F"/>
        </w:rPr>
        <w:t>,</w:t>
      </w:r>
      <w:r w:rsidRPr="00FE3760">
        <w:rPr>
          <w:color w:val="221E1F"/>
        </w:rPr>
        <w:t xml:space="preserve"> bylo navazují</w:t>
      </w:r>
      <w:r w:rsidR="006B39D7">
        <w:rPr>
          <w:color w:val="221E1F"/>
        </w:rPr>
        <w:t>cí</w:t>
      </w:r>
      <w:r w:rsidRPr="00FE3760">
        <w:rPr>
          <w:color w:val="221E1F"/>
        </w:rPr>
        <w:t xml:space="preserve"> kolo jednání s obcemi naplánováno na říjen 2020. Do té doby měly být ze strany řídících orgán</w:t>
      </w:r>
      <w:r w:rsidR="006B39D7">
        <w:rPr>
          <w:color w:val="221E1F"/>
        </w:rPr>
        <w:t>ů</w:t>
      </w:r>
      <w:r w:rsidRPr="00FE3760">
        <w:rPr>
          <w:color w:val="221E1F"/>
        </w:rPr>
        <w:t xml:space="preserve"> poskytnuty nositelům ITI již konkrétnější a přesnější informace.</w:t>
      </w:r>
    </w:p>
    <w:p w14:paraId="09FA6AF4" w14:textId="1738FBFB" w:rsidR="003B1532" w:rsidRPr="00FE3760" w:rsidRDefault="003B1532" w:rsidP="00E5441F">
      <w:pPr>
        <w:pStyle w:val="Normlnweb"/>
        <w:numPr>
          <w:ilvl w:val="0"/>
          <w:numId w:val="20"/>
        </w:numPr>
        <w:spacing w:before="0" w:beforeAutospacing="0" w:after="0" w:afterAutospacing="0"/>
        <w:ind w:left="0" w:firstLine="0"/>
        <w:jc w:val="both"/>
        <w:rPr>
          <w:color w:val="221E1F"/>
        </w:rPr>
      </w:pPr>
      <w:r w:rsidRPr="00FE3760">
        <w:rPr>
          <w:color w:val="221E1F"/>
        </w:rPr>
        <w:t>Semináře k projednání projektů a přípravy strategie s obcemi byl</w:t>
      </w:r>
      <w:r w:rsidR="006B39D7">
        <w:rPr>
          <w:color w:val="221E1F"/>
        </w:rPr>
        <w:t>y</w:t>
      </w:r>
      <w:r w:rsidRPr="00FE3760">
        <w:rPr>
          <w:color w:val="221E1F"/>
        </w:rPr>
        <w:t xml:space="preserve"> ze strany nositele naplánován</w:t>
      </w:r>
      <w:r w:rsidR="006B39D7">
        <w:rPr>
          <w:color w:val="221E1F"/>
        </w:rPr>
        <w:t>y</w:t>
      </w:r>
      <w:r w:rsidRPr="00FE3760">
        <w:rPr>
          <w:color w:val="221E1F"/>
        </w:rPr>
        <w:t xml:space="preserve"> a </w:t>
      </w:r>
      <w:r w:rsidR="006B39D7">
        <w:rPr>
          <w:color w:val="221E1F"/>
        </w:rPr>
        <w:t xml:space="preserve">termíny s pozvánkou </w:t>
      </w:r>
      <w:r w:rsidRPr="00FE3760">
        <w:rPr>
          <w:color w:val="221E1F"/>
        </w:rPr>
        <w:t>rozeslán</w:t>
      </w:r>
      <w:r w:rsidR="006B39D7">
        <w:rPr>
          <w:color w:val="221E1F"/>
        </w:rPr>
        <w:t>y</w:t>
      </w:r>
      <w:r w:rsidRPr="00FE3760">
        <w:rPr>
          <w:color w:val="221E1F"/>
        </w:rPr>
        <w:t xml:space="preserve"> na obce ve druhé polovině září. Byly stanoveny 4 termíny (8., 9., 15. a 16. 10. 2020), do kterých byl rozvržen celkový počet 81 obcí, takže každý jednotlivý seminář byl naplánován pro 20 obcí. V důsledku vládních opatření proběhl seminář pouze 8. 10. 2020</w:t>
      </w:r>
      <w:r w:rsidR="00B977EE">
        <w:rPr>
          <w:color w:val="221E1F"/>
        </w:rPr>
        <w:t>, ostatní byly zrušeny</w:t>
      </w:r>
      <w:r w:rsidRPr="00FE3760">
        <w:rPr>
          <w:color w:val="221E1F"/>
        </w:rPr>
        <w:t>. Obsahem semináře byla tato témata:</w:t>
      </w:r>
    </w:p>
    <w:p w14:paraId="66E5D0AE" w14:textId="77777777" w:rsidR="00DE2705" w:rsidRDefault="003B1532" w:rsidP="00E5441F">
      <w:pPr>
        <w:pStyle w:val="Normlnweb"/>
        <w:numPr>
          <w:ilvl w:val="1"/>
          <w:numId w:val="20"/>
        </w:numPr>
        <w:spacing w:before="0" w:beforeAutospacing="0" w:after="0" w:afterAutospacing="0"/>
        <w:ind w:left="0" w:firstLine="0"/>
        <w:jc w:val="both"/>
        <w:rPr>
          <w:color w:val="221E1F"/>
        </w:rPr>
      </w:pPr>
      <w:r w:rsidRPr="00FE3760">
        <w:rPr>
          <w:color w:val="221E1F"/>
        </w:rPr>
        <w:t xml:space="preserve">Porovnání Programového období (PO) 2014-2020 a nového PO 2021-2027 </w:t>
      </w:r>
    </w:p>
    <w:p w14:paraId="19838C57" w14:textId="77777777" w:rsidR="00DE2705" w:rsidRDefault="003B1532" w:rsidP="00E5441F">
      <w:pPr>
        <w:pStyle w:val="Normlnweb"/>
        <w:numPr>
          <w:ilvl w:val="1"/>
          <w:numId w:val="20"/>
        </w:numPr>
        <w:spacing w:before="0" w:beforeAutospacing="0" w:after="0" w:afterAutospacing="0"/>
        <w:ind w:left="0" w:firstLine="0"/>
        <w:jc w:val="both"/>
        <w:rPr>
          <w:color w:val="221E1F"/>
        </w:rPr>
      </w:pPr>
      <w:r w:rsidRPr="00DE2705">
        <w:rPr>
          <w:color w:val="221E1F"/>
        </w:rPr>
        <w:t xml:space="preserve">Představení jednotlivých operačních programů v novém PO 2021-2027 - Integrovaný regionální operační program (IROP) Ministerstva pro místní </w:t>
      </w:r>
      <w:proofErr w:type="gramStart"/>
      <w:r w:rsidRPr="00DE2705">
        <w:rPr>
          <w:color w:val="221E1F"/>
        </w:rPr>
        <w:t>rozvoj - popis</w:t>
      </w:r>
      <w:proofErr w:type="gramEnd"/>
      <w:r w:rsidRPr="00DE2705">
        <w:rPr>
          <w:color w:val="221E1F"/>
        </w:rPr>
        <w:t xml:space="preserve"> SC a podporovaných aktivit</w:t>
      </w:r>
    </w:p>
    <w:p w14:paraId="66AB9303" w14:textId="77777777" w:rsidR="00DE2705" w:rsidRDefault="003B1532" w:rsidP="00E5441F">
      <w:pPr>
        <w:pStyle w:val="Normlnweb"/>
        <w:numPr>
          <w:ilvl w:val="1"/>
          <w:numId w:val="20"/>
        </w:numPr>
        <w:spacing w:before="0" w:beforeAutospacing="0" w:after="0" w:afterAutospacing="0"/>
        <w:ind w:left="0" w:firstLine="0"/>
        <w:jc w:val="both"/>
        <w:rPr>
          <w:color w:val="221E1F"/>
        </w:rPr>
      </w:pPr>
      <w:r w:rsidRPr="00DE2705">
        <w:rPr>
          <w:color w:val="221E1F"/>
        </w:rPr>
        <w:t xml:space="preserve">Operační program Doprava (OP D) Ministerstva </w:t>
      </w:r>
      <w:proofErr w:type="gramStart"/>
      <w:r w:rsidRPr="00DE2705">
        <w:rPr>
          <w:color w:val="221E1F"/>
        </w:rPr>
        <w:t>dopravy - popis</w:t>
      </w:r>
      <w:proofErr w:type="gramEnd"/>
      <w:r w:rsidRPr="00DE2705">
        <w:rPr>
          <w:color w:val="221E1F"/>
        </w:rPr>
        <w:t xml:space="preserve"> SC a podporovaných aktivit</w:t>
      </w:r>
    </w:p>
    <w:p w14:paraId="5F33B6C6" w14:textId="77777777" w:rsidR="00DE2705" w:rsidRDefault="003B1532" w:rsidP="00E5441F">
      <w:pPr>
        <w:pStyle w:val="Normlnweb"/>
        <w:numPr>
          <w:ilvl w:val="1"/>
          <w:numId w:val="20"/>
        </w:numPr>
        <w:spacing w:before="0" w:beforeAutospacing="0" w:after="0" w:afterAutospacing="0"/>
        <w:ind w:left="0" w:firstLine="0"/>
        <w:jc w:val="both"/>
        <w:rPr>
          <w:color w:val="221E1F"/>
        </w:rPr>
      </w:pPr>
      <w:r w:rsidRPr="00DE2705">
        <w:rPr>
          <w:color w:val="221E1F"/>
        </w:rPr>
        <w:t xml:space="preserve">Operační program Životní prostředí (OP ŽP) Ministerstva životního </w:t>
      </w:r>
      <w:proofErr w:type="gramStart"/>
      <w:r w:rsidRPr="00DE2705">
        <w:rPr>
          <w:color w:val="221E1F"/>
        </w:rPr>
        <w:t>prostředí - popis</w:t>
      </w:r>
      <w:proofErr w:type="gramEnd"/>
      <w:r w:rsidRPr="00DE2705">
        <w:rPr>
          <w:color w:val="221E1F"/>
        </w:rPr>
        <w:t xml:space="preserve"> SC a podporovaných aktivit</w:t>
      </w:r>
    </w:p>
    <w:p w14:paraId="5DF7BE38" w14:textId="77777777" w:rsidR="00DE2705" w:rsidRDefault="003B1532" w:rsidP="00E5441F">
      <w:pPr>
        <w:pStyle w:val="Normlnweb"/>
        <w:numPr>
          <w:ilvl w:val="1"/>
          <w:numId w:val="20"/>
        </w:numPr>
        <w:spacing w:before="0" w:beforeAutospacing="0" w:after="0" w:afterAutospacing="0"/>
        <w:ind w:left="0" w:firstLine="0"/>
        <w:jc w:val="both"/>
        <w:rPr>
          <w:color w:val="221E1F"/>
        </w:rPr>
      </w:pPr>
      <w:r w:rsidRPr="00DE2705">
        <w:rPr>
          <w:color w:val="221E1F"/>
        </w:rPr>
        <w:t xml:space="preserve">Operační program Technologie a aplikace pro konkurenceschopnost Ministerstva průmyslu a </w:t>
      </w:r>
      <w:proofErr w:type="gramStart"/>
      <w:r w:rsidRPr="00DE2705">
        <w:rPr>
          <w:color w:val="221E1F"/>
        </w:rPr>
        <w:t>obchodu - popis</w:t>
      </w:r>
      <w:proofErr w:type="gramEnd"/>
      <w:r w:rsidRPr="00DE2705">
        <w:rPr>
          <w:color w:val="221E1F"/>
        </w:rPr>
        <w:t xml:space="preserve"> SC a podporovaných aktivit</w:t>
      </w:r>
    </w:p>
    <w:p w14:paraId="04494097" w14:textId="77777777" w:rsidR="00DE2705" w:rsidRDefault="003B1532" w:rsidP="00E5441F">
      <w:pPr>
        <w:pStyle w:val="Normlnweb"/>
        <w:numPr>
          <w:ilvl w:val="1"/>
          <w:numId w:val="20"/>
        </w:numPr>
        <w:spacing w:before="0" w:beforeAutospacing="0" w:after="0" w:afterAutospacing="0"/>
        <w:ind w:left="0" w:firstLine="0"/>
        <w:jc w:val="both"/>
        <w:rPr>
          <w:color w:val="221E1F"/>
        </w:rPr>
      </w:pPr>
      <w:r w:rsidRPr="00DE2705">
        <w:rPr>
          <w:color w:val="221E1F"/>
        </w:rPr>
        <w:t xml:space="preserve">Operační program Jan Ámos Komenský Ministerstva školství, mládeže a </w:t>
      </w:r>
      <w:proofErr w:type="gramStart"/>
      <w:r w:rsidRPr="00DE2705">
        <w:rPr>
          <w:color w:val="221E1F"/>
        </w:rPr>
        <w:t>tělovýchovy - popis</w:t>
      </w:r>
      <w:proofErr w:type="gramEnd"/>
      <w:r w:rsidRPr="00DE2705">
        <w:rPr>
          <w:color w:val="221E1F"/>
        </w:rPr>
        <w:t xml:space="preserve"> SC a podporovaných aktivit</w:t>
      </w:r>
    </w:p>
    <w:p w14:paraId="093F96F5" w14:textId="77777777" w:rsidR="00DE2705" w:rsidRDefault="003B1532" w:rsidP="00E5441F">
      <w:pPr>
        <w:pStyle w:val="Normlnweb"/>
        <w:numPr>
          <w:ilvl w:val="1"/>
          <w:numId w:val="20"/>
        </w:numPr>
        <w:spacing w:before="0" w:beforeAutospacing="0" w:after="0" w:afterAutospacing="0"/>
        <w:ind w:left="0" w:firstLine="0"/>
        <w:jc w:val="both"/>
        <w:rPr>
          <w:color w:val="221E1F"/>
        </w:rPr>
      </w:pPr>
      <w:r w:rsidRPr="00DE2705">
        <w:rPr>
          <w:color w:val="221E1F"/>
        </w:rPr>
        <w:t xml:space="preserve">Operační program Zaměstnanost Ministerstva práce a sociálních </w:t>
      </w:r>
      <w:proofErr w:type="gramStart"/>
      <w:r w:rsidRPr="00DE2705">
        <w:rPr>
          <w:color w:val="221E1F"/>
        </w:rPr>
        <w:t>věcí - popis</w:t>
      </w:r>
      <w:proofErr w:type="gramEnd"/>
      <w:r w:rsidRPr="00DE2705">
        <w:rPr>
          <w:color w:val="221E1F"/>
        </w:rPr>
        <w:t xml:space="preserve"> SC a podporovaných aktivit</w:t>
      </w:r>
    </w:p>
    <w:p w14:paraId="678EEE06" w14:textId="77777777" w:rsidR="003B1532" w:rsidRPr="00DE2705" w:rsidRDefault="003B1532" w:rsidP="00E5441F">
      <w:pPr>
        <w:pStyle w:val="Normlnweb"/>
        <w:numPr>
          <w:ilvl w:val="1"/>
          <w:numId w:val="20"/>
        </w:numPr>
        <w:spacing w:before="0" w:beforeAutospacing="0" w:after="0" w:afterAutospacing="0"/>
        <w:ind w:left="0" w:firstLine="0"/>
        <w:jc w:val="both"/>
        <w:rPr>
          <w:color w:val="221E1F"/>
        </w:rPr>
      </w:pPr>
      <w:r w:rsidRPr="00DE2705">
        <w:rPr>
          <w:color w:val="221E1F"/>
        </w:rPr>
        <w:t>Příprava strategie ITI českobudějovické aglomerace</w:t>
      </w:r>
    </w:p>
    <w:p w14:paraId="714E3EC8" w14:textId="77777777" w:rsidR="003B1532" w:rsidRPr="00FE3760" w:rsidRDefault="00DE2705" w:rsidP="00E5441F">
      <w:pPr>
        <w:pStyle w:val="Normlnweb"/>
        <w:spacing w:before="0" w:beforeAutospacing="0" w:after="0" w:afterAutospacing="0"/>
        <w:jc w:val="both"/>
        <w:rPr>
          <w:color w:val="221E1F"/>
        </w:rPr>
      </w:pPr>
      <w:r>
        <w:rPr>
          <w:color w:val="221E1F"/>
        </w:rPr>
        <w:t>Z jednání byl pořízen z</w:t>
      </w:r>
      <w:r w:rsidR="003B1532" w:rsidRPr="00FE3760">
        <w:rPr>
          <w:color w:val="221E1F"/>
        </w:rPr>
        <w:t xml:space="preserve">ápis. Vzhledem ke skutečnosti, že se z objektivních </w:t>
      </w:r>
      <w:r w:rsidR="00B977EE">
        <w:rPr>
          <w:color w:val="221E1F"/>
        </w:rPr>
        <w:t xml:space="preserve">důvodů </w:t>
      </w:r>
      <w:r w:rsidR="003B1532" w:rsidRPr="00FE3760">
        <w:rPr>
          <w:color w:val="221E1F"/>
        </w:rPr>
        <w:t>nepodařilo naplnit plánovaný harmonogram jednání, probíhají další jednání s obcemi individuálně a společná jednání budou uskutečněna</w:t>
      </w:r>
      <w:r>
        <w:rPr>
          <w:color w:val="221E1F"/>
        </w:rPr>
        <w:t xml:space="preserve"> </w:t>
      </w:r>
      <w:r w:rsidR="00B977EE">
        <w:rPr>
          <w:color w:val="221E1F"/>
        </w:rPr>
        <w:t xml:space="preserve">až </w:t>
      </w:r>
      <w:r w:rsidR="003B1532" w:rsidRPr="00FE3760">
        <w:rPr>
          <w:color w:val="221E1F"/>
        </w:rPr>
        <w:t xml:space="preserve">po rozvolnění celoplošných opatření v souvislosti </w:t>
      </w:r>
      <w:r w:rsidR="00B977EE">
        <w:rPr>
          <w:color w:val="221E1F"/>
        </w:rPr>
        <w:t xml:space="preserve">s </w:t>
      </w:r>
      <w:r w:rsidR="003B1532" w:rsidRPr="00FE3760">
        <w:rPr>
          <w:color w:val="221E1F"/>
        </w:rPr>
        <w:t>pandemií.</w:t>
      </w:r>
    </w:p>
    <w:p w14:paraId="61CB805B" w14:textId="00278DC0" w:rsidR="003B1532" w:rsidRPr="00FE3760" w:rsidRDefault="003B1532" w:rsidP="00E5441F">
      <w:pPr>
        <w:pStyle w:val="Normlnweb"/>
        <w:numPr>
          <w:ilvl w:val="0"/>
          <w:numId w:val="20"/>
        </w:numPr>
        <w:spacing w:before="0" w:beforeAutospacing="0" w:after="0" w:afterAutospacing="0"/>
        <w:ind w:left="0" w:firstLine="0"/>
        <w:jc w:val="both"/>
        <w:rPr>
          <w:color w:val="221E1F"/>
        </w:rPr>
      </w:pPr>
      <w:r w:rsidRPr="00FE3760">
        <w:rPr>
          <w:color w:val="221E1F"/>
        </w:rPr>
        <w:t xml:space="preserve">Nositel strategie souběžně s komunikací s partnery v území realizoval od r. 2019 přípravu strategických projektů v oblasti dopravy, vzdělávání, revitalizace kulturních památek a životního prostředí. Průběh přípravy a nastavení projektů od celého začátku výrazně limituje jeden zásadní </w:t>
      </w:r>
      <w:proofErr w:type="gramStart"/>
      <w:r w:rsidRPr="00FE3760">
        <w:rPr>
          <w:color w:val="221E1F"/>
        </w:rPr>
        <w:t>faktor - neexistence</w:t>
      </w:r>
      <w:proofErr w:type="gramEnd"/>
      <w:r w:rsidRPr="00FE3760">
        <w:rPr>
          <w:color w:val="221E1F"/>
        </w:rPr>
        <w:t xml:space="preserve"> pevných pravidel pro realizaci projektů, které jsou obsahem Specifických pravidel všech programů. Tyto dokumenty jsou řídícími orgány avizovány v průběhu roku 2021. Proto je nutno nyní nastavit zaměření strategických projektů města v obecnější rovině</w:t>
      </w:r>
      <w:r w:rsidR="00B977EE">
        <w:rPr>
          <w:color w:val="221E1F"/>
        </w:rPr>
        <w:t xml:space="preserve"> tak</w:t>
      </w:r>
      <w:r w:rsidRPr="00FE3760">
        <w:rPr>
          <w:color w:val="221E1F"/>
        </w:rPr>
        <w:t xml:space="preserve">, aby </w:t>
      </w:r>
      <w:r w:rsidR="00B977EE">
        <w:rPr>
          <w:color w:val="221E1F"/>
        </w:rPr>
        <w:t xml:space="preserve">byl </w:t>
      </w:r>
      <w:r w:rsidRPr="00FE3760">
        <w:rPr>
          <w:color w:val="221E1F"/>
        </w:rPr>
        <w:t>prostor pro případné změny, či nová omezení</w:t>
      </w:r>
      <w:r w:rsidR="00B977EE">
        <w:rPr>
          <w:color w:val="221E1F"/>
        </w:rPr>
        <w:t>,</w:t>
      </w:r>
      <w:r w:rsidRPr="00FE3760">
        <w:rPr>
          <w:color w:val="221E1F"/>
        </w:rPr>
        <w:t xml:space="preserve"> ze strany řídících orgánů v budoucích specifických pravidlech. </w:t>
      </w:r>
    </w:p>
    <w:p w14:paraId="57080D15" w14:textId="0875AFC2" w:rsidR="00B977EE" w:rsidRDefault="003B1532" w:rsidP="00E5441F">
      <w:pPr>
        <w:pStyle w:val="Normlnweb"/>
        <w:numPr>
          <w:ilvl w:val="0"/>
          <w:numId w:val="20"/>
        </w:numPr>
        <w:spacing w:before="0" w:beforeAutospacing="0" w:after="0" w:afterAutospacing="0"/>
        <w:ind w:left="0" w:firstLine="0"/>
        <w:jc w:val="both"/>
        <w:rPr>
          <w:color w:val="221E1F"/>
        </w:rPr>
      </w:pPr>
      <w:r w:rsidRPr="00FE3760">
        <w:rPr>
          <w:color w:val="221E1F"/>
        </w:rPr>
        <w:t xml:space="preserve">V průběhu roku 2020 Nositel strategie oslovil </w:t>
      </w:r>
      <w:r w:rsidR="00B977EE">
        <w:rPr>
          <w:color w:val="221E1F"/>
        </w:rPr>
        <w:t xml:space="preserve">také </w:t>
      </w:r>
      <w:r w:rsidRPr="00FE3760">
        <w:rPr>
          <w:color w:val="221E1F"/>
        </w:rPr>
        <w:t xml:space="preserve">významné podnikatelské subjekty na území aglomerace, jako např. Teplárna a.s., Koh-i-noor </w:t>
      </w:r>
      <w:proofErr w:type="spellStart"/>
      <w:r w:rsidRPr="00FE3760">
        <w:rPr>
          <w:color w:val="221E1F"/>
        </w:rPr>
        <w:t>Hardtmuth</w:t>
      </w:r>
      <w:proofErr w:type="spellEnd"/>
      <w:r w:rsidRPr="00FE3760">
        <w:rPr>
          <w:color w:val="221E1F"/>
        </w:rPr>
        <w:t xml:space="preserve"> a.s., Výstaviště a.s., a jiné. Mimo tohoto přímého oslovení proběhlo prostřednictvím Oblastní kanceláře Jihočeské hospodářské komory oslovení širšího spektra podnikatelského sektoru v území. Výstupy z těchto jednání se nyní zpracovávají. Podnikatelské subjekty mají největší potenciál pro realizaci projektů v Operačním programu Technologie a aplikace pro konkurenceschopnost (OP TAK). </w:t>
      </w:r>
    </w:p>
    <w:p w14:paraId="49D343D8" w14:textId="3FA3888D" w:rsidR="003B1532" w:rsidRPr="00B977EE" w:rsidRDefault="003B1532" w:rsidP="00B977EE">
      <w:pPr>
        <w:pStyle w:val="Normlnweb"/>
        <w:numPr>
          <w:ilvl w:val="0"/>
          <w:numId w:val="20"/>
        </w:numPr>
        <w:spacing w:before="0" w:beforeAutospacing="0" w:after="0" w:afterAutospacing="0"/>
        <w:ind w:left="0" w:firstLine="0"/>
        <w:jc w:val="both"/>
        <w:rPr>
          <w:color w:val="221E1F"/>
        </w:rPr>
      </w:pPr>
      <w:r w:rsidRPr="00FE3760">
        <w:rPr>
          <w:color w:val="221E1F"/>
        </w:rPr>
        <w:t xml:space="preserve">Mimo ostatní aktivity proběhlo jednání </w:t>
      </w:r>
      <w:r w:rsidR="00403DDC">
        <w:rPr>
          <w:color w:val="221E1F"/>
        </w:rPr>
        <w:t xml:space="preserve">i </w:t>
      </w:r>
      <w:r w:rsidRPr="00FE3760">
        <w:rPr>
          <w:color w:val="221E1F"/>
        </w:rPr>
        <w:t>se zástupci Českobudějovického biskupství, které má připravené projekty v oblasti revitalizace památek a kulturního dědictví</w:t>
      </w:r>
      <w:r w:rsidR="006875BE">
        <w:rPr>
          <w:color w:val="221E1F"/>
        </w:rPr>
        <w:t xml:space="preserve"> </w:t>
      </w:r>
      <w:r w:rsidRPr="00B977EE">
        <w:rPr>
          <w:color w:val="221E1F"/>
        </w:rPr>
        <w:t xml:space="preserve">v souladu s aktuálně nastavenou dikcí řídících orgánů </w:t>
      </w:r>
      <w:r w:rsidR="00DE2705" w:rsidRPr="00B977EE">
        <w:rPr>
          <w:color w:val="221E1F"/>
        </w:rPr>
        <w:t>jsou oslovováni postupně</w:t>
      </w:r>
      <w:r w:rsidRPr="00B977EE">
        <w:rPr>
          <w:color w:val="221E1F"/>
        </w:rPr>
        <w:t xml:space="preserve"> všichni potencionální partneři v území, kteří mohou přispět k finálnímu zpracování dokumentu Strategie ITI </w:t>
      </w:r>
      <w:r w:rsidRPr="00B977EE">
        <w:rPr>
          <w:color w:val="221E1F"/>
        </w:rPr>
        <w:lastRenderedPageBreak/>
        <w:t>Českobudějovické aglomerace</w:t>
      </w:r>
      <w:r w:rsidR="00B977EE">
        <w:rPr>
          <w:color w:val="221E1F"/>
        </w:rPr>
        <w:t>.</w:t>
      </w:r>
      <w:r w:rsidRPr="00B977EE">
        <w:rPr>
          <w:color w:val="221E1F"/>
        </w:rPr>
        <w:t xml:space="preserve">, </w:t>
      </w:r>
      <w:r w:rsidR="00B977EE">
        <w:rPr>
          <w:color w:val="221E1F"/>
        </w:rPr>
        <w:t xml:space="preserve"> Ke sběru projektů v území přispěla i nově zřízená Nástěnka ITI na webových stránkách města, která bude v dohledné době doplněna i formulářem pro </w:t>
      </w:r>
      <w:r w:rsidR="00232D23">
        <w:rPr>
          <w:color w:val="221E1F"/>
        </w:rPr>
        <w:t>podání záměru.</w:t>
      </w:r>
    </w:p>
    <w:p w14:paraId="48DE87F7" w14:textId="25E45103" w:rsidR="000E3734" w:rsidRDefault="000E3734" w:rsidP="00E5441F">
      <w:pPr>
        <w:pStyle w:val="Odstavecseseznamem"/>
        <w:shd w:val="clear" w:color="auto" w:fill="FFFFFF" w:themeFill="background1"/>
        <w:spacing w:after="0" w:line="240" w:lineRule="auto"/>
        <w:ind w:left="0"/>
        <w:jc w:val="both"/>
        <w:rPr>
          <w:rFonts w:ascii="Times New Roman" w:hAnsi="Times New Roman" w:cs="Times New Roman"/>
          <w:b/>
          <w:bCs/>
          <w:sz w:val="24"/>
          <w:szCs w:val="24"/>
        </w:rPr>
      </w:pPr>
    </w:p>
    <w:p w14:paraId="4304B666" w14:textId="77777777" w:rsidR="00905CC3" w:rsidRPr="00DE2705" w:rsidRDefault="00905CC3" w:rsidP="00E5441F">
      <w:pPr>
        <w:pStyle w:val="Odstavecseseznamem"/>
        <w:shd w:val="clear" w:color="auto" w:fill="FFFFFF" w:themeFill="background1"/>
        <w:spacing w:after="0" w:line="240" w:lineRule="auto"/>
        <w:ind w:left="0"/>
        <w:jc w:val="both"/>
        <w:rPr>
          <w:rFonts w:ascii="Times New Roman" w:hAnsi="Times New Roman" w:cs="Times New Roman"/>
          <w:b/>
          <w:bCs/>
          <w:sz w:val="24"/>
          <w:szCs w:val="24"/>
        </w:rPr>
      </w:pPr>
    </w:p>
    <w:p w14:paraId="1C12E80C" w14:textId="77777777" w:rsidR="00DE2705" w:rsidRDefault="00DE2705" w:rsidP="00E5441F">
      <w:pPr>
        <w:shd w:val="clear" w:color="auto" w:fill="FFFFFF" w:themeFill="background1"/>
        <w:spacing w:after="0" w:line="240" w:lineRule="auto"/>
        <w:jc w:val="both"/>
        <w:rPr>
          <w:rFonts w:ascii="Times New Roman" w:hAnsi="Times New Roman" w:cs="Times New Roman"/>
          <w:b/>
          <w:bCs/>
          <w:sz w:val="24"/>
          <w:szCs w:val="24"/>
        </w:rPr>
      </w:pPr>
      <w:r w:rsidRPr="00DE2705">
        <w:rPr>
          <w:rFonts w:ascii="Times New Roman" w:hAnsi="Times New Roman" w:cs="Times New Roman"/>
          <w:b/>
          <w:bCs/>
          <w:sz w:val="24"/>
          <w:szCs w:val="24"/>
        </w:rPr>
        <w:t>Přehled připravovaných strategických projektů</w:t>
      </w:r>
      <w:r w:rsidR="00A33BBD">
        <w:rPr>
          <w:rFonts w:ascii="Times New Roman" w:hAnsi="Times New Roman" w:cs="Times New Roman"/>
          <w:b/>
          <w:bCs/>
          <w:sz w:val="24"/>
          <w:szCs w:val="24"/>
        </w:rPr>
        <w:t xml:space="preserve"> SM České Budějovice</w:t>
      </w:r>
    </w:p>
    <w:p w14:paraId="1C5CDB9E" w14:textId="77777777" w:rsidR="00DE2705" w:rsidRDefault="00DE2705" w:rsidP="00E5441F">
      <w:pPr>
        <w:shd w:val="clear" w:color="auto" w:fill="FFFFFF" w:themeFill="background1"/>
        <w:spacing w:after="0" w:line="240" w:lineRule="auto"/>
        <w:jc w:val="both"/>
        <w:rPr>
          <w:rFonts w:ascii="Times New Roman" w:hAnsi="Times New Roman" w:cs="Times New Roman"/>
          <w:sz w:val="24"/>
          <w:szCs w:val="24"/>
        </w:rPr>
      </w:pPr>
      <w:r w:rsidRPr="00DE2705">
        <w:rPr>
          <w:rFonts w:ascii="Times New Roman" w:hAnsi="Times New Roman" w:cs="Times New Roman"/>
          <w:sz w:val="24"/>
          <w:szCs w:val="24"/>
        </w:rPr>
        <w:t xml:space="preserve">Přehled </w:t>
      </w:r>
      <w:r>
        <w:rPr>
          <w:rFonts w:ascii="Times New Roman" w:hAnsi="Times New Roman" w:cs="Times New Roman"/>
          <w:sz w:val="24"/>
          <w:szCs w:val="24"/>
        </w:rPr>
        <w:t xml:space="preserve">uvádí popis strategických projektů v obecnější rovině, jelikož projekty jsou průběžně aktualizovány a upravovány. </w:t>
      </w:r>
      <w:r w:rsidR="00A33BBD">
        <w:rPr>
          <w:rFonts w:ascii="Times New Roman" w:hAnsi="Times New Roman" w:cs="Times New Roman"/>
          <w:sz w:val="24"/>
          <w:szCs w:val="24"/>
        </w:rPr>
        <w:t xml:space="preserve">Začít rozhodovat o prioritizaci projektů bude možné až v okamžiku, kdy dojde k rozdělení alokací na jednotlivé nositele. Ze strany řídících orgánů je natavení alokací avizováno na konec I. čtvrtletí 2021. </w:t>
      </w:r>
      <w:r>
        <w:rPr>
          <w:rFonts w:ascii="Times New Roman" w:hAnsi="Times New Roman" w:cs="Times New Roman"/>
          <w:sz w:val="24"/>
          <w:szCs w:val="24"/>
        </w:rPr>
        <w:t xml:space="preserve">Přesnější specifikace a konkrétní seznam bude předmětem materiálu do rady a do zastupitelstva města v nejbližším vhodném termínu. </w:t>
      </w:r>
    </w:p>
    <w:p w14:paraId="31620C46" w14:textId="77777777" w:rsidR="00A33BBD" w:rsidRPr="00A33BBD" w:rsidRDefault="00A33BBD" w:rsidP="00E5441F">
      <w:pPr>
        <w:shd w:val="clear" w:color="auto" w:fill="FFFFFF" w:themeFill="background1"/>
        <w:spacing w:after="0" w:line="240" w:lineRule="auto"/>
        <w:jc w:val="both"/>
        <w:rPr>
          <w:rFonts w:ascii="Times New Roman" w:hAnsi="Times New Roman" w:cs="Times New Roman"/>
          <w:sz w:val="24"/>
          <w:szCs w:val="24"/>
        </w:rPr>
      </w:pPr>
    </w:p>
    <w:p w14:paraId="197DA509" w14:textId="77777777" w:rsidR="00A33BBD" w:rsidRPr="00A33BBD" w:rsidRDefault="00A33BBD" w:rsidP="00E5441F">
      <w:pPr>
        <w:pStyle w:val="Odstavecseseznamem"/>
        <w:numPr>
          <w:ilvl w:val="0"/>
          <w:numId w:val="23"/>
        </w:numPr>
        <w:spacing w:after="0" w:line="240" w:lineRule="auto"/>
        <w:ind w:left="0" w:firstLine="0"/>
        <w:rPr>
          <w:rFonts w:ascii="Times New Roman" w:hAnsi="Times New Roman" w:cs="Times New Roman"/>
          <w:b/>
          <w:bCs/>
          <w:sz w:val="24"/>
          <w:szCs w:val="24"/>
        </w:rPr>
      </w:pPr>
      <w:r w:rsidRPr="00A33BBD">
        <w:rPr>
          <w:rFonts w:ascii="Times New Roman" w:hAnsi="Times New Roman" w:cs="Times New Roman"/>
          <w:b/>
          <w:bCs/>
          <w:sz w:val="24"/>
          <w:szCs w:val="24"/>
        </w:rPr>
        <w:t xml:space="preserve">Centrum současného umění a architektury (květen 2020) </w:t>
      </w:r>
    </w:p>
    <w:p w14:paraId="04310850" w14:textId="77777777" w:rsidR="00A33BBD" w:rsidRPr="00A33BBD" w:rsidRDefault="00A33BBD" w:rsidP="00E842CE">
      <w:pPr>
        <w:spacing w:after="0" w:line="240" w:lineRule="auto"/>
        <w:jc w:val="both"/>
        <w:rPr>
          <w:rFonts w:ascii="Times New Roman" w:hAnsi="Times New Roman" w:cs="Times New Roman"/>
          <w:sz w:val="24"/>
          <w:szCs w:val="24"/>
          <w:lang w:eastAsia="cs-CZ"/>
        </w:rPr>
      </w:pPr>
      <w:r w:rsidRPr="00A33BBD">
        <w:rPr>
          <w:rFonts w:ascii="Times New Roman" w:hAnsi="Times New Roman" w:cs="Times New Roman"/>
          <w:sz w:val="24"/>
          <w:szCs w:val="24"/>
          <w:lang w:eastAsia="cs-CZ"/>
        </w:rPr>
        <w:t>Předmětem projektu je celková rekonstrukce historického domu Dům umění na náměstí Přemysla Otakara II. a jeho následné využití. Budou vybudovány prostory pro galerijní činnost, e</w:t>
      </w:r>
      <w:r w:rsidR="00232D23">
        <w:rPr>
          <w:rFonts w:ascii="Times New Roman" w:hAnsi="Times New Roman" w:cs="Times New Roman"/>
          <w:sz w:val="24"/>
          <w:szCs w:val="24"/>
          <w:lang w:eastAsia="cs-CZ"/>
        </w:rPr>
        <w:t>d</w:t>
      </w:r>
      <w:r w:rsidRPr="00A33BBD">
        <w:rPr>
          <w:rFonts w:ascii="Times New Roman" w:hAnsi="Times New Roman" w:cs="Times New Roman"/>
          <w:sz w:val="24"/>
          <w:szCs w:val="24"/>
          <w:lang w:eastAsia="cs-CZ"/>
        </w:rPr>
        <w:t xml:space="preserve">ukační centrum (kreativní dílny a přednáškový sál) a bude zde vybudováno nové Turistické informační centrum. Dům je kulturní památkou, tudíž projekt přispěje také k ochraně kulturního dědictví. </w:t>
      </w:r>
    </w:p>
    <w:p w14:paraId="6818A7D2" w14:textId="77777777" w:rsidR="00A33BBD" w:rsidRPr="00A33BBD" w:rsidRDefault="00A33BBD" w:rsidP="00E5441F">
      <w:pPr>
        <w:spacing w:after="0" w:line="240" w:lineRule="auto"/>
        <w:rPr>
          <w:rFonts w:ascii="Times New Roman" w:hAnsi="Times New Roman" w:cs="Times New Roman"/>
          <w:color w:val="1F497D"/>
          <w:sz w:val="24"/>
          <w:szCs w:val="24"/>
          <w:lang w:eastAsia="cs-CZ"/>
        </w:rPr>
      </w:pPr>
    </w:p>
    <w:p w14:paraId="14EB1D6D" w14:textId="77777777" w:rsidR="00A33BBD" w:rsidRPr="00A33BBD" w:rsidRDefault="00A33BBD" w:rsidP="00E5441F">
      <w:pPr>
        <w:pStyle w:val="Odstavecseseznamem"/>
        <w:numPr>
          <w:ilvl w:val="0"/>
          <w:numId w:val="23"/>
        </w:numPr>
        <w:spacing w:after="0" w:line="240" w:lineRule="auto"/>
        <w:ind w:left="0" w:firstLine="0"/>
        <w:rPr>
          <w:rFonts w:ascii="Times New Roman" w:hAnsi="Times New Roman" w:cs="Times New Roman"/>
          <w:b/>
          <w:bCs/>
          <w:sz w:val="24"/>
          <w:szCs w:val="24"/>
        </w:rPr>
      </w:pPr>
      <w:r w:rsidRPr="00A33BBD">
        <w:rPr>
          <w:rFonts w:ascii="Times New Roman" w:hAnsi="Times New Roman" w:cs="Times New Roman"/>
          <w:b/>
          <w:bCs/>
          <w:sz w:val="24"/>
          <w:szCs w:val="24"/>
        </w:rPr>
        <w:t>Město a voda (červen 2020)</w:t>
      </w:r>
    </w:p>
    <w:p w14:paraId="1AD494EC" w14:textId="0E886498" w:rsidR="00A33BBD" w:rsidRPr="00A33BBD" w:rsidRDefault="00A33BBD" w:rsidP="00E5441F">
      <w:pPr>
        <w:spacing w:after="0" w:line="240" w:lineRule="auto"/>
        <w:jc w:val="both"/>
        <w:rPr>
          <w:rFonts w:ascii="Times New Roman" w:hAnsi="Times New Roman" w:cs="Times New Roman"/>
          <w:sz w:val="24"/>
          <w:szCs w:val="24"/>
        </w:rPr>
      </w:pPr>
      <w:r w:rsidRPr="00A33BBD">
        <w:rPr>
          <w:rFonts w:ascii="Times New Roman" w:hAnsi="Times New Roman" w:cs="Times New Roman"/>
          <w:color w:val="000000"/>
          <w:sz w:val="24"/>
          <w:szCs w:val="24"/>
        </w:rPr>
        <w:t>Cílem projektu je umožnit obyvatelům a případným návštěvníkům města využív</w:t>
      </w:r>
      <w:r w:rsidR="00232D23">
        <w:rPr>
          <w:rFonts w:ascii="Times New Roman" w:hAnsi="Times New Roman" w:cs="Times New Roman"/>
          <w:color w:val="000000"/>
          <w:sz w:val="24"/>
          <w:szCs w:val="24"/>
        </w:rPr>
        <w:t>at</w:t>
      </w:r>
      <w:r w:rsidRPr="00A33BBD">
        <w:rPr>
          <w:rFonts w:ascii="Times New Roman" w:hAnsi="Times New Roman" w:cs="Times New Roman"/>
          <w:color w:val="000000"/>
          <w:sz w:val="24"/>
          <w:szCs w:val="24"/>
        </w:rPr>
        <w:t xml:space="preserve"> prostor a veřejných prostranství blízkých vodním tokům v celé jejich délce procházející městem, vytvořit dostatečné množství pestrých a přitažlivých příležitostí pro trávení volného času, pro sport, zábavu a pobyt v přírodě tak, aby nebyl narušen vzhled a specifický charakter různých míst a veřejných prostranství, ale naopak posílena ochrana přírody. Fakticky se jedná o d</w:t>
      </w:r>
      <w:r w:rsidRPr="00A33BBD">
        <w:rPr>
          <w:rFonts w:ascii="Times New Roman" w:hAnsi="Times New Roman" w:cs="Times New Roman"/>
          <w:sz w:val="24"/>
          <w:szCs w:val="24"/>
        </w:rPr>
        <w:t>ovybavení prostranství v okolí vodních toků infrastrukturou; úpravy břehů a okolních prostor, včetně úpravy a výsadby zeleně.</w:t>
      </w:r>
    </w:p>
    <w:p w14:paraId="6861EFA8" w14:textId="77777777" w:rsidR="00A33BBD" w:rsidRPr="00A33BBD" w:rsidRDefault="00A33BBD" w:rsidP="00E5441F">
      <w:pPr>
        <w:spacing w:after="0" w:line="240" w:lineRule="auto"/>
        <w:jc w:val="both"/>
        <w:rPr>
          <w:rFonts w:ascii="Times New Roman" w:hAnsi="Times New Roman" w:cs="Times New Roman"/>
          <w:sz w:val="24"/>
          <w:szCs w:val="24"/>
        </w:rPr>
      </w:pPr>
    </w:p>
    <w:p w14:paraId="1033FCA4" w14:textId="77777777" w:rsidR="00A33BBD" w:rsidRPr="00A33BBD" w:rsidRDefault="00A33BBD" w:rsidP="00E5441F">
      <w:pPr>
        <w:pStyle w:val="Odstavecseseznamem"/>
        <w:numPr>
          <w:ilvl w:val="0"/>
          <w:numId w:val="23"/>
        </w:numPr>
        <w:spacing w:after="0" w:line="240" w:lineRule="auto"/>
        <w:ind w:left="0" w:firstLine="0"/>
        <w:jc w:val="both"/>
        <w:rPr>
          <w:rFonts w:ascii="Times New Roman" w:hAnsi="Times New Roman" w:cs="Times New Roman"/>
          <w:b/>
          <w:bCs/>
          <w:sz w:val="24"/>
          <w:szCs w:val="24"/>
        </w:rPr>
      </w:pPr>
      <w:r w:rsidRPr="00A33BBD">
        <w:rPr>
          <w:rFonts w:ascii="Times New Roman" w:hAnsi="Times New Roman" w:cs="Times New Roman"/>
          <w:b/>
          <w:bCs/>
          <w:sz w:val="24"/>
          <w:szCs w:val="24"/>
        </w:rPr>
        <w:t>Senovážné náměstí (prosinec 2020)</w:t>
      </w:r>
    </w:p>
    <w:p w14:paraId="356FD5AD" w14:textId="2187D2AB" w:rsidR="00A33BBD" w:rsidRPr="00A33BBD" w:rsidRDefault="00A33BBD" w:rsidP="00E5441F">
      <w:pPr>
        <w:spacing w:after="0" w:line="240" w:lineRule="auto"/>
        <w:jc w:val="both"/>
        <w:rPr>
          <w:rFonts w:ascii="Times New Roman" w:hAnsi="Times New Roman" w:cs="Times New Roman"/>
          <w:sz w:val="24"/>
          <w:szCs w:val="24"/>
        </w:rPr>
      </w:pPr>
      <w:r w:rsidRPr="00A33BBD">
        <w:rPr>
          <w:rFonts w:ascii="Times New Roman" w:hAnsi="Times New Roman" w:cs="Times New Roman"/>
          <w:sz w:val="24"/>
          <w:szCs w:val="24"/>
        </w:rPr>
        <w:t>Jde o celkovou revitalizaci veřejného prostranství: vytvoření plochy náměstí a reprezentativního okolí veřejných staveb, odkrytí Mlýnské stoky, úprav</w:t>
      </w:r>
      <w:r w:rsidR="00232D23">
        <w:rPr>
          <w:rFonts w:ascii="Times New Roman" w:hAnsi="Times New Roman" w:cs="Times New Roman"/>
          <w:sz w:val="24"/>
          <w:szCs w:val="24"/>
        </w:rPr>
        <w:t>u</w:t>
      </w:r>
      <w:r w:rsidRPr="00A33BBD">
        <w:rPr>
          <w:rFonts w:ascii="Times New Roman" w:hAnsi="Times New Roman" w:cs="Times New Roman"/>
          <w:sz w:val="24"/>
          <w:szCs w:val="24"/>
        </w:rPr>
        <w:t xml:space="preserve"> jejího nábřeží a těsně souvisejících ploch, případně také stavba podzemního parkoviště.</w:t>
      </w:r>
    </w:p>
    <w:p w14:paraId="1E652D3C" w14:textId="77777777" w:rsidR="00A33BBD" w:rsidRPr="00A33BBD" w:rsidRDefault="00A33BBD" w:rsidP="00E5441F">
      <w:pPr>
        <w:spacing w:after="0" w:line="240" w:lineRule="auto"/>
        <w:jc w:val="both"/>
        <w:rPr>
          <w:rFonts w:ascii="Times New Roman" w:hAnsi="Times New Roman" w:cs="Times New Roman"/>
          <w:sz w:val="24"/>
          <w:szCs w:val="24"/>
        </w:rPr>
      </w:pPr>
    </w:p>
    <w:p w14:paraId="2A85130A" w14:textId="77777777" w:rsidR="00A33BBD" w:rsidRPr="00A33BBD" w:rsidRDefault="00A33BBD" w:rsidP="00E5441F">
      <w:pPr>
        <w:pStyle w:val="Odstavecseseznamem"/>
        <w:numPr>
          <w:ilvl w:val="0"/>
          <w:numId w:val="23"/>
        </w:numPr>
        <w:spacing w:after="0" w:line="240" w:lineRule="auto"/>
        <w:ind w:left="0" w:firstLine="0"/>
        <w:jc w:val="both"/>
        <w:rPr>
          <w:rFonts w:ascii="Times New Roman" w:hAnsi="Times New Roman" w:cs="Times New Roman"/>
          <w:b/>
          <w:bCs/>
          <w:sz w:val="24"/>
          <w:szCs w:val="24"/>
        </w:rPr>
      </w:pPr>
      <w:r w:rsidRPr="00A33BBD">
        <w:rPr>
          <w:rFonts w:ascii="Times New Roman" w:hAnsi="Times New Roman" w:cs="Times New Roman"/>
          <w:b/>
          <w:bCs/>
          <w:sz w:val="24"/>
          <w:szCs w:val="24"/>
        </w:rPr>
        <w:t>Energetické úspory metodou EPC (prosinec 2020)</w:t>
      </w:r>
    </w:p>
    <w:p w14:paraId="4E3841F8" w14:textId="77777777" w:rsidR="00A33BBD" w:rsidRPr="00A33BBD" w:rsidRDefault="00A33BBD" w:rsidP="00E842CE">
      <w:pPr>
        <w:spacing w:after="0" w:line="240" w:lineRule="auto"/>
        <w:jc w:val="both"/>
        <w:rPr>
          <w:rFonts w:ascii="Times New Roman" w:hAnsi="Times New Roman" w:cs="Times New Roman"/>
          <w:sz w:val="24"/>
          <w:szCs w:val="24"/>
        </w:rPr>
      </w:pPr>
      <w:r w:rsidRPr="00A33BBD">
        <w:rPr>
          <w:rFonts w:ascii="Times New Roman" w:hAnsi="Times New Roman" w:cs="Times New Roman"/>
          <w:sz w:val="24"/>
          <w:szCs w:val="24"/>
        </w:rPr>
        <w:t>Projekt zahrnuje realizaci opatření vedoucích ke snížení energetické náročnosti u vybraných 10 objektů v majetku města České Budějovice metodou EPC, konkrétně: realizace systému nuceného větrání s rekuperací odpadního tepla, instalace fotovoltaického systému, úprava měření a regulace, nastavení individuální regulace teploty v místnosti, zateplení obvodového pláště budov a rekonstrukce vnitřního osvětlení</w:t>
      </w:r>
    </w:p>
    <w:p w14:paraId="5F47B10A" w14:textId="26D63B3D" w:rsidR="00A33BBD" w:rsidRDefault="00A33BBD" w:rsidP="00E5441F">
      <w:pPr>
        <w:shd w:val="clear" w:color="auto" w:fill="FFFFFF" w:themeFill="background1"/>
        <w:spacing w:after="0" w:line="240" w:lineRule="auto"/>
        <w:jc w:val="both"/>
        <w:rPr>
          <w:rFonts w:ascii="Times New Roman" w:hAnsi="Times New Roman" w:cs="Times New Roman"/>
          <w:sz w:val="24"/>
          <w:szCs w:val="24"/>
        </w:rPr>
      </w:pPr>
    </w:p>
    <w:p w14:paraId="2A3AA2C1" w14:textId="56E402D9" w:rsidR="006875BE" w:rsidRPr="006875BE" w:rsidRDefault="006875BE" w:rsidP="00905CC3">
      <w:pPr>
        <w:shd w:val="clear" w:color="auto" w:fill="FFFFFF" w:themeFill="background1"/>
        <w:spacing w:after="0" w:line="240" w:lineRule="auto"/>
        <w:jc w:val="both"/>
        <w:rPr>
          <w:rFonts w:ascii="Times New Roman" w:hAnsi="Times New Roman" w:cs="Times New Roman"/>
          <w:color w:val="0070C0"/>
          <w:sz w:val="24"/>
          <w:szCs w:val="24"/>
        </w:rPr>
      </w:pPr>
    </w:p>
    <w:sectPr w:rsidR="006875BE" w:rsidRPr="006875BE" w:rsidSect="00CE0DC1">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BB96D" w14:textId="77777777" w:rsidR="00ED4ED4" w:rsidRDefault="00ED4ED4" w:rsidP="00436BD5">
      <w:pPr>
        <w:spacing w:after="0" w:line="240" w:lineRule="auto"/>
      </w:pPr>
      <w:r>
        <w:separator/>
      </w:r>
    </w:p>
  </w:endnote>
  <w:endnote w:type="continuationSeparator" w:id="0">
    <w:p w14:paraId="0A13DEEB" w14:textId="77777777" w:rsidR="00ED4ED4" w:rsidRDefault="00ED4ED4" w:rsidP="00436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eastAsiaTheme="majorEastAsia" w:hAnsi="Times New Roman" w:cs="Times New Roman"/>
        <w:sz w:val="24"/>
        <w:szCs w:val="24"/>
      </w:rPr>
      <w:id w:val="-1892800633"/>
      <w:docPartObj>
        <w:docPartGallery w:val="Page Numbers (Bottom of Page)"/>
        <w:docPartUnique/>
      </w:docPartObj>
    </w:sdtPr>
    <w:sdtEndPr/>
    <w:sdtContent>
      <w:p w14:paraId="01ACF0AE" w14:textId="496E1A88" w:rsidR="003F11C9" w:rsidRPr="00436BD5" w:rsidRDefault="003F11C9" w:rsidP="00436BD5">
        <w:pPr>
          <w:pStyle w:val="Zpat"/>
          <w:jc w:val="center"/>
          <w:rPr>
            <w:rFonts w:ascii="Times New Roman" w:hAnsi="Times New Roman" w:cs="Times New Roman"/>
            <w:sz w:val="24"/>
            <w:szCs w:val="24"/>
          </w:rPr>
        </w:pPr>
        <w:r w:rsidRPr="00436BD5">
          <w:rPr>
            <w:rFonts w:ascii="Times New Roman" w:eastAsiaTheme="majorEastAsia" w:hAnsi="Times New Roman" w:cs="Times New Roman"/>
            <w:sz w:val="24"/>
            <w:szCs w:val="24"/>
          </w:rPr>
          <w:t xml:space="preserve">Str. </w:t>
        </w:r>
        <w:r w:rsidRPr="00436BD5">
          <w:rPr>
            <w:rFonts w:ascii="Times New Roman" w:eastAsiaTheme="minorEastAsia" w:hAnsi="Times New Roman" w:cs="Times New Roman"/>
            <w:sz w:val="24"/>
            <w:szCs w:val="24"/>
          </w:rPr>
          <w:fldChar w:fldCharType="begin"/>
        </w:r>
        <w:r w:rsidRPr="00436BD5">
          <w:rPr>
            <w:rFonts w:ascii="Times New Roman" w:hAnsi="Times New Roman" w:cs="Times New Roman"/>
            <w:sz w:val="24"/>
            <w:szCs w:val="24"/>
          </w:rPr>
          <w:instrText>PAGE    \* MERGEFORMAT</w:instrText>
        </w:r>
        <w:r w:rsidRPr="00436BD5">
          <w:rPr>
            <w:rFonts w:ascii="Times New Roman" w:eastAsiaTheme="minorEastAsia" w:hAnsi="Times New Roman" w:cs="Times New Roman"/>
            <w:sz w:val="24"/>
            <w:szCs w:val="24"/>
          </w:rPr>
          <w:fldChar w:fldCharType="separate"/>
        </w:r>
        <w:r w:rsidRPr="00436BD5">
          <w:rPr>
            <w:rFonts w:ascii="Times New Roman" w:eastAsiaTheme="majorEastAsia" w:hAnsi="Times New Roman" w:cs="Times New Roman"/>
            <w:sz w:val="24"/>
            <w:szCs w:val="24"/>
          </w:rPr>
          <w:t>2</w:t>
        </w:r>
        <w:r w:rsidRPr="00436BD5">
          <w:rPr>
            <w:rFonts w:ascii="Times New Roman" w:eastAsiaTheme="majorEastAsia" w:hAnsi="Times New Roman" w:cs="Times New Roman"/>
            <w:sz w:val="24"/>
            <w:szCs w:val="24"/>
          </w:rPr>
          <w:fldChar w:fldCharType="end"/>
        </w:r>
      </w:p>
    </w:sdtContent>
  </w:sdt>
  <w:p w14:paraId="30C83641" w14:textId="77777777" w:rsidR="003F11C9" w:rsidRPr="00436BD5" w:rsidRDefault="003F11C9">
    <w:pPr>
      <w:pStyle w:val="Zpat"/>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83FCF" w14:textId="77777777" w:rsidR="00ED4ED4" w:rsidRDefault="00ED4ED4" w:rsidP="00436BD5">
      <w:pPr>
        <w:spacing w:after="0" w:line="240" w:lineRule="auto"/>
      </w:pPr>
      <w:r>
        <w:separator/>
      </w:r>
    </w:p>
  </w:footnote>
  <w:footnote w:type="continuationSeparator" w:id="0">
    <w:p w14:paraId="30457332" w14:textId="77777777" w:rsidR="00ED4ED4" w:rsidRDefault="00ED4ED4" w:rsidP="00436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F3987"/>
    <w:multiLevelType w:val="hybridMultilevel"/>
    <w:tmpl w:val="60BEB0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C279D5"/>
    <w:multiLevelType w:val="hybridMultilevel"/>
    <w:tmpl w:val="CE16E1A0"/>
    <w:lvl w:ilvl="0" w:tplc="B172EDE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9E696F"/>
    <w:multiLevelType w:val="hybridMultilevel"/>
    <w:tmpl w:val="3822E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9050B84"/>
    <w:multiLevelType w:val="hybridMultilevel"/>
    <w:tmpl w:val="DC241138"/>
    <w:lvl w:ilvl="0" w:tplc="F8A452D2">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FBB07BE"/>
    <w:multiLevelType w:val="hybridMultilevel"/>
    <w:tmpl w:val="C65EA14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686850"/>
    <w:multiLevelType w:val="hybridMultilevel"/>
    <w:tmpl w:val="07441E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A677B71"/>
    <w:multiLevelType w:val="hybridMultilevel"/>
    <w:tmpl w:val="EC1A2FE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0376E68"/>
    <w:multiLevelType w:val="hybridMultilevel"/>
    <w:tmpl w:val="B268EA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2FC39AB"/>
    <w:multiLevelType w:val="hybridMultilevel"/>
    <w:tmpl w:val="00A2C61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B1F4CB7"/>
    <w:multiLevelType w:val="hybridMultilevel"/>
    <w:tmpl w:val="02F0243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09C6798"/>
    <w:multiLevelType w:val="hybridMultilevel"/>
    <w:tmpl w:val="0A38552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1B57E93"/>
    <w:multiLevelType w:val="hybridMultilevel"/>
    <w:tmpl w:val="591AC0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4BC12F0"/>
    <w:multiLevelType w:val="hybridMultilevel"/>
    <w:tmpl w:val="EB584E7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62F3A1A"/>
    <w:multiLevelType w:val="hybridMultilevel"/>
    <w:tmpl w:val="07E407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79434EC"/>
    <w:multiLevelType w:val="hybridMultilevel"/>
    <w:tmpl w:val="28FE1B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93D6C99"/>
    <w:multiLevelType w:val="hybridMultilevel"/>
    <w:tmpl w:val="9B9425B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6" w15:restartNumberingAfterBreak="0">
    <w:nsid w:val="4D881194"/>
    <w:multiLevelType w:val="hybridMultilevel"/>
    <w:tmpl w:val="41CA5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08D6C6B"/>
    <w:multiLevelType w:val="hybridMultilevel"/>
    <w:tmpl w:val="C80855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2682B58"/>
    <w:multiLevelType w:val="hybridMultilevel"/>
    <w:tmpl w:val="86A882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2C80F50"/>
    <w:multiLevelType w:val="hybridMultilevel"/>
    <w:tmpl w:val="FBACAAC4"/>
    <w:lvl w:ilvl="0" w:tplc="04050001">
      <w:start w:val="1"/>
      <w:numFmt w:val="bullet"/>
      <w:lvlText w:val=""/>
      <w:lvlJc w:val="left"/>
      <w:pPr>
        <w:ind w:left="765" w:hanging="360"/>
      </w:pPr>
      <w:rPr>
        <w:rFonts w:ascii="Symbol" w:hAnsi="Symbol" w:hint="default"/>
      </w:rPr>
    </w:lvl>
    <w:lvl w:ilvl="1" w:tplc="04050003">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0" w15:restartNumberingAfterBreak="0">
    <w:nsid w:val="59B821F0"/>
    <w:multiLevelType w:val="hybridMultilevel"/>
    <w:tmpl w:val="9A703C34"/>
    <w:lvl w:ilvl="0" w:tplc="F8A452D2">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1247B40"/>
    <w:multiLevelType w:val="hybridMultilevel"/>
    <w:tmpl w:val="0910F3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9A751C5"/>
    <w:multiLevelType w:val="hybridMultilevel"/>
    <w:tmpl w:val="585667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F582ADC"/>
    <w:multiLevelType w:val="hybridMultilevel"/>
    <w:tmpl w:val="0A56C0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
  </w:num>
  <w:num w:numId="4">
    <w:abstractNumId w:val="5"/>
  </w:num>
  <w:num w:numId="5">
    <w:abstractNumId w:val="18"/>
  </w:num>
  <w:num w:numId="6">
    <w:abstractNumId w:val="0"/>
  </w:num>
  <w:num w:numId="7">
    <w:abstractNumId w:val="9"/>
  </w:num>
  <w:num w:numId="8">
    <w:abstractNumId w:val="11"/>
  </w:num>
  <w:num w:numId="9">
    <w:abstractNumId w:val="12"/>
  </w:num>
  <w:num w:numId="10">
    <w:abstractNumId w:val="14"/>
  </w:num>
  <w:num w:numId="11">
    <w:abstractNumId w:val="16"/>
  </w:num>
  <w:num w:numId="12">
    <w:abstractNumId w:val="21"/>
  </w:num>
  <w:num w:numId="13">
    <w:abstractNumId w:val="7"/>
  </w:num>
  <w:num w:numId="14">
    <w:abstractNumId w:val="23"/>
  </w:num>
  <w:num w:numId="15">
    <w:abstractNumId w:val="6"/>
  </w:num>
  <w:num w:numId="16">
    <w:abstractNumId w:val="13"/>
  </w:num>
  <w:num w:numId="17">
    <w:abstractNumId w:val="8"/>
  </w:num>
  <w:num w:numId="18">
    <w:abstractNumId w:val="4"/>
  </w:num>
  <w:num w:numId="19">
    <w:abstractNumId w:val="2"/>
  </w:num>
  <w:num w:numId="20">
    <w:abstractNumId w:val="10"/>
  </w:num>
  <w:num w:numId="21">
    <w:abstractNumId w:val="15"/>
  </w:num>
  <w:num w:numId="22">
    <w:abstractNumId w:val="20"/>
  </w:num>
  <w:num w:numId="23">
    <w:abstractNumId w:val="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22"/>
    <w:rsid w:val="00017F59"/>
    <w:rsid w:val="00025F08"/>
    <w:rsid w:val="00032B13"/>
    <w:rsid w:val="00037B44"/>
    <w:rsid w:val="00042ACF"/>
    <w:rsid w:val="00045694"/>
    <w:rsid w:val="00060F34"/>
    <w:rsid w:val="00065037"/>
    <w:rsid w:val="000753EA"/>
    <w:rsid w:val="00093845"/>
    <w:rsid w:val="000B6253"/>
    <w:rsid w:val="000D145D"/>
    <w:rsid w:val="000E3734"/>
    <w:rsid w:val="000E4E35"/>
    <w:rsid w:val="000E69B1"/>
    <w:rsid w:val="00100BA7"/>
    <w:rsid w:val="00107A4B"/>
    <w:rsid w:val="001515FD"/>
    <w:rsid w:val="00165D54"/>
    <w:rsid w:val="00171CE0"/>
    <w:rsid w:val="00173F2E"/>
    <w:rsid w:val="001741C2"/>
    <w:rsid w:val="0017682B"/>
    <w:rsid w:val="001837B5"/>
    <w:rsid w:val="00191388"/>
    <w:rsid w:val="001946AC"/>
    <w:rsid w:val="001A5297"/>
    <w:rsid w:val="001B1293"/>
    <w:rsid w:val="001D4492"/>
    <w:rsid w:val="00201AE3"/>
    <w:rsid w:val="00211538"/>
    <w:rsid w:val="00214F89"/>
    <w:rsid w:val="00232D23"/>
    <w:rsid w:val="002515CB"/>
    <w:rsid w:val="00253A47"/>
    <w:rsid w:val="00255724"/>
    <w:rsid w:val="002628C6"/>
    <w:rsid w:val="00274C46"/>
    <w:rsid w:val="002758D4"/>
    <w:rsid w:val="002822E8"/>
    <w:rsid w:val="002B036C"/>
    <w:rsid w:val="002B0486"/>
    <w:rsid w:val="002B3B7B"/>
    <w:rsid w:val="002D029D"/>
    <w:rsid w:val="002D192F"/>
    <w:rsid w:val="002D3AEE"/>
    <w:rsid w:val="002D53DD"/>
    <w:rsid w:val="002D6A88"/>
    <w:rsid w:val="002E21B1"/>
    <w:rsid w:val="002E4231"/>
    <w:rsid w:val="002E5F6D"/>
    <w:rsid w:val="002E7568"/>
    <w:rsid w:val="002F0EEB"/>
    <w:rsid w:val="003069B3"/>
    <w:rsid w:val="003512C5"/>
    <w:rsid w:val="003633D7"/>
    <w:rsid w:val="00363E46"/>
    <w:rsid w:val="003A2DD0"/>
    <w:rsid w:val="003B1532"/>
    <w:rsid w:val="003B4786"/>
    <w:rsid w:val="003D5D48"/>
    <w:rsid w:val="003F11C9"/>
    <w:rsid w:val="00400031"/>
    <w:rsid w:val="00403DDC"/>
    <w:rsid w:val="00436BD5"/>
    <w:rsid w:val="00442863"/>
    <w:rsid w:val="00447690"/>
    <w:rsid w:val="004535A8"/>
    <w:rsid w:val="004631DF"/>
    <w:rsid w:val="00470868"/>
    <w:rsid w:val="00485137"/>
    <w:rsid w:val="004B1022"/>
    <w:rsid w:val="004C3283"/>
    <w:rsid w:val="004C411B"/>
    <w:rsid w:val="004D11A7"/>
    <w:rsid w:val="004E6637"/>
    <w:rsid w:val="004F1520"/>
    <w:rsid w:val="004F509C"/>
    <w:rsid w:val="004F67FC"/>
    <w:rsid w:val="005455DA"/>
    <w:rsid w:val="0054797A"/>
    <w:rsid w:val="005621F3"/>
    <w:rsid w:val="00567429"/>
    <w:rsid w:val="00583EFA"/>
    <w:rsid w:val="005A534A"/>
    <w:rsid w:val="005B4829"/>
    <w:rsid w:val="005C6C33"/>
    <w:rsid w:val="005E53FD"/>
    <w:rsid w:val="005F4D3F"/>
    <w:rsid w:val="00605DDA"/>
    <w:rsid w:val="0062790E"/>
    <w:rsid w:val="00632D36"/>
    <w:rsid w:val="0063455E"/>
    <w:rsid w:val="00637FD5"/>
    <w:rsid w:val="006417D6"/>
    <w:rsid w:val="0064696B"/>
    <w:rsid w:val="00652416"/>
    <w:rsid w:val="00657C15"/>
    <w:rsid w:val="006742AD"/>
    <w:rsid w:val="00685F06"/>
    <w:rsid w:val="006875BE"/>
    <w:rsid w:val="006A2494"/>
    <w:rsid w:val="006A5A7F"/>
    <w:rsid w:val="006B39D7"/>
    <w:rsid w:val="006B54ED"/>
    <w:rsid w:val="006D1330"/>
    <w:rsid w:val="006D701E"/>
    <w:rsid w:val="006F1FBF"/>
    <w:rsid w:val="0070164C"/>
    <w:rsid w:val="0070402F"/>
    <w:rsid w:val="0071139B"/>
    <w:rsid w:val="00715375"/>
    <w:rsid w:val="00730076"/>
    <w:rsid w:val="007A2174"/>
    <w:rsid w:val="007A3850"/>
    <w:rsid w:val="007A5F52"/>
    <w:rsid w:val="007C4040"/>
    <w:rsid w:val="007F3A43"/>
    <w:rsid w:val="00814BF5"/>
    <w:rsid w:val="00817AE1"/>
    <w:rsid w:val="00817E7F"/>
    <w:rsid w:val="00833820"/>
    <w:rsid w:val="008370BC"/>
    <w:rsid w:val="008411E0"/>
    <w:rsid w:val="00841334"/>
    <w:rsid w:val="0084261A"/>
    <w:rsid w:val="00842F93"/>
    <w:rsid w:val="00844B02"/>
    <w:rsid w:val="00870722"/>
    <w:rsid w:val="008752E6"/>
    <w:rsid w:val="008829F1"/>
    <w:rsid w:val="008835A0"/>
    <w:rsid w:val="008840AC"/>
    <w:rsid w:val="008908D7"/>
    <w:rsid w:val="008957EC"/>
    <w:rsid w:val="00896A66"/>
    <w:rsid w:val="008A34AE"/>
    <w:rsid w:val="008A485A"/>
    <w:rsid w:val="008A4D2B"/>
    <w:rsid w:val="008C17D7"/>
    <w:rsid w:val="008F71A7"/>
    <w:rsid w:val="009011D7"/>
    <w:rsid w:val="00905CC3"/>
    <w:rsid w:val="00910C7A"/>
    <w:rsid w:val="00943491"/>
    <w:rsid w:val="00947A21"/>
    <w:rsid w:val="009835DF"/>
    <w:rsid w:val="009B148C"/>
    <w:rsid w:val="009B71C1"/>
    <w:rsid w:val="009E19C5"/>
    <w:rsid w:val="009E3E60"/>
    <w:rsid w:val="009F71B3"/>
    <w:rsid w:val="00A010A8"/>
    <w:rsid w:val="00A03B9E"/>
    <w:rsid w:val="00A25C87"/>
    <w:rsid w:val="00A33BBD"/>
    <w:rsid w:val="00A6200A"/>
    <w:rsid w:val="00A80E64"/>
    <w:rsid w:val="00A87270"/>
    <w:rsid w:val="00A976E8"/>
    <w:rsid w:val="00AA2157"/>
    <w:rsid w:val="00AB13C6"/>
    <w:rsid w:val="00AD0489"/>
    <w:rsid w:val="00AD14EA"/>
    <w:rsid w:val="00AE1A86"/>
    <w:rsid w:val="00AE4933"/>
    <w:rsid w:val="00B1341C"/>
    <w:rsid w:val="00B349A5"/>
    <w:rsid w:val="00B36ECD"/>
    <w:rsid w:val="00B84DB1"/>
    <w:rsid w:val="00B911A8"/>
    <w:rsid w:val="00B977EE"/>
    <w:rsid w:val="00BA1582"/>
    <w:rsid w:val="00BA5FFF"/>
    <w:rsid w:val="00BE098A"/>
    <w:rsid w:val="00BE5126"/>
    <w:rsid w:val="00C070D9"/>
    <w:rsid w:val="00C0773C"/>
    <w:rsid w:val="00C12EE5"/>
    <w:rsid w:val="00C205CD"/>
    <w:rsid w:val="00C32FBF"/>
    <w:rsid w:val="00C37576"/>
    <w:rsid w:val="00C4178E"/>
    <w:rsid w:val="00C50FFC"/>
    <w:rsid w:val="00C6571E"/>
    <w:rsid w:val="00C72EC8"/>
    <w:rsid w:val="00C843D1"/>
    <w:rsid w:val="00C91A42"/>
    <w:rsid w:val="00CA0171"/>
    <w:rsid w:val="00CA2DD5"/>
    <w:rsid w:val="00CB6C1D"/>
    <w:rsid w:val="00CE0DC1"/>
    <w:rsid w:val="00CE554D"/>
    <w:rsid w:val="00CF1054"/>
    <w:rsid w:val="00D03A88"/>
    <w:rsid w:val="00D13A2D"/>
    <w:rsid w:val="00D220D3"/>
    <w:rsid w:val="00D27966"/>
    <w:rsid w:val="00D355AD"/>
    <w:rsid w:val="00D46DD5"/>
    <w:rsid w:val="00D535DD"/>
    <w:rsid w:val="00D539CD"/>
    <w:rsid w:val="00D63A8C"/>
    <w:rsid w:val="00D7182F"/>
    <w:rsid w:val="00D77138"/>
    <w:rsid w:val="00DB1DB2"/>
    <w:rsid w:val="00DE0C24"/>
    <w:rsid w:val="00DE2705"/>
    <w:rsid w:val="00E23D38"/>
    <w:rsid w:val="00E4764D"/>
    <w:rsid w:val="00E5441F"/>
    <w:rsid w:val="00E61BCA"/>
    <w:rsid w:val="00E842CE"/>
    <w:rsid w:val="00E90E9A"/>
    <w:rsid w:val="00EA5015"/>
    <w:rsid w:val="00ED354F"/>
    <w:rsid w:val="00ED4ED4"/>
    <w:rsid w:val="00F00AAB"/>
    <w:rsid w:val="00F25144"/>
    <w:rsid w:val="00F3635A"/>
    <w:rsid w:val="00F36AD9"/>
    <w:rsid w:val="00F44B36"/>
    <w:rsid w:val="00F53264"/>
    <w:rsid w:val="00F83071"/>
    <w:rsid w:val="00FC0A8F"/>
    <w:rsid w:val="00FC1CDD"/>
    <w:rsid w:val="00FE4007"/>
    <w:rsid w:val="00FE5ADB"/>
    <w:rsid w:val="00FE682C"/>
    <w:rsid w:val="00FF00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1FFD34"/>
  <w15:docId w15:val="{FFBCE5DD-4624-4CFF-93D4-750B1463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B1022"/>
    <w:pPr>
      <w:spacing w:after="200" w:line="276" w:lineRule="auto"/>
    </w:pPr>
  </w:style>
  <w:style w:type="paragraph" w:styleId="Nadpis2">
    <w:name w:val="heading 2"/>
    <w:basedOn w:val="Normln"/>
    <w:next w:val="Normln"/>
    <w:link w:val="Nadpis2Char"/>
    <w:uiPriority w:val="99"/>
    <w:qFormat/>
    <w:rsid w:val="00C6571E"/>
    <w:pPr>
      <w:keepNext/>
      <w:keepLines/>
      <w:spacing w:before="40" w:after="0"/>
      <w:outlineLvl w:val="1"/>
    </w:pPr>
    <w:rPr>
      <w:rFonts w:eastAsia="Calibri" w:cs="Times New Roman"/>
      <w:b/>
      <w:color w:val="323E4F" w:themeColor="text2" w:themeShade="BF"/>
      <w:sz w:val="26"/>
      <w:szCs w:val="26"/>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
    <w:basedOn w:val="Normln"/>
    <w:link w:val="OdstavecseseznamemChar"/>
    <w:uiPriority w:val="34"/>
    <w:qFormat/>
    <w:rsid w:val="004B1022"/>
    <w:pPr>
      <w:ind w:left="720"/>
      <w:contextualSpacing/>
    </w:pPr>
  </w:style>
  <w:style w:type="table" w:styleId="Mkatabulky">
    <w:name w:val="Table Grid"/>
    <w:basedOn w:val="Normlntabulka"/>
    <w:uiPriority w:val="39"/>
    <w:rsid w:val="004B1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632D36"/>
    <w:rPr>
      <w:sz w:val="16"/>
      <w:szCs w:val="16"/>
    </w:rPr>
  </w:style>
  <w:style w:type="paragraph" w:styleId="Textkomente">
    <w:name w:val="annotation text"/>
    <w:basedOn w:val="Normln"/>
    <w:link w:val="TextkomenteChar"/>
    <w:uiPriority w:val="99"/>
    <w:semiHidden/>
    <w:unhideWhenUsed/>
    <w:rsid w:val="00632D36"/>
    <w:pPr>
      <w:spacing w:line="240" w:lineRule="auto"/>
    </w:pPr>
    <w:rPr>
      <w:sz w:val="20"/>
      <w:szCs w:val="20"/>
    </w:rPr>
  </w:style>
  <w:style w:type="character" w:customStyle="1" w:styleId="TextkomenteChar">
    <w:name w:val="Text komentáře Char"/>
    <w:basedOn w:val="Standardnpsmoodstavce"/>
    <w:link w:val="Textkomente"/>
    <w:uiPriority w:val="99"/>
    <w:semiHidden/>
    <w:rsid w:val="00632D36"/>
    <w:rPr>
      <w:sz w:val="20"/>
      <w:szCs w:val="20"/>
    </w:rPr>
  </w:style>
  <w:style w:type="paragraph" w:styleId="Pedmtkomente">
    <w:name w:val="annotation subject"/>
    <w:basedOn w:val="Textkomente"/>
    <w:next w:val="Textkomente"/>
    <w:link w:val="PedmtkomenteChar"/>
    <w:uiPriority w:val="99"/>
    <w:semiHidden/>
    <w:unhideWhenUsed/>
    <w:rsid w:val="00632D36"/>
    <w:rPr>
      <w:b/>
      <w:bCs/>
    </w:rPr>
  </w:style>
  <w:style w:type="character" w:customStyle="1" w:styleId="PedmtkomenteChar">
    <w:name w:val="Předmět komentáře Char"/>
    <w:basedOn w:val="TextkomenteChar"/>
    <w:link w:val="Pedmtkomente"/>
    <w:uiPriority w:val="99"/>
    <w:semiHidden/>
    <w:rsid w:val="00632D36"/>
    <w:rPr>
      <w:b/>
      <w:bCs/>
      <w:sz w:val="20"/>
      <w:szCs w:val="20"/>
    </w:rPr>
  </w:style>
  <w:style w:type="paragraph" w:styleId="Textbubliny">
    <w:name w:val="Balloon Text"/>
    <w:basedOn w:val="Normln"/>
    <w:link w:val="TextbublinyChar"/>
    <w:uiPriority w:val="99"/>
    <w:semiHidden/>
    <w:unhideWhenUsed/>
    <w:rsid w:val="00632D3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32D36"/>
    <w:rPr>
      <w:rFonts w:ascii="Segoe UI" w:hAnsi="Segoe UI" w:cs="Segoe UI"/>
      <w:sz w:val="18"/>
      <w:szCs w:val="18"/>
    </w:rPr>
  </w:style>
  <w:style w:type="paragraph" w:styleId="Revize">
    <w:name w:val="Revision"/>
    <w:hidden/>
    <w:uiPriority w:val="99"/>
    <w:semiHidden/>
    <w:rsid w:val="005B4829"/>
    <w:pPr>
      <w:spacing w:after="0" w:line="240" w:lineRule="auto"/>
    </w:pPr>
  </w:style>
  <w:style w:type="character" w:customStyle="1" w:styleId="OdstavecseseznamemChar">
    <w:name w:val="Odstavec se seznamem Char"/>
    <w:aliases w:val="Odstavec_muj Char"/>
    <w:basedOn w:val="Standardnpsmoodstavce"/>
    <w:link w:val="Odstavecseseznamem"/>
    <w:uiPriority w:val="34"/>
    <w:locked/>
    <w:rsid w:val="002E4231"/>
  </w:style>
  <w:style w:type="paragraph" w:customStyle="1" w:styleId="Default">
    <w:name w:val="Default"/>
    <w:rsid w:val="00870722"/>
    <w:pPr>
      <w:autoSpaceDE w:val="0"/>
      <w:autoSpaceDN w:val="0"/>
      <w:adjustRightInd w:val="0"/>
      <w:spacing w:after="0" w:line="240" w:lineRule="auto"/>
    </w:pPr>
    <w:rPr>
      <w:rFonts w:ascii="Calibri" w:hAnsi="Calibri" w:cs="Calibri"/>
      <w:color w:val="000000"/>
      <w:sz w:val="24"/>
      <w:szCs w:val="24"/>
    </w:rPr>
  </w:style>
  <w:style w:type="character" w:styleId="Siln">
    <w:name w:val="Strong"/>
    <w:basedOn w:val="Standardnpsmoodstavce"/>
    <w:uiPriority w:val="22"/>
    <w:qFormat/>
    <w:rsid w:val="00870722"/>
    <w:rPr>
      <w:b/>
      <w:bCs/>
    </w:rPr>
  </w:style>
  <w:style w:type="paragraph" w:styleId="Normlnweb">
    <w:name w:val="Normal (Web)"/>
    <w:basedOn w:val="Normln"/>
    <w:uiPriority w:val="99"/>
    <w:unhideWhenUsed/>
    <w:rsid w:val="002D53D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ozloendokumentu">
    <w:name w:val="Document Map"/>
    <w:basedOn w:val="Normln"/>
    <w:link w:val="RozloendokumentuChar"/>
    <w:uiPriority w:val="99"/>
    <w:semiHidden/>
    <w:unhideWhenUsed/>
    <w:rsid w:val="00171CE0"/>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171CE0"/>
    <w:rPr>
      <w:rFonts w:ascii="Tahoma" w:hAnsi="Tahoma" w:cs="Tahoma"/>
      <w:sz w:val="16"/>
      <w:szCs w:val="16"/>
    </w:rPr>
  </w:style>
  <w:style w:type="character" w:customStyle="1" w:styleId="Nadpis2Char">
    <w:name w:val="Nadpis 2 Char"/>
    <w:basedOn w:val="Standardnpsmoodstavce"/>
    <w:link w:val="Nadpis2"/>
    <w:uiPriority w:val="99"/>
    <w:rsid w:val="00C6571E"/>
    <w:rPr>
      <w:rFonts w:eastAsia="Calibri" w:cs="Times New Roman"/>
      <w:b/>
      <w:color w:val="323E4F" w:themeColor="text2" w:themeShade="BF"/>
      <w:sz w:val="26"/>
      <w:szCs w:val="26"/>
      <w:lang w:val="en-US" w:eastAsia="cs-CZ"/>
    </w:rPr>
  </w:style>
  <w:style w:type="paragraph" w:customStyle="1" w:styleId="rtejustify">
    <w:name w:val="rtejustify"/>
    <w:basedOn w:val="Normln"/>
    <w:rsid w:val="003B1532"/>
    <w:pPr>
      <w:spacing w:before="100" w:beforeAutospacing="1" w:after="100" w:afterAutospacing="1" w:line="240" w:lineRule="auto"/>
      <w:jc w:val="both"/>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3B1532"/>
    <w:rPr>
      <w:i/>
      <w:iCs/>
    </w:rPr>
  </w:style>
  <w:style w:type="paragraph" w:styleId="Zhlav">
    <w:name w:val="header"/>
    <w:basedOn w:val="Normln"/>
    <w:link w:val="ZhlavChar"/>
    <w:uiPriority w:val="99"/>
    <w:unhideWhenUsed/>
    <w:rsid w:val="00436B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36BD5"/>
  </w:style>
  <w:style w:type="paragraph" w:styleId="Zpat">
    <w:name w:val="footer"/>
    <w:basedOn w:val="Normln"/>
    <w:link w:val="ZpatChar"/>
    <w:uiPriority w:val="99"/>
    <w:unhideWhenUsed/>
    <w:rsid w:val="00436BD5"/>
    <w:pPr>
      <w:tabs>
        <w:tab w:val="center" w:pos="4536"/>
        <w:tab w:val="right" w:pos="9072"/>
      </w:tabs>
      <w:spacing w:after="0" w:line="240" w:lineRule="auto"/>
    </w:pPr>
  </w:style>
  <w:style w:type="character" w:customStyle="1" w:styleId="ZpatChar">
    <w:name w:val="Zápatí Char"/>
    <w:basedOn w:val="Standardnpsmoodstavce"/>
    <w:link w:val="Zpat"/>
    <w:uiPriority w:val="99"/>
    <w:rsid w:val="00436BD5"/>
  </w:style>
  <w:style w:type="character" w:styleId="Hypertextovodkaz">
    <w:name w:val="Hyperlink"/>
    <w:basedOn w:val="Standardnpsmoodstavce"/>
    <w:uiPriority w:val="99"/>
    <w:unhideWhenUsed/>
    <w:rsid w:val="008A4D2B"/>
    <w:rPr>
      <w:color w:val="0563C1" w:themeColor="hyperlink"/>
      <w:u w:val="single"/>
    </w:rPr>
  </w:style>
  <w:style w:type="character" w:styleId="Nevyeenzmnka">
    <w:name w:val="Unresolved Mention"/>
    <w:basedOn w:val="Standardnpsmoodstavce"/>
    <w:uiPriority w:val="99"/>
    <w:semiHidden/>
    <w:unhideWhenUsed/>
    <w:rsid w:val="008A4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331661">
      <w:bodyDiv w:val="1"/>
      <w:marLeft w:val="0"/>
      <w:marRight w:val="0"/>
      <w:marTop w:val="0"/>
      <w:marBottom w:val="0"/>
      <w:divBdr>
        <w:top w:val="none" w:sz="0" w:space="0" w:color="auto"/>
        <w:left w:val="none" w:sz="0" w:space="0" w:color="auto"/>
        <w:bottom w:val="none" w:sz="0" w:space="0" w:color="auto"/>
        <w:right w:val="none" w:sz="0" w:space="0" w:color="auto"/>
      </w:divBdr>
    </w:div>
    <w:div w:id="1588920531">
      <w:bodyDiv w:val="1"/>
      <w:marLeft w:val="0"/>
      <w:marRight w:val="0"/>
      <w:marTop w:val="0"/>
      <w:marBottom w:val="0"/>
      <w:divBdr>
        <w:top w:val="none" w:sz="0" w:space="0" w:color="auto"/>
        <w:left w:val="none" w:sz="0" w:space="0" w:color="auto"/>
        <w:bottom w:val="none" w:sz="0" w:space="0" w:color="auto"/>
        <w:right w:val="none" w:sz="0" w:space="0" w:color="auto"/>
      </w:divBdr>
    </w:div>
    <w:div w:id="174590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udejovice.cz/nastenka-iti-vymezeni-uzemiymezen&#2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budejovice.cz/nastenka-iti"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93DD4-4119-409A-BECF-DDB55B39A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5462</Words>
  <Characters>32227</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Käfer Petr</dc:creator>
  <cp:keywords/>
  <dc:description/>
  <cp:lastModifiedBy>Käfer Petr</cp:lastModifiedBy>
  <cp:revision>3</cp:revision>
  <cp:lastPrinted>2021-01-28T14:33:00Z</cp:lastPrinted>
  <dcterms:created xsi:type="dcterms:W3CDTF">2021-01-28T14:51:00Z</dcterms:created>
  <dcterms:modified xsi:type="dcterms:W3CDTF">2021-01-28T14:55:00Z</dcterms:modified>
</cp:coreProperties>
</file>